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75" w:lineRule="atLeast"/>
        <w:jc w:val="center"/>
        <w:outlineLvl w:val="0"/>
        <w:rPr>
          <w:rFonts w:ascii="方正小标宋简体" w:hAnsi="微软雅黑" w:eastAsia="方正小标宋简体" w:cs="宋体"/>
          <w:bCs/>
          <w:color w:val="333333"/>
          <w:kern w:val="36"/>
          <w:sz w:val="44"/>
          <w:szCs w:val="44"/>
        </w:rPr>
      </w:pPr>
      <w:r>
        <w:rPr>
          <w:rFonts w:hint="eastAsia" w:ascii="方正小标宋简体" w:hAnsi="微软雅黑" w:eastAsia="方正小标宋简体" w:cs="宋体"/>
          <w:bCs/>
          <w:color w:val="333333"/>
          <w:kern w:val="36"/>
          <w:sz w:val="44"/>
          <w:szCs w:val="44"/>
        </w:rPr>
        <w:t>固镇县城市管理局2020年政府信息公开工作年度报告</w:t>
      </w:r>
    </w:p>
    <w:p>
      <w:pPr>
        <w:widowControl/>
        <w:shd w:val="clear" w:color="auto" w:fill="FFFFFF"/>
        <w:ind w:firstLine="640" w:firstLineChars="200"/>
        <w:rPr>
          <w:rFonts w:ascii="Calibri" w:hAnsi="Calibri" w:eastAsia="宋体" w:cs="Calibri"/>
          <w:color w:val="333333"/>
          <w:kern w:val="0"/>
          <w:szCs w:val="21"/>
        </w:rPr>
      </w:pPr>
      <w:r>
        <w:rPr>
          <w:rFonts w:hint="eastAsia" w:ascii="黑体" w:hAnsi="黑体" w:eastAsia="黑体" w:cs="Calibri"/>
          <w:bCs/>
          <w:color w:val="333333"/>
          <w:kern w:val="0"/>
          <w:sz w:val="32"/>
          <w:szCs w:val="32"/>
        </w:rPr>
        <w:t>一、总体情况</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2020年，县城市管理局按照《中华人民共和国政府信息公开条例》和固镇县政府信息公开工作的统一部署和要求，结合县城市管理局工作实际，加强领导、完善组织、健全制度、规范公开形式，大力推进政府信息公开机构建设，不断规范政府信息公开制度，严格落实标准化规范化试点工作和试点领域信息维护，提高政府信息水平，保障广大人民群众对城市管理工作的知情权、参与权和监督权，有力促进各项工作开展。</w:t>
      </w:r>
    </w:p>
    <w:p>
      <w:pPr>
        <w:widowControl/>
        <w:shd w:val="clear" w:color="auto" w:fill="FFFFFF"/>
        <w:spacing w:line="390" w:lineRule="atLeast"/>
        <w:ind w:firstLine="643" w:firstLineChars="200"/>
        <w:jc w:val="left"/>
        <w:rPr>
          <w:rFonts w:ascii="仿宋_GB2312" w:hAnsi="Calibri" w:eastAsia="仿宋_GB2312" w:cs="Calibri"/>
          <w:color w:val="333333"/>
          <w:kern w:val="0"/>
          <w:szCs w:val="21"/>
        </w:rPr>
      </w:pPr>
      <w:r>
        <w:rPr>
          <w:rFonts w:hint="eastAsia" w:ascii="楷体" w:hAnsi="楷体" w:eastAsia="楷体" w:cs="Calibri"/>
          <w:b/>
          <w:bCs/>
          <w:color w:val="333333"/>
          <w:kern w:val="0"/>
          <w:sz w:val="32"/>
          <w:szCs w:val="32"/>
        </w:rPr>
        <w:t>（一）主动公开情况。</w:t>
      </w:r>
      <w:r>
        <w:rPr>
          <w:rFonts w:hint="eastAsia" w:ascii="Times New Roman" w:hAnsi="Times New Roman" w:eastAsia="仿宋_GB2312" w:cs="Times New Roman"/>
          <w:color w:val="333333"/>
          <w:kern w:val="0"/>
          <w:sz w:val="32"/>
          <w:szCs w:val="32"/>
        </w:rPr>
        <w:t>  </w:t>
      </w:r>
      <w:r>
        <w:rPr>
          <w:rFonts w:hint="eastAsia" w:ascii="仿宋_GB2312" w:hAnsi="仿宋" w:eastAsia="仿宋_GB2312" w:cs="Calibri"/>
          <w:color w:val="333333"/>
          <w:kern w:val="0"/>
          <w:sz w:val="32"/>
          <w:szCs w:val="32"/>
        </w:rPr>
        <w:t>2020年县城市管理局重点公开了涉及决策公开、执行和结果、管理和服务、政策解读、监督保障、深化“放管服”改革优化营商环境和政务公开“六提六促”专项行动等重点领域的信息。行政处罚情况发布35条，公开招标采购信息11条，深化“放管服”改革优化营商环境和政务公开“六提六促”专项行动7条，规范性文件清理情况和备案情况共8条等及其他方面信息公开，全年共主动发布各类信息400条。</w:t>
      </w:r>
    </w:p>
    <w:p>
      <w:pPr>
        <w:widowControl/>
        <w:shd w:val="clear" w:color="auto" w:fill="FFFFFF"/>
        <w:spacing w:line="390" w:lineRule="atLeast"/>
        <w:ind w:firstLine="643" w:firstLineChars="200"/>
        <w:jc w:val="left"/>
        <w:rPr>
          <w:rFonts w:ascii="仿宋_GB2312" w:hAnsi="Calibri" w:eastAsia="仿宋_GB2312" w:cs="Calibri"/>
          <w:color w:val="333333"/>
          <w:kern w:val="0"/>
          <w:szCs w:val="21"/>
        </w:rPr>
      </w:pPr>
      <w:r>
        <w:rPr>
          <w:rFonts w:hint="eastAsia" w:ascii="楷体" w:hAnsi="楷体" w:eastAsia="楷体" w:cs="Calibri"/>
          <w:b/>
          <w:bCs/>
          <w:color w:val="333333"/>
          <w:kern w:val="0"/>
          <w:sz w:val="32"/>
          <w:szCs w:val="32"/>
        </w:rPr>
        <w:t>（二）依申请公开情况。</w:t>
      </w:r>
      <w:r>
        <w:rPr>
          <w:rFonts w:hint="eastAsia" w:ascii="仿宋_GB2312" w:hAnsi="仿宋" w:eastAsia="仿宋_GB2312" w:cs="Calibri"/>
          <w:color w:val="333333"/>
          <w:kern w:val="0"/>
          <w:sz w:val="32"/>
          <w:szCs w:val="32"/>
        </w:rPr>
        <w:t>2020年，县城市管理局未收到依申请公开事例。</w:t>
      </w:r>
    </w:p>
    <w:p>
      <w:pPr>
        <w:widowControl/>
        <w:shd w:val="clear" w:color="auto" w:fill="FFFFFF"/>
        <w:spacing w:line="390" w:lineRule="atLeast"/>
        <w:ind w:firstLine="643" w:firstLineChars="200"/>
        <w:jc w:val="left"/>
        <w:rPr>
          <w:rFonts w:ascii="仿宋_GB2312" w:hAnsi="Calibri" w:eastAsia="仿宋_GB2312" w:cs="Calibri"/>
          <w:color w:val="333333"/>
          <w:kern w:val="0"/>
          <w:sz w:val="32"/>
          <w:szCs w:val="32"/>
        </w:rPr>
      </w:pPr>
      <w:r>
        <w:rPr>
          <w:rFonts w:hint="eastAsia" w:ascii="楷体" w:hAnsi="楷体" w:eastAsia="楷体" w:cs="Calibri"/>
          <w:b/>
          <w:bCs/>
          <w:color w:val="333333"/>
          <w:kern w:val="0"/>
          <w:sz w:val="32"/>
          <w:szCs w:val="32"/>
        </w:rPr>
        <w:t>（三）政府信息管理。</w:t>
      </w:r>
      <w:r>
        <w:rPr>
          <w:rFonts w:hint="eastAsia" w:ascii="仿宋_GB2312" w:hAnsi="仿宋" w:eastAsia="仿宋_GB2312" w:cs="Calibri"/>
          <w:color w:val="333333"/>
          <w:kern w:val="0"/>
          <w:sz w:val="32"/>
          <w:szCs w:val="32"/>
        </w:rPr>
        <w:t>县城市管理局高度重视政府信息公开工作，为加强对政府信息公开工作的组织领导，及时调整了局政务公开领导小组，明确局办公室承担政府信息公开日常工作，并指定2名办公室工作人员负责政府信息公开工作和管理政府信息公开网上录入、审核、系统维护工作，负责收集、梳理信息及上传发布信息，适时召开政务公开领导小组和办公室会议，传达学习新修订的《政府信息公开条例》以及县政府信息公开工作文件，研究部署全局政务公开工作，做到人员到位、责任到位、措施到位。</w:t>
      </w:r>
    </w:p>
    <w:p>
      <w:pPr>
        <w:widowControl/>
        <w:shd w:val="clear" w:color="auto" w:fill="FFFFFF"/>
        <w:spacing w:line="390" w:lineRule="atLeast"/>
        <w:ind w:firstLine="643" w:firstLineChars="200"/>
        <w:jc w:val="left"/>
        <w:rPr>
          <w:rFonts w:ascii="仿宋_GB2312" w:hAnsi="Calibri" w:eastAsia="仿宋_GB2312" w:cs="Calibri"/>
          <w:color w:val="333333"/>
          <w:kern w:val="0"/>
          <w:sz w:val="32"/>
          <w:szCs w:val="32"/>
        </w:rPr>
      </w:pPr>
      <w:r>
        <w:rPr>
          <w:rFonts w:hint="eastAsia" w:ascii="楷体" w:hAnsi="楷体" w:eastAsia="楷体" w:cs="Calibri"/>
          <w:b/>
          <w:bCs/>
          <w:color w:val="333333"/>
          <w:kern w:val="0"/>
          <w:sz w:val="32"/>
          <w:szCs w:val="32"/>
        </w:rPr>
        <w:t>（四）公开平台建设。</w:t>
      </w:r>
      <w:r>
        <w:rPr>
          <w:rFonts w:hint="eastAsia" w:ascii="仿宋_GB2312" w:hAnsi="仿宋" w:eastAsia="仿宋_GB2312" w:cs="Calibri"/>
          <w:color w:val="333333"/>
          <w:kern w:val="0"/>
          <w:sz w:val="32"/>
          <w:szCs w:val="32"/>
        </w:rPr>
        <w:t>县城市管理局政府信息公开主要通过县政府政务信息公开平台进行公开，在公开政府信息过程中，及时明确了政府信息的公开属性，将政府信息分为主动公开、依申请公开、不予公开三类，严格按照保密法对政府信息逐条进行审核，确保公开的信息不涉密，涉密的信息不公开。严格按照主动公开政府信息的内容分类主要是决策、执行和结果、管理和服务、新闻发布、政策解读、监督保障、依申请公开等内容。</w:t>
      </w:r>
    </w:p>
    <w:p>
      <w:pPr>
        <w:widowControl/>
        <w:shd w:val="clear" w:color="auto" w:fill="FFFFFF"/>
        <w:ind w:firstLine="643" w:firstLineChars="200"/>
        <w:rPr>
          <w:rFonts w:ascii="仿宋_GB2312" w:hAnsi="Calibri" w:eastAsia="仿宋_GB2312" w:cs="Calibri"/>
          <w:color w:val="333333"/>
          <w:kern w:val="0"/>
          <w:sz w:val="32"/>
          <w:szCs w:val="32"/>
        </w:rPr>
      </w:pPr>
      <w:r>
        <w:rPr>
          <w:rFonts w:hint="eastAsia" w:ascii="楷体" w:hAnsi="楷体" w:eastAsia="楷体" w:cs="Calibri"/>
          <w:b/>
          <w:bCs/>
          <w:color w:val="333333"/>
          <w:kern w:val="0"/>
          <w:sz w:val="32"/>
          <w:szCs w:val="32"/>
        </w:rPr>
        <w:t>（五）监督保障。</w:t>
      </w:r>
      <w:r>
        <w:rPr>
          <w:rFonts w:hint="eastAsia" w:ascii="仿宋_GB2312" w:hAnsi="仿宋" w:eastAsia="仿宋_GB2312" w:cs="Calibri"/>
          <w:color w:val="333333"/>
          <w:kern w:val="0"/>
          <w:sz w:val="32"/>
          <w:szCs w:val="32"/>
        </w:rPr>
        <w:t>根据县委县政府相关规定，结合固镇县城市管理工作实际，县城市管理局制定了政府信息主动公开制度、保密审查制度等政府信息公开工作制度。不定期组织干部职工学习有关政府信息公开的有关规定，要求各单位各股室要把此项工作作为一项基本任务来抓紧、抓实，并及时提供公开内容，城市管理局执法监督股进行监督保障，加强宣传，真正把政府信息公开工作上升到全面加强机关作风建设、落实政务公开的崭新高度来认识，从而增强开展此项工作的责任感和使命感。</w:t>
      </w:r>
    </w:p>
    <w:p>
      <w:pPr>
        <w:widowControl/>
        <w:shd w:val="clear" w:color="auto" w:fill="FFFFFF"/>
        <w:ind w:firstLine="640" w:firstLineChars="200"/>
        <w:rPr>
          <w:rFonts w:ascii="黑体" w:hAnsi="黑体" w:eastAsia="黑体" w:cs="Calibri"/>
          <w:color w:val="333333"/>
          <w:kern w:val="0"/>
          <w:szCs w:val="21"/>
        </w:rPr>
      </w:pPr>
      <w:r>
        <w:rPr>
          <w:rFonts w:hint="eastAsia" w:ascii="黑体" w:hAnsi="黑体" w:eastAsia="黑体" w:cs="Calibri"/>
          <w:bCs/>
          <w:color w:val="333333"/>
          <w:kern w:val="0"/>
          <w:sz w:val="32"/>
          <w:szCs w:val="32"/>
        </w:rPr>
        <w:t>二、主动公开政府信息情况</w:t>
      </w:r>
    </w:p>
    <w:tbl>
      <w:tblPr>
        <w:tblStyle w:val="6"/>
        <w:tblW w:w="8140" w:type="dxa"/>
        <w:jc w:val="center"/>
        <w:tblLayout w:type="autofit"/>
        <w:tblCellMar>
          <w:top w:w="0" w:type="dxa"/>
          <w:left w:w="0" w:type="dxa"/>
          <w:bottom w:w="0" w:type="dxa"/>
          <w:right w:w="0" w:type="dxa"/>
        </w:tblCellMar>
      </w:tblPr>
      <w:tblGrid>
        <w:gridCol w:w="3113"/>
        <w:gridCol w:w="1875"/>
        <w:gridCol w:w="6"/>
        <w:gridCol w:w="1265"/>
        <w:gridCol w:w="1881"/>
      </w:tblGrid>
      <w:tr>
        <w:tblPrEx>
          <w:tblCellMar>
            <w:top w:w="0" w:type="dxa"/>
            <w:left w:w="0" w:type="dxa"/>
            <w:bottom w:w="0" w:type="dxa"/>
            <w:right w:w="0"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第二十条第（一）项</w:t>
            </w:r>
          </w:p>
        </w:tc>
      </w:tr>
      <w:tr>
        <w:tblPrEx>
          <w:tblCellMar>
            <w:top w:w="0" w:type="dxa"/>
            <w:left w:w="0" w:type="dxa"/>
            <w:bottom w:w="0" w:type="dxa"/>
            <w:right w:w="0"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本年新</w:t>
            </w:r>
            <w:r>
              <w:rPr>
                <w:rFonts w:hint="eastAsia" w:ascii="仿宋_GB2312" w:hAnsi="宋体" w:eastAsia="仿宋_GB2312" w:cs="Calibri"/>
                <w:color w:val="000000"/>
                <w:kern w:val="0"/>
                <w:sz w:val="20"/>
                <w:szCs w:val="20"/>
              </w:rPr>
              <w:br w:type="textWrapping"/>
            </w:r>
            <w:r>
              <w:rPr>
                <w:rFonts w:hint="eastAsia" w:ascii="仿宋_GB2312" w:hAnsi="宋体" w:eastAsia="仿宋_GB2312" w:cs="Calibri"/>
                <w:kern w:val="0"/>
                <w:sz w:val="20"/>
                <w:szCs w:val="20"/>
              </w:rPr>
              <w:t>制作数量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本年新</w:t>
            </w:r>
            <w:r>
              <w:rPr>
                <w:rFonts w:hint="eastAsia" w:ascii="仿宋_GB2312" w:hAnsi="宋体" w:eastAsia="仿宋_GB2312" w:cs="Calibri"/>
                <w:color w:val="000000"/>
                <w:kern w:val="0"/>
                <w:sz w:val="20"/>
                <w:szCs w:val="20"/>
              </w:rPr>
              <w:br w:type="textWrapping"/>
            </w:r>
            <w:r>
              <w:rPr>
                <w:rFonts w:hint="eastAsia" w:ascii="仿宋_GB2312" w:hAnsi="宋体" w:eastAsia="仿宋_GB2312" w:cs="Calibri"/>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对外公开总数量</w:t>
            </w:r>
          </w:p>
        </w:tc>
      </w:tr>
      <w:tr>
        <w:tblPrEx>
          <w:tblCellMar>
            <w:top w:w="0" w:type="dxa"/>
            <w:left w:w="0" w:type="dxa"/>
            <w:bottom w:w="0" w:type="dxa"/>
            <w:right w:w="0"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宋体" w:hAnsi="宋体" w:eastAsia="仿宋_GB2312" w:cs="Calibri"/>
                <w:color w:val="000000"/>
                <w:kern w:val="0"/>
                <w:sz w:val="20"/>
                <w:szCs w:val="20"/>
              </w:rPr>
              <w:t> </w:t>
            </w:r>
            <w:r>
              <w:rPr>
                <w:rFonts w:hint="eastAsia" w:ascii="仿宋_GB2312" w:hAnsi="宋体" w:eastAsia="仿宋_GB2312" w:cs="Calibri"/>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r>
      <w:tr>
        <w:tblPrEx>
          <w:tblCellMar>
            <w:top w:w="0" w:type="dxa"/>
            <w:left w:w="0" w:type="dxa"/>
            <w:bottom w:w="0" w:type="dxa"/>
            <w:right w:w="0"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宋体" w:hAnsi="宋体" w:eastAsia="仿宋_GB2312" w:cs="Calibri"/>
                <w:color w:val="000000"/>
                <w:kern w:val="0"/>
                <w:sz w:val="20"/>
                <w:szCs w:val="20"/>
              </w:rPr>
              <w:t> </w:t>
            </w:r>
            <w:r>
              <w:rPr>
                <w:rFonts w:hint="eastAsia" w:ascii="仿宋_GB2312" w:hAnsi="宋体" w:eastAsia="仿宋_GB2312" w:cs="Calibri"/>
                <w:color w:val="000000"/>
                <w:kern w:val="0"/>
                <w:sz w:val="20"/>
                <w:szCs w:val="20"/>
              </w:rPr>
              <w:t>6</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6</w:t>
            </w:r>
          </w:p>
        </w:tc>
      </w:tr>
      <w:tr>
        <w:tblPrEx>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第二十条第（五）项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上一年项目数量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处理决定数量</w:t>
            </w:r>
          </w:p>
        </w:tc>
      </w:tr>
      <w:tr>
        <w:tblPrEx>
          <w:tblCellMar>
            <w:top w:w="0" w:type="dxa"/>
            <w:left w:w="0" w:type="dxa"/>
            <w:bottom w:w="0" w:type="dxa"/>
            <w:right w:w="0"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6</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231</w:t>
            </w:r>
          </w:p>
        </w:tc>
      </w:tr>
      <w:tr>
        <w:tblPrEx>
          <w:tblCellMar>
            <w:top w:w="0" w:type="dxa"/>
            <w:left w:w="0" w:type="dxa"/>
            <w:bottom w:w="0" w:type="dxa"/>
            <w:right w:w="0"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10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r>
      <w:tr>
        <w:tblPrEx>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第二十条第（六）项</w:t>
            </w:r>
          </w:p>
        </w:tc>
      </w:tr>
      <w:tr>
        <w:tblPrEx>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信息内容</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上一年项目数量</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处理决定数量</w:t>
            </w:r>
          </w:p>
        </w:tc>
      </w:tr>
      <w:tr>
        <w:tblPrEx>
          <w:tblCellMar>
            <w:top w:w="0" w:type="dxa"/>
            <w:left w:w="0" w:type="dxa"/>
            <w:bottom w:w="0" w:type="dxa"/>
            <w:right w:w="0"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87</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263</w:t>
            </w:r>
          </w:p>
        </w:tc>
      </w:tr>
      <w:tr>
        <w:tblPrEx>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0</w:t>
            </w:r>
          </w:p>
        </w:tc>
      </w:tr>
      <w:tr>
        <w:tblPrEx>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第二十条第（八）项</w:t>
            </w:r>
          </w:p>
        </w:tc>
      </w:tr>
      <w:tr>
        <w:tblPrEx>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上一年项目数量</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本年增/减</w:t>
            </w:r>
          </w:p>
        </w:tc>
      </w:tr>
      <w:tr>
        <w:tblPrEx>
          <w:tblCellMar>
            <w:top w:w="0" w:type="dxa"/>
            <w:left w:w="0" w:type="dxa"/>
            <w:bottom w:w="0" w:type="dxa"/>
            <w:right w:w="0"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2</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0</w:t>
            </w:r>
            <w:r>
              <w:rPr>
                <w:rFonts w:hint="eastAsia" w:ascii="宋体" w:hAnsi="宋体" w:eastAsia="仿宋_GB2312" w:cs="Calibri"/>
                <w:color w:val="000000"/>
                <w:kern w:val="0"/>
                <w:sz w:val="20"/>
                <w:szCs w:val="20"/>
              </w:rPr>
              <w:t> </w:t>
            </w:r>
          </w:p>
        </w:tc>
      </w:tr>
      <w:tr>
        <w:tblPrEx>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第二十条第（九）项</w:t>
            </w:r>
          </w:p>
        </w:tc>
      </w:tr>
      <w:tr>
        <w:tblPrEx>
          <w:tblCellMar>
            <w:top w:w="0" w:type="dxa"/>
            <w:left w:w="0" w:type="dxa"/>
            <w:bottom w:w="0" w:type="dxa"/>
            <w:right w:w="0"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采购项目数量</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采购总金额</w:t>
            </w:r>
          </w:p>
        </w:tc>
      </w:tr>
      <w:tr>
        <w:tblPrEx>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color w:val="000000"/>
                <w:kern w:val="0"/>
                <w:sz w:val="20"/>
                <w:szCs w:val="20"/>
              </w:rPr>
              <w:t>　2</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ind w:firstLine="480" w:firstLineChars="200"/>
              <w:jc w:val="left"/>
              <w:rPr>
                <w:rFonts w:hint="eastAsia" w:ascii="仿宋_GB2312" w:hAnsi="Calibri" w:eastAsia="仿宋_GB2312" w:cs="Calibri"/>
                <w:kern w:val="0"/>
                <w:szCs w:val="21"/>
                <w:lang w:val="en-US" w:eastAsia="zh-CN"/>
              </w:rPr>
            </w:pPr>
            <w:r>
              <w:rPr>
                <w:rFonts w:hint="eastAsia" w:ascii="仿宋_GB2312" w:hAnsi="宋体" w:eastAsia="仿宋_GB2312" w:cs="Calibri"/>
                <w:kern w:val="0"/>
                <w:sz w:val="24"/>
                <w:szCs w:val="24"/>
              </w:rPr>
              <w:t>570.6387</w:t>
            </w:r>
            <w:r>
              <w:rPr>
                <w:rFonts w:hint="eastAsia" w:ascii="仿宋_GB2312" w:hAnsi="宋体" w:eastAsia="仿宋_GB2312" w:cs="Calibri"/>
                <w:kern w:val="0"/>
                <w:sz w:val="24"/>
                <w:szCs w:val="24"/>
                <w:lang w:val="en-US" w:eastAsia="zh-CN"/>
              </w:rPr>
              <w:t>万元</w:t>
            </w:r>
            <w:bookmarkStart w:id="0" w:name="_GoBack"/>
            <w:bookmarkEnd w:id="0"/>
          </w:p>
        </w:tc>
      </w:tr>
      <w:tr>
        <w:tblPrEx>
          <w:tblCellMar>
            <w:top w:w="0" w:type="dxa"/>
            <w:left w:w="0" w:type="dxa"/>
            <w:bottom w:w="0" w:type="dxa"/>
            <w:right w:w="0" w:type="dxa"/>
          </w:tblCellMar>
        </w:tblPrEx>
        <w:trPr>
          <w:jc w:val="center"/>
        </w:trPr>
        <w:tc>
          <w:tcPr>
            <w:tcW w:w="3885" w:type="dxa"/>
            <w:tcBorders>
              <w:top w:val="nil"/>
              <w:left w:val="nil"/>
              <w:bottom w:val="nil"/>
              <w:right w:val="nil"/>
            </w:tcBorders>
            <w:vAlign w:val="center"/>
          </w:tcPr>
          <w:p>
            <w:pPr>
              <w:widowControl/>
              <w:ind w:firstLine="20" w:firstLineChars="200"/>
              <w:jc w:val="left"/>
              <w:rPr>
                <w:rFonts w:ascii="仿宋_GB2312" w:hAnsi="宋体" w:eastAsia="仿宋_GB2312" w:cs="宋体"/>
                <w:kern w:val="0"/>
                <w:sz w:val="1"/>
                <w:szCs w:val="24"/>
              </w:rPr>
            </w:pPr>
          </w:p>
        </w:tc>
        <w:tc>
          <w:tcPr>
            <w:tcW w:w="2340" w:type="dxa"/>
            <w:tcBorders>
              <w:top w:val="nil"/>
              <w:left w:val="nil"/>
              <w:bottom w:val="nil"/>
              <w:right w:val="nil"/>
            </w:tcBorders>
            <w:vAlign w:val="center"/>
          </w:tcPr>
          <w:p>
            <w:pPr>
              <w:widowControl/>
              <w:ind w:firstLine="20" w:firstLineChars="200"/>
              <w:jc w:val="left"/>
              <w:rPr>
                <w:rFonts w:ascii="仿宋_GB2312" w:hAnsi="宋体" w:eastAsia="仿宋_GB2312" w:cs="宋体"/>
                <w:kern w:val="0"/>
                <w:sz w:val="1"/>
                <w:szCs w:val="24"/>
              </w:rPr>
            </w:pPr>
          </w:p>
        </w:tc>
        <w:tc>
          <w:tcPr>
            <w:tcW w:w="15" w:type="dxa"/>
            <w:tcBorders>
              <w:top w:val="nil"/>
              <w:left w:val="nil"/>
              <w:bottom w:val="nil"/>
              <w:right w:val="nil"/>
            </w:tcBorders>
            <w:vAlign w:val="center"/>
          </w:tcPr>
          <w:p>
            <w:pPr>
              <w:widowControl/>
              <w:ind w:firstLine="20" w:firstLineChars="200"/>
              <w:jc w:val="left"/>
              <w:rPr>
                <w:rFonts w:ascii="仿宋_GB2312" w:hAnsi="宋体" w:eastAsia="仿宋_GB2312" w:cs="宋体"/>
                <w:kern w:val="0"/>
                <w:sz w:val="1"/>
                <w:szCs w:val="24"/>
              </w:rPr>
            </w:pPr>
          </w:p>
        </w:tc>
        <w:tc>
          <w:tcPr>
            <w:tcW w:w="1575" w:type="dxa"/>
            <w:tcBorders>
              <w:top w:val="nil"/>
              <w:left w:val="nil"/>
              <w:bottom w:val="nil"/>
              <w:right w:val="nil"/>
            </w:tcBorders>
            <w:vAlign w:val="center"/>
          </w:tcPr>
          <w:p>
            <w:pPr>
              <w:widowControl/>
              <w:ind w:firstLine="20" w:firstLineChars="200"/>
              <w:jc w:val="left"/>
              <w:rPr>
                <w:rFonts w:ascii="仿宋_GB2312" w:hAnsi="宋体" w:eastAsia="仿宋_GB2312" w:cs="宋体"/>
                <w:kern w:val="0"/>
                <w:sz w:val="1"/>
                <w:szCs w:val="24"/>
              </w:rPr>
            </w:pPr>
          </w:p>
        </w:tc>
        <w:tc>
          <w:tcPr>
            <w:tcW w:w="2355" w:type="dxa"/>
            <w:tcBorders>
              <w:top w:val="nil"/>
              <w:left w:val="nil"/>
              <w:bottom w:val="nil"/>
              <w:right w:val="nil"/>
            </w:tcBorders>
            <w:vAlign w:val="center"/>
          </w:tcPr>
          <w:p>
            <w:pPr>
              <w:widowControl/>
              <w:ind w:firstLine="20" w:firstLineChars="200"/>
              <w:jc w:val="left"/>
              <w:rPr>
                <w:rFonts w:ascii="仿宋_GB2312" w:hAnsi="宋体" w:eastAsia="仿宋_GB2312" w:cs="宋体"/>
                <w:kern w:val="0"/>
                <w:sz w:val="1"/>
                <w:szCs w:val="24"/>
              </w:rPr>
            </w:pPr>
          </w:p>
        </w:tc>
      </w:tr>
    </w:tbl>
    <w:p>
      <w:pPr>
        <w:widowControl/>
        <w:shd w:val="clear" w:color="auto" w:fill="FFFFFF"/>
        <w:ind w:firstLine="640" w:firstLineChars="200"/>
        <w:rPr>
          <w:rFonts w:ascii="黑体" w:hAnsi="黑体" w:eastAsia="黑体" w:cs="Calibri"/>
          <w:color w:val="333333"/>
          <w:kern w:val="0"/>
          <w:szCs w:val="21"/>
        </w:rPr>
      </w:pPr>
      <w:r>
        <w:rPr>
          <w:rFonts w:hint="eastAsia" w:ascii="黑体" w:hAnsi="黑体" w:eastAsia="黑体" w:cs="Calibri"/>
          <w:bCs/>
          <w:color w:val="333333"/>
          <w:kern w:val="0"/>
          <w:sz w:val="32"/>
          <w:szCs w:val="32"/>
        </w:rPr>
        <w:t>三、收到和处理政府信息公开申请情况</w:t>
      </w:r>
    </w:p>
    <w:tbl>
      <w:tblPr>
        <w:tblStyle w:val="6"/>
        <w:tblW w:w="9071" w:type="dxa"/>
        <w:jc w:val="center"/>
        <w:tblLayout w:type="autofit"/>
        <w:tblCellMar>
          <w:top w:w="0" w:type="dxa"/>
          <w:left w:w="0" w:type="dxa"/>
          <w:bottom w:w="0" w:type="dxa"/>
          <w:right w:w="0" w:type="dxa"/>
        </w:tblCellMar>
      </w:tblPr>
      <w:tblGrid>
        <w:gridCol w:w="1036"/>
        <w:gridCol w:w="1236"/>
        <w:gridCol w:w="936"/>
        <w:gridCol w:w="836"/>
        <w:gridCol w:w="836"/>
        <w:gridCol w:w="836"/>
        <w:gridCol w:w="836"/>
        <w:gridCol w:w="847"/>
        <w:gridCol w:w="836"/>
        <w:gridCol w:w="836"/>
      </w:tblGrid>
      <w:tr>
        <w:tblPrEx>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自然人</w:t>
            </w:r>
          </w:p>
        </w:tc>
        <w:tc>
          <w:tcPr>
            <w:tcW w:w="400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法人或其他组织</w:t>
            </w:r>
          </w:p>
        </w:tc>
        <w:tc>
          <w:tcPr>
            <w:tcW w:w="69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科研机构</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社会公益组织</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法律服务机构</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其他</w:t>
            </w: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楷体" w:eastAsia="仿宋_GB2312" w:cs="Calibri"/>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r>
      <w:tr>
        <w:tblPrEx>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left"/>
              <w:rPr>
                <w:rFonts w:ascii="仿宋_GB2312" w:hAnsi="Calibri" w:eastAsia="仿宋_GB2312" w:cs="Calibri"/>
                <w:kern w:val="0"/>
                <w:szCs w:val="21"/>
              </w:rPr>
            </w:pPr>
            <w:r>
              <w:rPr>
                <w:rFonts w:hint="eastAsia" w:ascii="仿宋_GB2312" w:hAnsi="宋体" w:eastAsia="仿宋_GB2312" w:cs="Calibri"/>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r>
    </w:tbl>
    <w:p>
      <w:pPr>
        <w:widowControl/>
        <w:shd w:val="clear" w:color="auto" w:fill="FFFFFF"/>
        <w:ind w:firstLine="640" w:firstLineChars="200"/>
        <w:rPr>
          <w:rFonts w:ascii="黑体" w:hAnsi="黑体" w:eastAsia="黑体" w:cs="Calibri"/>
          <w:color w:val="333333"/>
          <w:kern w:val="0"/>
          <w:szCs w:val="21"/>
        </w:rPr>
      </w:pPr>
      <w:r>
        <w:rPr>
          <w:rFonts w:hint="eastAsia" w:ascii="黑体" w:hAnsi="黑体" w:eastAsia="黑体" w:cs="Calibri"/>
          <w:bCs/>
          <w:color w:val="333333"/>
          <w:kern w:val="0"/>
          <w:sz w:val="32"/>
          <w:szCs w:val="32"/>
        </w:rPr>
        <w:t>四、政府信息公开行政复议、行政诉讼情况</w:t>
      </w:r>
    </w:p>
    <w:p>
      <w:pPr>
        <w:widowControl/>
        <w:shd w:val="clear" w:color="auto" w:fill="FFFFFF"/>
        <w:ind w:firstLine="380" w:firstLineChars="200"/>
        <w:rPr>
          <w:rFonts w:ascii="仿宋_GB2312" w:hAnsi="Calibri" w:eastAsia="仿宋_GB2312" w:cs="Calibri"/>
          <w:color w:val="333333"/>
          <w:kern w:val="0"/>
          <w:szCs w:val="21"/>
        </w:rPr>
      </w:pPr>
      <w:r>
        <w:rPr>
          <w:rFonts w:hint="eastAsia" w:ascii="宋体" w:hAnsi="宋体" w:eastAsia="仿宋_GB2312" w:cs="Calibri"/>
          <w:color w:val="333333"/>
          <w:kern w:val="0"/>
          <w:sz w:val="19"/>
          <w:szCs w:val="19"/>
        </w:rPr>
        <w:t> </w:t>
      </w:r>
    </w:p>
    <w:tbl>
      <w:tblPr>
        <w:tblStyle w:val="6"/>
        <w:tblW w:w="9071" w:type="dxa"/>
        <w:jc w:val="center"/>
        <w:tblLayout w:type="autofit"/>
        <w:tblCellMar>
          <w:top w:w="0" w:type="dxa"/>
          <w:left w:w="0" w:type="dxa"/>
          <w:bottom w:w="0" w:type="dxa"/>
          <w:right w:w="0" w:type="dxa"/>
        </w:tblCellMar>
      </w:tblPr>
      <w:tblGrid>
        <w:gridCol w:w="836"/>
        <w:gridCol w:w="836"/>
        <w:gridCol w:w="836"/>
        <w:gridCol w:w="836"/>
        <w:gridCol w:w="836"/>
        <w:gridCol w:w="936"/>
        <w:gridCol w:w="936"/>
        <w:gridCol w:w="936"/>
        <w:gridCol w:w="936"/>
        <w:gridCol w:w="936"/>
        <w:gridCol w:w="936"/>
        <w:gridCol w:w="936"/>
        <w:gridCol w:w="936"/>
        <w:gridCol w:w="936"/>
        <w:gridCol w:w="836"/>
      </w:tblGrid>
      <w:tr>
        <w:tblPrEx>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结果纠正</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其他结果</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尚未审结</w:t>
            </w:r>
          </w:p>
        </w:tc>
        <w:tc>
          <w:tcPr>
            <w:tcW w:w="658"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总计</w:t>
            </w:r>
          </w:p>
        </w:tc>
        <w:tc>
          <w:tcPr>
            <w:tcW w:w="2970"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未经复议直接起诉</w:t>
            </w:r>
          </w:p>
        </w:tc>
        <w:tc>
          <w:tcPr>
            <w:tcW w:w="3027" w:type="dxa"/>
            <w:gridSpan w:val="5"/>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0" w:type="auto"/>
            <w:vMerge w:val="continue"/>
            <w:tcBorders>
              <w:top w:val="nil"/>
              <w:left w:val="nil"/>
              <w:bottom w:val="single" w:color="auto" w:sz="8" w:space="0"/>
              <w:right w:val="single" w:color="auto" w:sz="8" w:space="0"/>
            </w:tcBorders>
            <w:vAlign w:val="center"/>
          </w:tcPr>
          <w:p>
            <w:pPr>
              <w:widowControl/>
              <w:ind w:firstLine="420" w:firstLineChars="200"/>
              <w:jc w:val="left"/>
              <w:rPr>
                <w:rFonts w:ascii="仿宋_GB2312" w:hAnsi="Calibri" w:eastAsia="仿宋_GB2312" w:cs="Calibri"/>
                <w:kern w:val="0"/>
                <w:szCs w:val="21"/>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其他结果</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尚未审结</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总计</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结果纠正</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其他结果</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尚未审结</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color w:val="000000"/>
                <w:kern w:val="0"/>
                <w:sz w:val="20"/>
                <w:szCs w:val="20"/>
              </w:rPr>
              <w:t>总计</w:t>
            </w:r>
          </w:p>
        </w:tc>
      </w:tr>
      <w:tr>
        <w:tblPrEx>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Calibri" w:hAnsi="Calibri" w:eastAsia="仿宋_GB2312" w:cs="Calibri"/>
                <w:kern w:val="0"/>
                <w:sz w:val="20"/>
                <w:szCs w:val="20"/>
              </w:rPr>
              <w:t> </w:t>
            </w:r>
            <w:r>
              <w:rPr>
                <w:rFonts w:hint="eastAsia" w:ascii="仿宋_GB2312" w:hAnsi="Calibri" w:eastAsia="仿宋_GB2312" w:cs="Calibri"/>
                <w:kern w:val="0"/>
                <w:sz w:val="20"/>
                <w:szCs w:val="20"/>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Calibri" w:eastAsia="仿宋_GB2312" w:cs="Calibri"/>
                <w:kern w:val="0"/>
                <w:sz w:val="20"/>
                <w:szCs w:val="20"/>
              </w:rPr>
              <w:t>0</w:t>
            </w:r>
            <w:r>
              <w:rPr>
                <w:rFonts w:hint="eastAsia" w:ascii="Calibri" w:hAnsi="Calibri" w:eastAsia="仿宋_GB2312" w:cs="Calibri"/>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0</w:t>
            </w:r>
            <w:r>
              <w:rPr>
                <w:rFonts w:hint="eastAsia" w:ascii="宋体" w:hAnsi="宋体" w:eastAsia="仿宋_GB2312" w:cs="Calibri"/>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0</w:t>
            </w:r>
            <w:r>
              <w:rPr>
                <w:rFonts w:hint="eastAsia" w:ascii="宋体" w:hAnsi="宋体" w:eastAsia="仿宋_GB2312" w:cs="Calibri"/>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0</w:t>
            </w:r>
            <w:r>
              <w:rPr>
                <w:rFonts w:hint="eastAsia" w:ascii="宋体" w:hAnsi="宋体" w:eastAsia="仿宋_GB2312" w:cs="Calibri"/>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宋体" w:hAnsi="宋体" w:eastAsia="仿宋_GB2312" w:cs="Calibri"/>
                <w:kern w:val="0"/>
                <w:sz w:val="20"/>
                <w:szCs w:val="20"/>
              </w:rPr>
              <w:t> </w:t>
            </w:r>
            <w:r>
              <w:rPr>
                <w:rFonts w:hint="eastAsia" w:ascii="仿宋_GB2312" w:hAnsi="宋体" w:eastAsia="仿宋_GB2312"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宋体" w:hAnsi="宋体" w:eastAsia="仿宋_GB2312" w:cs="Calibri"/>
                <w:color w:val="000000"/>
                <w:kern w:val="0"/>
                <w:sz w:val="20"/>
                <w:szCs w:val="20"/>
              </w:rPr>
              <w:t> </w:t>
            </w:r>
            <w:r>
              <w:rPr>
                <w:rFonts w:hint="eastAsia" w:ascii="仿宋_GB2312" w:hAnsi="宋体" w:eastAsia="仿宋_GB2312" w:cs="Calibri"/>
                <w:color w:val="000000"/>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宋体" w:hAnsi="宋体" w:eastAsia="仿宋_GB2312" w:cs="Calibri"/>
                <w:kern w:val="0"/>
                <w:sz w:val="20"/>
                <w:szCs w:val="20"/>
              </w:rPr>
              <w:t> </w:t>
            </w:r>
            <w:r>
              <w:rPr>
                <w:rFonts w:hint="eastAsia" w:ascii="仿宋_GB2312" w:hAnsi="宋体" w:eastAsia="仿宋_GB2312" w:cs="Calibri"/>
                <w:kern w:val="0"/>
                <w:sz w:val="20"/>
                <w:szCs w:val="20"/>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仿宋_GB2312" w:hAnsi="宋体" w:eastAsia="仿宋_GB2312" w:cs="Calibri"/>
                <w:kern w:val="0"/>
                <w:sz w:val="20"/>
                <w:szCs w:val="20"/>
              </w:rPr>
              <w:t>0</w:t>
            </w:r>
            <w:r>
              <w:rPr>
                <w:rFonts w:hint="eastAsia" w:ascii="宋体" w:hAnsi="宋体" w:eastAsia="仿宋_GB2312" w:cs="Calibri"/>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宋体" w:hAnsi="宋体" w:eastAsia="仿宋_GB2312" w:cs="Calibri"/>
                <w:color w:val="000000"/>
                <w:kern w:val="0"/>
                <w:sz w:val="20"/>
                <w:szCs w:val="20"/>
              </w:rPr>
              <w:t> </w:t>
            </w:r>
            <w:r>
              <w:rPr>
                <w:rFonts w:hint="eastAsia" w:ascii="仿宋_GB2312" w:hAnsi="宋体" w:eastAsia="仿宋_GB2312" w:cs="Calibri"/>
                <w:color w:val="000000"/>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00" w:firstLineChars="200"/>
              <w:jc w:val="center"/>
              <w:rPr>
                <w:rFonts w:ascii="仿宋_GB2312" w:hAnsi="Calibri" w:eastAsia="仿宋_GB2312" w:cs="Calibri"/>
                <w:kern w:val="0"/>
                <w:szCs w:val="21"/>
              </w:rPr>
            </w:pPr>
            <w:r>
              <w:rPr>
                <w:rFonts w:hint="eastAsia" w:ascii="宋体" w:hAnsi="宋体" w:eastAsia="仿宋_GB2312" w:cs="Calibri"/>
                <w:kern w:val="0"/>
                <w:sz w:val="20"/>
                <w:szCs w:val="20"/>
              </w:rPr>
              <w:t> </w:t>
            </w:r>
            <w:r>
              <w:rPr>
                <w:rFonts w:hint="eastAsia" w:ascii="仿宋_GB2312" w:hAnsi="宋体" w:eastAsia="仿宋_GB2312" w:cs="Calibri"/>
                <w:kern w:val="0"/>
                <w:sz w:val="20"/>
                <w:szCs w:val="20"/>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480" w:firstLineChars="200"/>
              <w:jc w:val="left"/>
              <w:rPr>
                <w:rFonts w:ascii="仿宋_GB2312" w:hAnsi="Calibri" w:eastAsia="仿宋_GB2312" w:cs="Calibri"/>
                <w:kern w:val="0"/>
                <w:szCs w:val="21"/>
              </w:rPr>
            </w:pPr>
            <w:r>
              <w:rPr>
                <w:rFonts w:hint="eastAsia" w:ascii="仿宋_GB2312" w:hAnsi="宋体" w:eastAsia="仿宋_GB2312" w:cs="Calibri"/>
                <w:kern w:val="0"/>
                <w:sz w:val="24"/>
                <w:szCs w:val="24"/>
              </w:rPr>
              <w:t>0</w:t>
            </w:r>
          </w:p>
        </w:tc>
      </w:tr>
    </w:tbl>
    <w:p>
      <w:pPr>
        <w:widowControl/>
        <w:shd w:val="clear" w:color="auto" w:fill="FFFFFF"/>
        <w:ind w:firstLine="640" w:firstLineChars="200"/>
        <w:rPr>
          <w:rFonts w:ascii="黑体" w:hAnsi="黑体" w:eastAsia="黑体" w:cs="Calibri"/>
          <w:color w:val="333333"/>
          <w:kern w:val="0"/>
          <w:szCs w:val="21"/>
        </w:rPr>
      </w:pPr>
      <w:r>
        <w:rPr>
          <w:rFonts w:hint="eastAsia" w:ascii="黑体" w:hAnsi="黑体" w:eastAsia="黑体" w:cs="Calibri"/>
          <w:bCs/>
          <w:color w:val="333333"/>
          <w:kern w:val="0"/>
          <w:sz w:val="32"/>
          <w:szCs w:val="32"/>
        </w:rPr>
        <w:t>五、存在的主要问题及改进情况</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2020年度县城市管理局政府信息公开工作存在的问题主要表现在以下几个方面：一是信息公开及时性和全面性有待改进；二是信息公开内容深度和广度不够；三是信息公开业务水平有待提高。为此，将采取以下改进措施：</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一是严格贯彻相关法律法规及文件要求。进一步规范和完善政府信息公开的内容、形式，做到重大问题、重大决策及时公开，及时回应社会关切的城市管理重点热点问题，切实提高公开的针对性，真正做到人民城市人民管，管好城市为人民。</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二是强化队伍和制度建设。切实加大宣传培训力度，使各位领导和机关干部职工深刻认识到推行政务公开的重大意义。进一步建立健全政府信息公开工作各项制度，主动公开城市管理重点任务落实、重要政策执行、重大工程项目实施情况等方面信息公开力度，提高政府信息公开的质量和水平。</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三是加大主动公开力度。提升主动公开的标准化、规范化水平，深入推进决策公开、执行公开、管理公开、服务公开、结果公开，不断增加城市管理工作透明度，为全市经济和社会发展营造整洁、有序、温馨、舒适的城市环境。</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四是强化业务知识学习。不断提高政府信息公开工作水平。对信息公开工作内容、流程、要求进一步统一和规范；落实政府信息公开制度；强化责任意识，及时统计信息，增加发布信息量，提高采集业务数据的及时性、准确性。</w:t>
      </w:r>
    </w:p>
    <w:p>
      <w:pPr>
        <w:widowControl/>
        <w:shd w:val="clear" w:color="auto" w:fill="FFFFFF"/>
        <w:ind w:firstLine="640" w:firstLineChars="200"/>
        <w:rPr>
          <w:rFonts w:ascii="黑体" w:hAnsi="黑体" w:eastAsia="黑体" w:cs="Calibri"/>
          <w:color w:val="333333"/>
          <w:kern w:val="0"/>
          <w:szCs w:val="21"/>
        </w:rPr>
      </w:pPr>
      <w:r>
        <w:rPr>
          <w:rFonts w:hint="eastAsia" w:ascii="黑体" w:hAnsi="黑体" w:eastAsia="黑体" w:cs="Calibri"/>
          <w:bCs/>
          <w:color w:val="333333"/>
          <w:kern w:val="0"/>
          <w:sz w:val="32"/>
          <w:szCs w:val="32"/>
        </w:rPr>
        <w:t>六、其他需要报告的事项</w:t>
      </w:r>
    </w:p>
    <w:p>
      <w:pPr>
        <w:widowControl/>
        <w:shd w:val="clear" w:color="auto" w:fill="FFFFFF"/>
        <w:ind w:firstLine="640" w:firstLineChars="200"/>
        <w:rPr>
          <w:rFonts w:ascii="仿宋_GB2312" w:hAnsi="Calibri" w:eastAsia="仿宋_GB2312" w:cs="Calibri"/>
          <w:color w:val="333333"/>
          <w:kern w:val="0"/>
          <w:szCs w:val="21"/>
        </w:rPr>
      </w:pPr>
      <w:r>
        <w:rPr>
          <w:rFonts w:hint="eastAsia" w:ascii="仿宋_GB2312" w:hAnsi="仿宋" w:eastAsia="仿宋_GB2312" w:cs="Calibri"/>
          <w:color w:val="333333"/>
          <w:kern w:val="0"/>
          <w:sz w:val="32"/>
          <w:szCs w:val="32"/>
        </w:rPr>
        <w:t>2021年，县城市管理局将严格贯彻落实关于政府信息公开工作的各项要求，按照县政务公开有关文件要求，更加积极主动、严谨细致地做好县城市管理局政府信息公开工作，确保县城市管理局政务信息及时、完整、准确发布。</w:t>
      </w:r>
    </w:p>
    <w:p>
      <w:pPr>
        <w:ind w:firstLine="420" w:firstLineChars="200"/>
      </w:pPr>
    </w:p>
    <w:sectPr>
      <w:pgSz w:w="11907" w:h="16840"/>
      <w:pgMar w:top="1588"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1" w:cryptProviderType="rsaFull" w:cryptAlgorithmClass="hash" w:cryptAlgorithmType="typeAny" w:cryptAlgorithmSid="4" w:cryptSpinCount="0" w:hash="I+DRv+5RcRoHGMiobNIEBsh+e70=" w:salt="4OAgySE1Ct+sML/QsuZObg=="/>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D25EF"/>
    <w:rsid w:val="00097B8B"/>
    <w:rsid w:val="000A6408"/>
    <w:rsid w:val="000D25EF"/>
    <w:rsid w:val="00985D1B"/>
    <w:rsid w:val="00DC5C86"/>
    <w:rsid w:val="00FB5843"/>
    <w:rsid w:val="32204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标题 1 Char"/>
    <w:basedOn w:val="7"/>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5096F7-3BDC-4CF3-BCFE-589B5907EE26}">
  <ds:schemaRefs/>
</ds:datastoreItem>
</file>

<file path=docProps/app.xml><?xml version="1.0" encoding="utf-8"?>
<Properties xmlns="http://schemas.openxmlformats.org/officeDocument/2006/extended-properties" xmlns:vt="http://schemas.openxmlformats.org/officeDocument/2006/docPropsVTypes">
  <Template>Normal</Template>
  <Pages>6</Pages>
  <Words>484</Words>
  <Characters>2762</Characters>
  <Lines>23</Lines>
  <Paragraphs>6</Paragraphs>
  <TotalTime>10</TotalTime>
  <ScaleCrop>false</ScaleCrop>
  <LinksUpToDate>false</LinksUpToDate>
  <CharactersWithSpaces>3240</CharactersWithSpaces>
  <Application>WPS Office_11.1.0.10577_F1E327BC-269C-435d-A152-05C5408002CA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2021-02-22T02:14:00Z</dcterms:created>
  <dc:creator>Administrator</dc:creator>
  <cp:lastModifiedBy>Administrator</cp:lastModifiedBy>
  <dcterms:modified xsi:type="dcterms:W3CDTF">2021-06-22T08:36:18Z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987C0665A2D142E5A3B96A7A269C321B</vt:lpwstr>
  </property>
</Properties>
</file>