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000000"/>
          <w:sz w:val="44"/>
          <w:szCs w:val="44"/>
        </w:rPr>
      </w:pPr>
      <w:bookmarkStart w:id="1" w:name="_GoBack"/>
      <w:r>
        <w:rPr>
          <w:rFonts w:hint="eastAsia" w:ascii="方正小标宋简体" w:hAnsi="方正小标宋简体" w:eastAsia="方正小标宋简体" w:cs="方正小标宋简体"/>
          <w:color w:val="000000"/>
          <w:sz w:val="44"/>
          <w:szCs w:val="44"/>
        </w:rPr>
        <w:t>安徽省政府采购“徽采云”监管系统</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管理办法</w:t>
      </w:r>
    </w:p>
    <w:bookmarkEnd w:id="1"/>
    <w:p>
      <w:pPr>
        <w:spacing w:line="560" w:lineRule="exact"/>
        <w:jc w:val="center"/>
        <w:rPr>
          <w:rFonts w:hint="eastAsia" w:ascii="方正小标宋简体" w:hAnsi="方正小标宋简体" w:eastAsia="方正小标宋简体" w:cs="方正小标宋简体"/>
          <w:color w:val="000000"/>
          <w:sz w:val="44"/>
          <w:szCs w:val="44"/>
        </w:rPr>
      </w:pPr>
    </w:p>
    <w:p>
      <w:pPr>
        <w:spacing w:line="560" w:lineRule="exact"/>
        <w:jc w:val="center"/>
        <w:outlineLvl w:val="0"/>
        <w:rPr>
          <w:rFonts w:ascii="黑体" w:hAnsi="黑体" w:eastAsia="黑体" w:cs="黑体"/>
          <w:color w:val="000000"/>
          <w:szCs w:val="32"/>
        </w:rPr>
      </w:pPr>
      <w:r>
        <w:rPr>
          <w:rFonts w:hint="eastAsia" w:ascii="黑体" w:hAnsi="黑体" w:eastAsia="黑体" w:cs="黑体"/>
          <w:color w:val="000000"/>
          <w:szCs w:val="32"/>
        </w:rPr>
        <w:t>第一章  总  则</w:t>
      </w:r>
    </w:p>
    <w:p>
      <w:pPr>
        <w:pStyle w:val="2"/>
        <w:widowControl/>
        <w:spacing w:before="0" w:beforeAutospacing="0" w:after="0" w:afterAutospacing="0" w:line="56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第一条</w:t>
      </w:r>
      <w:r>
        <w:rPr>
          <w:rFonts w:hint="eastAsia" w:ascii="仿宋_GB2312" w:hAnsi="仿宋_GB2312" w:eastAsia="仿宋_GB2312" w:cs="仿宋_GB2312"/>
          <w:color w:val="000000"/>
          <w:sz w:val="32"/>
          <w:szCs w:val="32"/>
        </w:rPr>
        <w:t xml:space="preserve">  为规范政府采购行为，提高政府采购绩效，优化政府采购营商环境，根据《中华人民共和国政府采购法》</w:t>
      </w:r>
      <w:r>
        <w:rPr>
          <w:rFonts w:hint="eastAsia" w:ascii="仿宋_GB2312" w:eastAsia="仿宋_GB2312" w:cs="仿宋_GB2312"/>
          <w:sz w:val="32"/>
          <w:szCs w:val="32"/>
        </w:rPr>
        <w:t>《中华人民共和国政府采购法实施条例》</w:t>
      </w:r>
      <w:r>
        <w:rPr>
          <w:rFonts w:hint="eastAsia" w:ascii="仿宋_GB2312" w:hAnsi="仿宋_GB2312" w:eastAsia="仿宋_GB2312" w:cs="仿宋_GB2312"/>
          <w:color w:val="000000"/>
          <w:sz w:val="32"/>
          <w:szCs w:val="32"/>
        </w:rPr>
        <w:t>等有关法律法规，</w:t>
      </w:r>
      <w:r>
        <w:rPr>
          <w:rFonts w:hint="eastAsia" w:ascii="仿宋_GB2312" w:eastAsia="仿宋_GB2312" w:cs="仿宋_GB2312"/>
          <w:sz w:val="32"/>
          <w:szCs w:val="32"/>
        </w:rPr>
        <w:t>结合我省实际情况，</w:t>
      </w:r>
      <w:r>
        <w:rPr>
          <w:rFonts w:hint="eastAsia" w:ascii="仿宋_GB2312" w:hAnsi="仿宋_GB2312" w:eastAsia="仿宋_GB2312" w:cs="仿宋_GB2312"/>
          <w:color w:val="000000"/>
          <w:sz w:val="32"/>
          <w:szCs w:val="32"/>
        </w:rPr>
        <w:t>制定本办法。</w:t>
      </w:r>
    </w:p>
    <w:p>
      <w:pPr>
        <w:pStyle w:val="2"/>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第二条</w:t>
      </w:r>
      <w:r>
        <w:rPr>
          <w:rFonts w:hint="eastAsia" w:ascii="仿宋_GB2312" w:hAnsi="仿宋_GB2312" w:eastAsia="仿宋_GB2312" w:cs="仿宋_GB2312"/>
          <w:color w:val="000000"/>
          <w:sz w:val="32"/>
          <w:szCs w:val="32"/>
        </w:rPr>
        <w:t xml:space="preserve">  本办法所称监管系统，是安徽省财政厅深化政府采购制度改革的具体举措，运用互联网、云计算、大数据等新技术，建立的全省统一的政府采购监管系统。该系统是预算管理一体化系统的外网模块，实现政府采购项目从预算编制、项目采购到资金支付的全生命周期管理，全流程无纸化操作。</w:t>
      </w:r>
    </w:p>
    <w:p>
      <w:pPr>
        <w:pStyle w:val="2"/>
        <w:widowControl/>
        <w:spacing w:before="0" w:beforeAutospacing="0" w:after="0" w:afterAutospacing="0" w:line="560" w:lineRule="exact"/>
        <w:ind w:firstLine="643" w:firstLineChars="200"/>
        <w:rPr>
          <w:color w:val="000000"/>
        </w:rPr>
      </w:pPr>
      <w:r>
        <w:rPr>
          <w:rFonts w:hint="eastAsia" w:ascii="楷体_GB2312" w:hAnsi="楷体_GB2312" w:eastAsia="楷体_GB2312" w:cs="楷体_GB2312"/>
          <w:b/>
          <w:bCs/>
          <w:color w:val="000000"/>
          <w:sz w:val="32"/>
          <w:szCs w:val="32"/>
        </w:rPr>
        <w:t>第三条</w:t>
      </w:r>
      <w:r>
        <w:rPr>
          <w:rFonts w:hint="eastAsia" w:ascii="仿宋_GB2312" w:hAnsi="仿宋_GB2312" w:eastAsia="仿宋_GB2312" w:cs="仿宋_GB2312"/>
          <w:color w:val="000000"/>
          <w:sz w:val="32"/>
          <w:szCs w:val="32"/>
        </w:rPr>
        <w:t xml:space="preserve">  政府采购监管系统作为“徽采云”平台“一网三系统”之一，由安徽省财政厅负责建设和维护，全省各级预算单位、政府采购监管部门、集采机构和社会代理机构共同使用，具备采购指标确认、意向公开、单一来源公示、采购计划备案、任务书生成与下达、公告发布、合同备案、变更采购方式、进口产品核准等功能</w:t>
      </w:r>
      <w:r>
        <w:rPr>
          <w:rFonts w:hint="eastAsia" w:ascii="仿宋_GB2312" w:eastAsia="仿宋_GB2312" w:cs="仿宋_GB2312"/>
          <w:color w:val="000000"/>
          <w:sz w:val="32"/>
          <w:szCs w:val="32"/>
        </w:rPr>
        <w:t>。</w:t>
      </w:r>
    </w:p>
    <w:p>
      <w:pPr>
        <w:spacing w:line="560" w:lineRule="exact"/>
        <w:ind w:firstLine="643" w:firstLineChars="200"/>
        <w:rPr>
          <w:rFonts w:ascii="仿宋_GB2312" w:hAnsi="仿宋_GB2312" w:cs="仿宋_GB2312"/>
          <w:color w:val="000000"/>
          <w:szCs w:val="32"/>
        </w:rPr>
      </w:pPr>
      <w:r>
        <w:rPr>
          <w:rFonts w:hint="eastAsia" w:ascii="楷体_GB2312" w:hAnsi="楷体_GB2312" w:eastAsia="楷体_GB2312" w:cs="楷体_GB2312"/>
          <w:b/>
          <w:bCs/>
          <w:color w:val="000000"/>
          <w:szCs w:val="32"/>
        </w:rPr>
        <w:t xml:space="preserve">第四条  </w:t>
      </w:r>
      <w:r>
        <w:rPr>
          <w:rFonts w:hint="eastAsia" w:ascii="仿宋_GB2312" w:hAnsi="仿宋_GB2312" w:cs="仿宋_GB2312"/>
          <w:color w:val="000000"/>
          <w:szCs w:val="32"/>
        </w:rPr>
        <w:t>本办法所称政府采购，是指全省各级国家机关、事业单位和团体组织，使用财政性资金采购依法制定的集中采购目录以内或者采购限额标准以上的货物、工程和服务的行为。</w:t>
      </w:r>
    </w:p>
    <w:p>
      <w:pPr>
        <w:spacing w:line="560" w:lineRule="exact"/>
        <w:ind w:firstLine="643" w:firstLineChars="200"/>
        <w:rPr>
          <w:rFonts w:ascii="仿宋_GB2312" w:hAnsi="仿宋" w:cs="仿宋"/>
          <w:color w:val="000000"/>
          <w:kern w:val="0"/>
          <w:szCs w:val="32"/>
        </w:rPr>
      </w:pPr>
      <w:r>
        <w:rPr>
          <w:rFonts w:hint="eastAsia" w:ascii="楷体_GB2312" w:eastAsia="楷体_GB2312" w:cs="仿宋"/>
          <w:b/>
          <w:bCs/>
          <w:color w:val="000000"/>
          <w:szCs w:val="32"/>
        </w:rPr>
        <w:t>第五条</w:t>
      </w:r>
      <w:r>
        <w:rPr>
          <w:rFonts w:hint="eastAsia" w:ascii="仿宋_GB2312" w:hAnsi="仿宋" w:cs="仿宋"/>
          <w:b/>
          <w:bCs/>
          <w:color w:val="000000"/>
          <w:szCs w:val="32"/>
        </w:rPr>
        <w:t xml:space="preserve">  </w:t>
      </w:r>
      <w:r>
        <w:rPr>
          <w:rFonts w:hint="eastAsia" w:ascii="仿宋_GB2312" w:hAnsi="仿宋" w:cs="仿宋"/>
          <w:color w:val="000000"/>
          <w:szCs w:val="32"/>
        </w:rPr>
        <w:t>本办法所称采购人，</w:t>
      </w:r>
      <w:r>
        <w:rPr>
          <w:rFonts w:hint="eastAsia" w:ascii="仿宋_GB2312" w:hAnsi="仿宋" w:cs="仿宋"/>
          <w:color w:val="000000"/>
          <w:kern w:val="0"/>
          <w:szCs w:val="32"/>
        </w:rPr>
        <w:t>是指全省各级国家机关、事业单位和团体组织，不包括国有企业，各单位工会组织及村民委员会、居民委员会等群众自治组织。</w:t>
      </w:r>
    </w:p>
    <w:p>
      <w:pPr>
        <w:spacing w:line="560" w:lineRule="exact"/>
        <w:ind w:firstLine="643" w:firstLineChars="200"/>
        <w:rPr>
          <w:rFonts w:ascii="仿宋_GB2312" w:hAnsi="仿宋" w:cs="仿宋"/>
          <w:color w:val="000000"/>
          <w:kern w:val="0"/>
          <w:szCs w:val="32"/>
        </w:rPr>
      </w:pPr>
      <w:r>
        <w:rPr>
          <w:rFonts w:hint="eastAsia" w:ascii="楷体_GB2312" w:hAnsi="楷体_GB2312" w:eastAsia="楷体_GB2312" w:cs="楷体_GB2312"/>
          <w:b/>
          <w:bCs/>
          <w:color w:val="000000"/>
          <w:kern w:val="0"/>
          <w:szCs w:val="32"/>
        </w:rPr>
        <w:t xml:space="preserve">第六条 </w:t>
      </w:r>
      <w:r>
        <w:rPr>
          <w:rFonts w:hint="eastAsia" w:ascii="仿宋_GB2312" w:hAnsi="仿宋" w:cs="仿宋"/>
          <w:color w:val="000000"/>
          <w:kern w:val="0"/>
          <w:szCs w:val="32"/>
        </w:rPr>
        <w:t xml:space="preserve"> 本办法所称财政性资金，是指纳入预算管理的资金。以财政性资金作为还款来源的借贷资金视同财政性资金。</w:t>
      </w:r>
    </w:p>
    <w:p>
      <w:pPr>
        <w:spacing w:line="560" w:lineRule="exact"/>
        <w:ind w:firstLine="640"/>
        <w:rPr>
          <w:rFonts w:ascii="仿宋_GB2312"/>
          <w:color w:val="000000"/>
          <w:szCs w:val="32"/>
        </w:rPr>
      </w:pPr>
      <w:r>
        <w:rPr>
          <w:rFonts w:hint="eastAsia" w:ascii="楷体_GB2312" w:hAnsi="楷体_GB2312" w:eastAsia="楷体_GB2312" w:cs="楷体_GB2312"/>
          <w:b/>
          <w:bCs/>
          <w:color w:val="000000"/>
          <w:szCs w:val="32"/>
        </w:rPr>
        <w:t xml:space="preserve">第七条 </w:t>
      </w:r>
      <w:r>
        <w:rPr>
          <w:rFonts w:hint="eastAsia" w:ascii="仿宋_GB2312" w:hAnsi="仿宋_GB2312" w:cs="仿宋_GB2312"/>
          <w:color w:val="000000"/>
          <w:szCs w:val="32"/>
        </w:rPr>
        <w:t xml:space="preserve"> </w:t>
      </w:r>
      <w:r>
        <w:rPr>
          <w:rFonts w:hint="eastAsia" w:ascii="仿宋_GB2312"/>
          <w:color w:val="000000"/>
          <w:szCs w:val="32"/>
        </w:rPr>
        <w:t>本办法所称政府采购集中采购目录，</w:t>
      </w:r>
      <w:r>
        <w:rPr>
          <w:rFonts w:hint="eastAsia" w:ascii="仿宋_GB2312" w:hAnsi="仿宋_GB2312" w:cs="仿宋_GB2312"/>
          <w:szCs w:val="32"/>
        </w:rPr>
        <w:t>由安徽省人民政府授权安徽省财政厅确定并公布</w:t>
      </w:r>
      <w:r>
        <w:rPr>
          <w:rFonts w:hint="eastAsia" w:ascii="仿宋_GB2312" w:hAnsi="仿宋_GB2312" w:cs="仿宋_GB2312"/>
          <w:color w:val="000000"/>
          <w:szCs w:val="32"/>
        </w:rPr>
        <w:t>，</w:t>
      </w:r>
      <w:r>
        <w:rPr>
          <w:rFonts w:hint="eastAsia" w:ascii="仿宋_GB2312"/>
          <w:color w:val="000000"/>
          <w:szCs w:val="32"/>
        </w:rPr>
        <w:t>在全省统一执行。</w:t>
      </w:r>
    </w:p>
    <w:p>
      <w:pPr>
        <w:spacing w:line="560" w:lineRule="exact"/>
        <w:ind w:firstLine="643" w:firstLineChars="200"/>
        <w:rPr>
          <w:rFonts w:ascii="仿宋_GB2312"/>
          <w:color w:val="000000"/>
          <w:szCs w:val="32"/>
        </w:rPr>
      </w:pPr>
      <w:r>
        <w:rPr>
          <w:rFonts w:hint="eastAsia" w:ascii="楷体_GB2312" w:eastAsia="楷体_GB2312" w:cs="仿宋"/>
          <w:b/>
          <w:bCs/>
          <w:color w:val="000000"/>
          <w:szCs w:val="32"/>
        </w:rPr>
        <w:t>第八条</w:t>
      </w:r>
      <w:r>
        <w:rPr>
          <w:rFonts w:hint="eastAsia" w:ascii="仿宋_GB2312"/>
          <w:color w:val="000000"/>
          <w:szCs w:val="32"/>
        </w:rPr>
        <w:t xml:space="preserve">  本办法所称政府采购方式，包括公开招标、邀请招标、竞争性谈判、竞争性磋商、单一来源采购、询价、框架协议和国务院政府采购监督管理部门认定的其他采购方式。</w:t>
      </w:r>
    </w:p>
    <w:p>
      <w:pPr>
        <w:spacing w:line="560" w:lineRule="exact"/>
        <w:ind w:firstLine="643" w:firstLineChars="200"/>
        <w:rPr>
          <w:rFonts w:hint="eastAsia" w:ascii="仿宋_GB2312"/>
          <w:color w:val="000000"/>
          <w:szCs w:val="32"/>
        </w:rPr>
      </w:pPr>
      <w:r>
        <w:rPr>
          <w:rFonts w:hint="eastAsia" w:ascii="楷体_GB2312" w:eastAsia="楷体_GB2312" w:cs="仿宋"/>
          <w:b/>
          <w:bCs/>
          <w:color w:val="000000"/>
          <w:szCs w:val="32"/>
        </w:rPr>
        <w:t>第九条</w:t>
      </w:r>
      <w:r>
        <w:rPr>
          <w:rFonts w:hint="eastAsia" w:ascii="仿宋_GB2312"/>
          <w:color w:val="000000"/>
          <w:szCs w:val="32"/>
        </w:rPr>
        <w:t xml:space="preserve">  本办法所称化整为零方式规避公开招标，是指在一个财政年度内，采购人将一个预算项目下的同一品目或者类别的货物、服务采用公开招标以外的方式多次采购，累计资金数额超过公开招标数额标准的行为，但</w:t>
      </w:r>
      <w:r>
        <w:rPr>
          <w:rFonts w:hint="eastAsia" w:ascii="仿宋_GB2312" w:hAnsi="仿宋_GB2312" w:cs="仿宋_GB2312"/>
          <w:szCs w:val="32"/>
        </w:rPr>
        <w:t>项目预算调整</w:t>
      </w:r>
      <w:r>
        <w:rPr>
          <w:rFonts w:hint="eastAsia" w:ascii="仿宋_GB2312"/>
          <w:color w:val="000000"/>
          <w:szCs w:val="32"/>
        </w:rPr>
        <w:t>、框架协议采购或者经批准采用公开招标以外方式采购的除外。</w:t>
      </w:r>
    </w:p>
    <w:p>
      <w:pPr>
        <w:spacing w:line="560" w:lineRule="exact"/>
        <w:ind w:firstLine="643" w:firstLineChars="200"/>
        <w:rPr>
          <w:rFonts w:ascii="仿宋_GB2312"/>
          <w:color w:val="000000"/>
          <w:szCs w:val="32"/>
        </w:rPr>
      </w:pPr>
      <w:r>
        <w:rPr>
          <w:rFonts w:hint="eastAsia" w:ascii="楷体_GB2312" w:hAnsi="楷体_GB2312" w:eastAsia="楷体_GB2312" w:cs="楷体_GB2312"/>
          <w:b/>
          <w:bCs/>
          <w:color w:val="000000"/>
          <w:szCs w:val="32"/>
        </w:rPr>
        <w:t xml:space="preserve">第十条 </w:t>
      </w:r>
      <w:r>
        <w:rPr>
          <w:rFonts w:hint="eastAsia" w:ascii="仿宋_GB2312"/>
          <w:color w:val="000000"/>
          <w:szCs w:val="32"/>
        </w:rPr>
        <w:t xml:space="preserve"> 本办法所称规避政府采购，是指在一个财政年度内，采购人将一个预算项目下的同品目或者类别的货物、服务项目自行自主采购，累计资金数额超过采购限额标准的行为。</w:t>
      </w:r>
    </w:p>
    <w:p>
      <w:pPr>
        <w:spacing w:line="560" w:lineRule="exact"/>
        <w:ind w:firstLine="643" w:firstLineChars="200"/>
        <w:rPr>
          <w:rFonts w:hint="eastAsia" w:ascii="仿宋_GB2312"/>
          <w:color w:val="000000"/>
          <w:szCs w:val="32"/>
        </w:rPr>
      </w:pPr>
      <w:r>
        <w:rPr>
          <w:rFonts w:hint="eastAsia" w:ascii="楷体_GB2312" w:hAnsi="楷体_GB2312" w:eastAsia="楷体_GB2312" w:cs="楷体_GB2312"/>
          <w:b/>
          <w:bCs/>
          <w:color w:val="000000"/>
          <w:szCs w:val="32"/>
        </w:rPr>
        <w:t>第十一条</w:t>
      </w:r>
      <w:r>
        <w:rPr>
          <w:rFonts w:hint="eastAsia" w:ascii="仿宋_GB2312"/>
          <w:color w:val="000000"/>
          <w:szCs w:val="32"/>
        </w:rPr>
        <w:t xml:space="preserve">  有下列情形之一的，不适用于本办法：</w:t>
      </w:r>
    </w:p>
    <w:p>
      <w:pPr>
        <w:spacing w:line="560" w:lineRule="exact"/>
        <w:ind w:firstLine="640" w:firstLineChars="200"/>
        <w:rPr>
          <w:rFonts w:hint="eastAsia" w:ascii="仿宋_GB2312"/>
          <w:color w:val="000000"/>
          <w:szCs w:val="32"/>
        </w:rPr>
      </w:pPr>
      <w:r>
        <w:rPr>
          <w:rFonts w:hint="eastAsia" w:ascii="仿宋_GB2312"/>
          <w:color w:val="000000"/>
          <w:szCs w:val="32"/>
        </w:rPr>
        <w:t>（一）涉及国家安全和秘密的；</w:t>
      </w:r>
    </w:p>
    <w:p>
      <w:pPr>
        <w:spacing w:line="560" w:lineRule="exact"/>
        <w:ind w:firstLine="640" w:firstLineChars="200"/>
        <w:rPr>
          <w:rFonts w:hint="eastAsia" w:ascii="仿宋_GB2312" w:hAnsi="仿宋_GB2312" w:cs="仿宋_GB2312"/>
          <w:szCs w:val="32"/>
        </w:rPr>
      </w:pPr>
      <w:r>
        <w:rPr>
          <w:rFonts w:hint="eastAsia" w:ascii="仿宋_GB2312"/>
          <w:szCs w:val="32"/>
        </w:rPr>
        <w:t>（二）</w:t>
      </w:r>
      <w:r>
        <w:rPr>
          <w:rFonts w:hint="eastAsia" w:ascii="仿宋_GB2312" w:hAnsi="仿宋_GB2312" w:cs="仿宋_GB2312"/>
          <w:szCs w:val="32"/>
        </w:rPr>
        <w:t>因严重自然灾害和其他不可抗力事件所实施的紧急采购。</w:t>
      </w:r>
    </w:p>
    <w:p>
      <w:pPr>
        <w:spacing w:line="560" w:lineRule="exact"/>
        <w:ind w:firstLine="640" w:firstLineChars="200"/>
        <w:rPr>
          <w:rFonts w:hint="eastAsia" w:ascii="仿宋_GB2312"/>
          <w:color w:val="000000"/>
          <w:szCs w:val="32"/>
        </w:rPr>
      </w:pPr>
    </w:p>
    <w:p>
      <w:pPr>
        <w:spacing w:line="560" w:lineRule="exact"/>
        <w:jc w:val="center"/>
        <w:outlineLvl w:val="0"/>
        <w:rPr>
          <w:rFonts w:ascii="黑体" w:hAnsi="黑体" w:eastAsia="黑体" w:cs="黑体"/>
          <w:color w:val="000000"/>
          <w:szCs w:val="32"/>
        </w:rPr>
      </w:pPr>
      <w:r>
        <w:rPr>
          <w:rFonts w:hint="eastAsia" w:ascii="黑体" w:hAnsi="黑体" w:eastAsia="黑体" w:cs="黑体"/>
          <w:color w:val="000000"/>
          <w:szCs w:val="32"/>
        </w:rPr>
        <w:t>第二章  政府采购预算编制与调剂</w:t>
      </w:r>
    </w:p>
    <w:p>
      <w:pPr>
        <w:spacing w:line="560" w:lineRule="exact"/>
        <w:ind w:firstLine="643" w:firstLineChars="20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第十二条</w:t>
      </w:r>
      <w:r>
        <w:rPr>
          <w:rFonts w:hint="eastAsia" w:ascii="仿宋_GB2312" w:hAnsi="仿宋_GB2312" w:cs="仿宋_GB2312"/>
          <w:color w:val="000000"/>
          <w:szCs w:val="32"/>
        </w:rPr>
        <w:t xml:space="preserve">  </w:t>
      </w:r>
      <w:r>
        <w:rPr>
          <w:rFonts w:hint="eastAsia" w:ascii="仿宋_GB2312" w:hAnsi="仿宋_GB2312" w:cs="仿宋_GB2312"/>
          <w:szCs w:val="32"/>
        </w:rPr>
        <w:t>根据《中华人民共和国政府采购法》《中华人民共和国预算法》等相关规定</w:t>
      </w:r>
      <w:r>
        <w:rPr>
          <w:rFonts w:hint="eastAsia" w:ascii="仿宋_GB2312" w:hAnsi="仿宋_GB2312" w:cs="仿宋_GB2312"/>
          <w:color w:val="000000"/>
          <w:szCs w:val="32"/>
        </w:rPr>
        <w:t>，国家机关、事业单位和团体组织应当与部门预算同步编制、申报政府采购预算，并预留专门面向中小企业采购份额。</w:t>
      </w:r>
      <w:r>
        <w:rPr>
          <w:rFonts w:hint="eastAsia" w:ascii="仿宋_GB2312" w:hAnsi="仿宋_GB2312" w:cs="仿宋_GB2312"/>
          <w:szCs w:val="32"/>
        </w:rPr>
        <w:t>采购人涉及资产采购的，应按照要求同步编制新增资产配置预算。</w:t>
      </w:r>
    </w:p>
    <w:p>
      <w:pPr>
        <w:spacing w:line="560" w:lineRule="exact"/>
        <w:ind w:firstLine="643" w:firstLineChars="20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 xml:space="preserve">第十三条 </w:t>
      </w:r>
      <w:r>
        <w:rPr>
          <w:rFonts w:hint="eastAsia" w:ascii="仿宋_GB2312" w:hAnsi="仿宋_GB2312" w:cs="仿宋_GB2312"/>
          <w:b/>
          <w:bCs/>
          <w:color w:val="000000"/>
          <w:szCs w:val="32"/>
        </w:rPr>
        <w:t xml:space="preserve"> </w:t>
      </w:r>
      <w:r>
        <w:rPr>
          <w:rFonts w:hint="eastAsia" w:ascii="仿宋_GB2312" w:hAnsi="仿宋_GB2312" w:cs="仿宋_GB2312"/>
          <w:color w:val="000000"/>
          <w:szCs w:val="32"/>
        </w:rPr>
        <w:t>采购人应在充分分析上年度政府采购执行情况的基础上，结合本年度单位采购需求，科学合理编制政府采购预算，做到应编尽编。原则上，符合以下情况的政府采购项目均应编制政府采购预算：</w:t>
      </w:r>
    </w:p>
    <w:p>
      <w:pPr>
        <w:spacing w:line="560" w:lineRule="exact"/>
        <w:ind w:firstLine="640" w:firstLineChars="200"/>
        <w:rPr>
          <w:szCs w:val="32"/>
        </w:rPr>
      </w:pPr>
      <w:r>
        <w:rPr>
          <w:rFonts w:hint="eastAsia"/>
          <w:szCs w:val="32"/>
        </w:rPr>
        <w:t>（一）集中采购目录内备注为网上商城的货物（驻肥单位为15类，其他市县为14类）、3类车辆、4类备注为定点采购的服务项目；</w:t>
      </w:r>
    </w:p>
    <w:p>
      <w:pPr>
        <w:spacing w:line="560" w:lineRule="exact"/>
        <w:ind w:firstLine="640" w:firstLineChars="200"/>
        <w:rPr>
          <w:szCs w:val="32"/>
        </w:rPr>
      </w:pPr>
      <w:r>
        <w:rPr>
          <w:rFonts w:hint="eastAsia"/>
          <w:szCs w:val="32"/>
        </w:rPr>
        <w:t>（二）集中采购目录以内单项或批量满30万元的其他货物、服务；</w:t>
      </w:r>
    </w:p>
    <w:p>
      <w:pPr>
        <w:spacing w:line="560" w:lineRule="exact"/>
        <w:ind w:firstLine="640" w:firstLineChars="200"/>
        <w:rPr>
          <w:rFonts w:hint="eastAsia"/>
          <w:szCs w:val="32"/>
        </w:rPr>
      </w:pPr>
      <w:r>
        <w:rPr>
          <w:rFonts w:hint="eastAsia"/>
          <w:szCs w:val="32"/>
        </w:rPr>
        <w:t>（三）集中采购目录以外，达到分散采购限额标准的货物、工程（含依法必须招标的工程项目）、服务。</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szCs w:val="32"/>
        </w:rPr>
        <w:t>定点采购是否纳入预算编制由各地按照实际情况确定。</w:t>
      </w:r>
    </w:p>
    <w:p>
      <w:pPr>
        <w:spacing w:line="560" w:lineRule="exact"/>
        <w:ind w:firstLine="643" w:firstLineChars="200"/>
        <w:rPr>
          <w:rFonts w:ascii="仿宋_GB2312" w:hAnsi="仿宋_GB2312" w:cs="仿宋_GB2312"/>
          <w:color w:val="000000"/>
          <w:szCs w:val="32"/>
        </w:rPr>
      </w:pPr>
      <w:r>
        <w:rPr>
          <w:rFonts w:hint="eastAsia" w:ascii="楷体_GB2312" w:hAnsi="楷体_GB2312" w:eastAsia="楷体_GB2312" w:cs="楷体_GB2312"/>
          <w:b/>
          <w:bCs/>
          <w:color w:val="000000"/>
          <w:szCs w:val="32"/>
        </w:rPr>
        <w:t>第十四条</w:t>
      </w:r>
      <w:r>
        <w:rPr>
          <w:rFonts w:hint="eastAsia" w:ascii="仿宋_GB2312" w:hAnsi="仿宋_GB2312" w:cs="仿宋_GB2312"/>
          <w:b/>
          <w:bCs/>
          <w:color w:val="000000"/>
          <w:szCs w:val="32"/>
        </w:rPr>
        <w:t xml:space="preserve">  </w:t>
      </w:r>
      <w:r>
        <w:rPr>
          <w:rFonts w:hint="eastAsia" w:ascii="仿宋_GB2312" w:hAnsi="仿宋_GB2312" w:cs="仿宋_GB2312"/>
          <w:color w:val="000000"/>
          <w:szCs w:val="32"/>
        </w:rPr>
        <w:t>符合以下情形之一的项目，无需编制政府采购预算：</w:t>
      </w:r>
    </w:p>
    <w:p>
      <w:pPr>
        <w:spacing w:line="560" w:lineRule="exact"/>
        <w:ind w:left="1309" w:leftChars="304" w:hanging="336" w:hangingChars="100"/>
        <w:rPr>
          <w:rFonts w:hint="eastAsia" w:ascii="仿宋_GB2312" w:hAnsi="仿宋_GB2312" w:cs="仿宋_GB2312"/>
          <w:color w:val="000000"/>
          <w:spacing w:val="8"/>
          <w:szCs w:val="32"/>
        </w:rPr>
      </w:pPr>
      <w:r>
        <w:rPr>
          <w:rFonts w:hint="eastAsia" w:ascii="仿宋_GB2312" w:hAnsi="仿宋_GB2312" w:cs="仿宋_GB2312"/>
          <w:color w:val="000000"/>
          <w:spacing w:val="8"/>
          <w:szCs w:val="32"/>
        </w:rPr>
        <w:t>（一）采购人不是国家机关、事业单位和团体组织的；</w:t>
      </w:r>
    </w:p>
    <w:p>
      <w:pPr>
        <w:spacing w:line="560" w:lineRule="exact"/>
        <w:ind w:firstLine="672" w:firstLineChars="200"/>
        <w:rPr>
          <w:rFonts w:hint="eastAsia" w:ascii="仿宋_GB2312" w:hAnsi="仿宋_GB2312" w:cs="仿宋_GB2312"/>
          <w:color w:val="000000"/>
          <w:spacing w:val="8"/>
          <w:szCs w:val="32"/>
        </w:rPr>
      </w:pPr>
      <w:r>
        <w:rPr>
          <w:rFonts w:hint="eastAsia" w:ascii="仿宋_GB2312" w:hAnsi="仿宋_GB2312" w:cs="仿宋_GB2312"/>
          <w:color w:val="000000"/>
          <w:spacing w:val="8"/>
          <w:szCs w:val="32"/>
        </w:rPr>
        <w:t>（二）未使用财政性资金的；</w:t>
      </w:r>
    </w:p>
    <w:p>
      <w:pPr>
        <w:spacing w:line="560" w:lineRule="exact"/>
        <w:ind w:firstLine="672" w:firstLineChars="200"/>
        <w:rPr>
          <w:rFonts w:ascii="仿宋_GB2312" w:hAnsi="仿宋_GB2312" w:cs="仿宋_GB2312"/>
          <w:color w:val="000000"/>
          <w:szCs w:val="32"/>
        </w:rPr>
      </w:pPr>
      <w:r>
        <w:rPr>
          <w:rFonts w:hint="eastAsia" w:ascii="仿宋_GB2312" w:hAnsi="仿宋_GB2312" w:cs="仿宋_GB2312"/>
          <w:color w:val="000000"/>
          <w:spacing w:val="8"/>
          <w:szCs w:val="32"/>
        </w:rPr>
        <w:t>（三）属于本办法第十三条规定情形以外的。</w:t>
      </w:r>
    </w:p>
    <w:p>
      <w:pPr>
        <w:spacing w:line="560" w:lineRule="exact"/>
        <w:ind w:firstLine="643" w:firstLineChars="200"/>
        <w:rPr>
          <w:szCs w:val="32"/>
        </w:rPr>
      </w:pPr>
      <w:r>
        <w:rPr>
          <w:rFonts w:hint="eastAsia" w:ascii="楷体_GB2312" w:hAnsi="楷体_GB2312" w:eastAsia="楷体_GB2312" w:cs="楷体_GB2312"/>
          <w:b/>
          <w:bCs/>
          <w:color w:val="000000"/>
          <w:szCs w:val="32"/>
        </w:rPr>
        <w:t>第十五条</w:t>
      </w:r>
      <w:r>
        <w:rPr>
          <w:rFonts w:hint="eastAsia" w:ascii="仿宋_GB2312" w:hAnsi="仿宋_GB2312" w:cs="仿宋_GB2312"/>
          <w:b/>
          <w:bCs/>
          <w:color w:val="000000"/>
          <w:szCs w:val="32"/>
        </w:rPr>
        <w:t xml:space="preserve">  </w:t>
      </w:r>
      <w:r>
        <w:rPr>
          <w:rFonts w:hint="eastAsia"/>
          <w:szCs w:val="32"/>
        </w:rPr>
        <w:t>各级主管预算单位应积极落实预留专门面向中小企业采购份额的主体责任，充分评估本部门及所属预算单位当年度政府采购项目，对适宜由中小企业提供的，应要求有关单位预留专门面向中小企业采购份额。其中：200万元以下的货物、服务采购项目，400万元以下的工程采购项目适宜由中小企业提供的，原则上应当全额面向中小企业采购。超过200万元的货物、服务采购项目，超过400万元的工程采购项目中适宜由中小企业提供的，预留该部分采购项目预算总额的40%以上专门面向中小企业采购，其中预留给小微企业的比例不低于70%。预留采购份额应在政府采购预算中单独列示，并将执行情况向社会公开。</w:t>
      </w:r>
    </w:p>
    <w:p>
      <w:pPr>
        <w:spacing w:line="560" w:lineRule="exact"/>
        <w:ind w:firstLine="643" w:firstLineChars="200"/>
        <w:rPr>
          <w:rFonts w:ascii="仿宋_GB2312" w:hAnsi="仿宋_GB2312" w:cs="仿宋_GB2312"/>
          <w:b/>
          <w:bCs/>
          <w:color w:val="000000"/>
          <w:szCs w:val="32"/>
        </w:rPr>
      </w:pPr>
      <w:r>
        <w:rPr>
          <w:rFonts w:hint="eastAsia" w:ascii="楷体_GB2312" w:hAnsi="楷体_GB2312" w:eastAsia="楷体_GB2312" w:cs="楷体_GB2312"/>
          <w:b/>
          <w:bCs/>
          <w:color w:val="000000"/>
          <w:szCs w:val="32"/>
        </w:rPr>
        <w:t>第十六条</w:t>
      </w:r>
      <w:r>
        <w:rPr>
          <w:rFonts w:hint="eastAsia" w:ascii="仿宋_GB2312" w:hAnsi="仿宋_GB2312" w:cs="仿宋_GB2312"/>
          <w:b/>
          <w:bCs/>
          <w:color w:val="000000"/>
          <w:szCs w:val="32"/>
        </w:rPr>
        <w:t xml:space="preserve">  </w:t>
      </w:r>
      <w:r>
        <w:rPr>
          <w:rFonts w:hint="eastAsia" w:ascii="仿宋_GB2312" w:hAnsi="仿宋_GB2312" w:cs="仿宋_GB2312"/>
          <w:color w:val="000000"/>
          <w:szCs w:val="32"/>
        </w:rPr>
        <w:t>符合下列情形之一的，可不专门面向中小企业预留采购份额：</w:t>
      </w:r>
      <w:r>
        <w:rPr>
          <w:rFonts w:hint="eastAsia" w:ascii="仿宋_GB2312" w:hAnsi="仿宋_GB2312" w:cs="仿宋_GB2312"/>
          <w:b/>
          <w:bCs/>
          <w:color w:val="000000"/>
          <w:szCs w:val="32"/>
        </w:rPr>
        <w:t xml:space="preserve"> </w:t>
      </w:r>
    </w:p>
    <w:p>
      <w:pPr>
        <w:numPr>
          <w:ilvl w:val="0"/>
          <w:numId w:val="1"/>
        </w:num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法律法规和国家有关政策明确规定优先或者应当面向事业单位、社会组织等非企业主体采购的；</w:t>
      </w:r>
    </w:p>
    <w:p>
      <w:pPr>
        <w:numPr>
          <w:ilvl w:val="0"/>
          <w:numId w:val="1"/>
        </w:num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因确需使用不可替代的专利、专有技术，基础设施限制，或者提供特定公共服务等原因，只能从中小企业之外的供应商处采购的；</w:t>
      </w:r>
    </w:p>
    <w:p>
      <w:pPr>
        <w:numPr>
          <w:ilvl w:val="0"/>
          <w:numId w:val="1"/>
        </w:num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按照本办法规定预留采购份额无法确保充分供应、充分竞争，或者存在可能影响政府采购目标实现的情形；</w:t>
      </w:r>
    </w:p>
    <w:p>
      <w:pPr>
        <w:numPr>
          <w:ilvl w:val="0"/>
          <w:numId w:val="1"/>
        </w:num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框架协议采购项目；</w:t>
      </w:r>
    </w:p>
    <w:p>
      <w:pPr>
        <w:numPr>
          <w:ilvl w:val="0"/>
          <w:numId w:val="1"/>
        </w:num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省级以上人民政府财政部门规定的其他情形。</w:t>
      </w:r>
    </w:p>
    <w:p>
      <w:pPr>
        <w:spacing w:line="560" w:lineRule="exact"/>
        <w:ind w:left="640" w:leftChars="200" w:firstLine="320" w:firstLineChars="100"/>
        <w:rPr>
          <w:rFonts w:hint="eastAsia" w:ascii="仿宋_GB2312" w:hAnsi="仿宋_GB2312" w:cs="仿宋_GB2312"/>
          <w:color w:val="000000"/>
          <w:szCs w:val="32"/>
        </w:rPr>
      </w:pPr>
      <w:r>
        <w:rPr>
          <w:rFonts w:hint="eastAsia" w:ascii="仿宋_GB2312" w:hAnsi="仿宋_GB2312" w:cs="仿宋_GB2312"/>
          <w:color w:val="000000"/>
          <w:szCs w:val="32"/>
        </w:rPr>
        <w:t>除上述情形外，其他均为适宜由中小企业提供的情形。</w:t>
      </w:r>
    </w:p>
    <w:p>
      <w:pPr>
        <w:spacing w:line="560" w:lineRule="exact"/>
        <w:ind w:firstLine="643" w:firstLineChars="20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第十七条</w:t>
      </w:r>
      <w:r>
        <w:rPr>
          <w:rFonts w:hint="eastAsia" w:ascii="仿宋_GB2312" w:hAnsi="仿宋_GB2312" w:cs="仿宋_GB2312"/>
          <w:color w:val="000000"/>
          <w:szCs w:val="32"/>
        </w:rPr>
        <w:t xml:space="preserve">  在政府采购活动中，供应商提供的货物、工程或者服务符合下列情形的，可享受中小企业扶持政策，与投标供应商本身是否是中小企业无关：</w:t>
      </w:r>
    </w:p>
    <w:p>
      <w:pPr>
        <w:numPr>
          <w:ilvl w:val="0"/>
          <w:numId w:val="2"/>
        </w:num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在货物采购项目中，货物由中小企业制造，即货物由中小企业生产且使用该中小企业商号或者注册商标；</w:t>
      </w:r>
    </w:p>
    <w:p>
      <w:pPr>
        <w:numPr>
          <w:ilvl w:val="0"/>
          <w:numId w:val="2"/>
        </w:num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在工程采购项目中，工程由中小企业承建，即工程施工单位为中小企业；</w:t>
      </w:r>
    </w:p>
    <w:p>
      <w:pPr>
        <w:numPr>
          <w:ilvl w:val="0"/>
          <w:numId w:val="2"/>
        </w:num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在服务采购项目中，服务由中小企业承接，即提供服务的人员为中小企业依照《中华人民共和国劳动合同法》订立劳动合同的从业人员。</w:t>
      </w:r>
    </w:p>
    <w:p>
      <w:pPr>
        <w:spacing w:line="560" w:lineRule="exact"/>
        <w:rPr>
          <w:rFonts w:ascii="仿宋_GB2312" w:hAnsi="仿宋_GB2312" w:cs="仿宋_GB2312"/>
          <w:color w:val="000000"/>
          <w:szCs w:val="32"/>
        </w:rPr>
      </w:pPr>
      <w:r>
        <w:rPr>
          <w:rFonts w:hint="eastAsia" w:ascii="仿宋_GB2312" w:hAnsi="仿宋_GB2312" w:cs="仿宋_GB2312"/>
          <w:color w:val="000000"/>
          <w:szCs w:val="32"/>
        </w:rPr>
        <w:t xml:space="preserve">    在货物采购中，供应商提供的货物既有中小企业制造货物，也有大型企业制造货物的，不享受中小企业扶持政策。</w:t>
      </w:r>
    </w:p>
    <w:p>
      <w:pPr>
        <w:spacing w:line="560" w:lineRule="exact"/>
        <w:ind w:firstLine="643" w:firstLineChars="200"/>
        <w:rPr>
          <w:rFonts w:ascii="仿宋_GB2312" w:hAnsi="仿宋_GB2312" w:cs="仿宋_GB2312"/>
          <w:color w:val="000000"/>
          <w:szCs w:val="32"/>
        </w:rPr>
      </w:pPr>
      <w:r>
        <w:rPr>
          <w:rFonts w:hint="eastAsia" w:ascii="楷体_GB2312" w:hAnsi="楷体_GB2312" w:eastAsia="楷体_GB2312" w:cs="楷体_GB2312"/>
          <w:b/>
          <w:bCs/>
          <w:color w:val="000000"/>
          <w:szCs w:val="32"/>
        </w:rPr>
        <w:t xml:space="preserve">第十八条 </w:t>
      </w:r>
      <w:r>
        <w:rPr>
          <w:rFonts w:hint="eastAsia" w:ascii="仿宋_GB2312" w:hAnsi="仿宋_GB2312" w:cs="仿宋_GB2312"/>
          <w:color w:val="000000"/>
          <w:szCs w:val="32"/>
        </w:rPr>
        <w:t xml:space="preserve"> </w:t>
      </w:r>
      <w:r>
        <w:rPr>
          <w:rFonts w:hint="eastAsia" w:ascii="仿宋_GB2312" w:hAnsi="仿宋_GB2312" w:cs="仿宋_GB2312"/>
          <w:color w:val="000000"/>
          <w:spacing w:val="8"/>
          <w:szCs w:val="32"/>
        </w:rPr>
        <w:t>采购人应当严格按照政府采购预算编报政府采购计划和开展采购活动，不得无预算、超预算采购。</w:t>
      </w:r>
      <w:r>
        <w:rPr>
          <w:rFonts w:hint="eastAsia" w:ascii="仿宋_GB2312" w:hAnsi="仿宋_GB2312" w:cs="仿宋_GB2312"/>
          <w:color w:val="000000"/>
          <w:szCs w:val="32"/>
        </w:rPr>
        <w:t>需跨年度支付的、以批准的项目投资总额实施政府采购的项目，按当年度预计执行数编制年度政府采购预算。</w:t>
      </w:r>
    </w:p>
    <w:p>
      <w:pPr>
        <w:spacing w:line="560" w:lineRule="exact"/>
        <w:ind w:firstLine="640"/>
        <w:rPr>
          <w:rFonts w:ascii="仿宋_GB2312" w:hAnsi="仿宋_GB2312" w:cs="仿宋_GB2312"/>
          <w:color w:val="000000"/>
          <w:szCs w:val="32"/>
        </w:rPr>
      </w:pPr>
      <w:r>
        <w:rPr>
          <w:rFonts w:hint="eastAsia" w:ascii="楷体_GB2312" w:hAnsi="楷体_GB2312" w:eastAsia="楷体_GB2312" w:cs="楷体_GB2312"/>
          <w:b/>
          <w:bCs/>
          <w:color w:val="000000"/>
          <w:szCs w:val="32"/>
        </w:rPr>
        <w:t xml:space="preserve">第十九条  </w:t>
      </w:r>
      <w:r>
        <w:rPr>
          <w:rFonts w:hint="eastAsia" w:ascii="仿宋_GB2312" w:hAnsi="仿宋_GB2312" w:cs="仿宋_GB2312"/>
          <w:color w:val="000000"/>
          <w:szCs w:val="32"/>
        </w:rPr>
        <w:t>各级财政部门应进一步加强政府采购预算管理，规范政府采购预算调剂有关事项。因集中采购目录和限额标准调整，导致政府采购预算需要调剂的以及年度预算执行中，上级转移支付资金，同级党委政府批准增加政府采购预算，因紧急采购、涉密采购等原因需要调剂政府采购预算的，可办理政府采购指标调剂。其他原因需要调剂的，采购人应提出书面申请，详述调剂的理由，列明项目名称、金额、采购需求等，经主管预算单位审核后，报同级财政部门审核。调剂的</w:t>
      </w:r>
      <w:r>
        <w:rPr>
          <w:rFonts w:ascii="仿宋_GB2312" w:hAnsi="宋体" w:cs="仿宋_GB2312"/>
          <w:color w:val="000000"/>
          <w:szCs w:val="32"/>
        </w:rPr>
        <w:t>政府采购预算</w:t>
      </w:r>
      <w:r>
        <w:rPr>
          <w:rFonts w:hint="eastAsia" w:ascii="仿宋_GB2312" w:hAnsi="宋体" w:cs="仿宋_GB2312"/>
          <w:color w:val="000000"/>
          <w:szCs w:val="32"/>
        </w:rPr>
        <w:t>应</w:t>
      </w:r>
      <w:r>
        <w:rPr>
          <w:rFonts w:ascii="仿宋_GB2312" w:hAnsi="宋体" w:cs="仿宋_GB2312"/>
          <w:color w:val="000000"/>
          <w:szCs w:val="32"/>
        </w:rPr>
        <w:t>按规定统筹预留专门面向中小企业采购份额。</w:t>
      </w:r>
    </w:p>
    <w:p>
      <w:pPr>
        <w:spacing w:line="560" w:lineRule="exact"/>
        <w:ind w:firstLine="64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第二十条</w:t>
      </w:r>
      <w:r>
        <w:rPr>
          <w:rFonts w:hint="eastAsia" w:ascii="仿宋_GB2312" w:hAnsi="仿宋_GB2312" w:cs="仿宋_GB2312"/>
          <w:color w:val="000000"/>
          <w:szCs w:val="32"/>
        </w:rPr>
        <w:t xml:space="preserve">  各级财政部门支出处（科、股）室负责对拟调剂的政府采购预算是否符合调剂范围进行审核，政府采购处（科、股）室负责对项目是否属于政府采购进行审核。</w:t>
      </w:r>
    </w:p>
    <w:p>
      <w:pPr>
        <w:spacing w:line="560" w:lineRule="exact"/>
        <w:ind w:firstLine="640"/>
        <w:rPr>
          <w:rFonts w:hint="eastAsia" w:ascii="仿宋_GB2312" w:hAnsi="仿宋_GB2312" w:cs="仿宋_GB2312"/>
          <w:color w:val="000000"/>
          <w:szCs w:val="32"/>
        </w:rPr>
      </w:pPr>
    </w:p>
    <w:p>
      <w:pPr>
        <w:spacing w:line="560" w:lineRule="exact"/>
        <w:jc w:val="center"/>
        <w:outlineLvl w:val="0"/>
        <w:rPr>
          <w:rFonts w:hint="eastAsia" w:ascii="黑体" w:hAnsi="黑体" w:eastAsia="黑体" w:cs="黑体"/>
          <w:color w:val="000000"/>
          <w:szCs w:val="32"/>
        </w:rPr>
      </w:pPr>
      <w:r>
        <w:rPr>
          <w:rFonts w:hint="eastAsia" w:ascii="黑体" w:hAnsi="黑体" w:eastAsia="黑体" w:cs="黑体"/>
          <w:color w:val="000000"/>
          <w:szCs w:val="32"/>
        </w:rPr>
        <w:t>第三章  采购指标管理</w:t>
      </w:r>
    </w:p>
    <w:p>
      <w:pPr>
        <w:pStyle w:val="2"/>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第二十一条</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政府采购监管系统内设政府采购指标管理模块，包含采购预算查询、采购指标查询、采购指标确认和非预算指标申请。</w:t>
      </w:r>
    </w:p>
    <w:p>
      <w:pPr>
        <w:pStyle w:val="2"/>
        <w:widowControl/>
        <w:spacing w:before="0" w:beforeAutospacing="0" w:after="0" w:afterAutospacing="0" w:line="560" w:lineRule="exact"/>
        <w:ind w:firstLine="64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第二十二条  </w:t>
      </w:r>
      <w:r>
        <w:rPr>
          <w:rFonts w:hint="eastAsia" w:ascii="仿宋_GB2312" w:hAnsi="仿宋_GB2312" w:eastAsia="仿宋_GB2312" w:cs="仿宋_GB2312"/>
          <w:color w:val="000000"/>
          <w:sz w:val="32"/>
          <w:szCs w:val="32"/>
        </w:rPr>
        <w:t>政府采购指标是采购人在政府采购监管系统开展政府采购活动的前提条件。部门预算批复或调剂后，政府采购指标从预算管理一体化系统同步至政府采购监管系统。采购人可在采购指标查询中查询本单位年度政府采购可执行指标。</w:t>
      </w:r>
    </w:p>
    <w:p>
      <w:pPr>
        <w:pStyle w:val="2"/>
        <w:widowControl/>
        <w:spacing w:before="0" w:beforeAutospacing="0" w:after="0" w:afterAutospacing="0" w:line="560" w:lineRule="exact"/>
        <w:ind w:firstLine="640"/>
        <w:jc w:val="both"/>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第二十三条  </w:t>
      </w:r>
      <w:r>
        <w:rPr>
          <w:rFonts w:hint="eastAsia" w:ascii="仿宋_GB2312" w:hAnsi="仿宋_GB2312" w:eastAsia="仿宋_GB2312" w:cs="仿宋_GB2312"/>
          <w:color w:val="000000"/>
          <w:sz w:val="32"/>
          <w:szCs w:val="32"/>
        </w:rPr>
        <w:t>政府采购活动开始前，采购人应根据已批复的项目预算对采购指标进行确认。原则上，一条采购指标可进行多次确认，但未经批准不得拆分指标规避公开招标或政府采购。</w:t>
      </w:r>
    </w:p>
    <w:p>
      <w:pPr>
        <w:pStyle w:val="2"/>
        <w:widowControl/>
        <w:spacing w:before="0" w:beforeAutospacing="0" w:after="0" w:afterAutospacing="0" w:line="560" w:lineRule="exact"/>
        <w:ind w:firstLine="641"/>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第二十四条  </w:t>
      </w:r>
      <w:r>
        <w:rPr>
          <w:rFonts w:hint="eastAsia" w:ascii="仿宋_GB2312" w:hAnsi="仿宋_GB2312" w:eastAsia="仿宋_GB2312" w:cs="仿宋_GB2312"/>
          <w:color w:val="000000"/>
          <w:sz w:val="32"/>
          <w:szCs w:val="32"/>
        </w:rPr>
        <w:t>政府采购监管系统支持非预算指标申请，主要分为预采购指标、统一采购指标和其他采购指标三类。非预算指标申请由采购人发起，并根据同级财政部门要求上传有关证明材料，经同级财政部门审核通过后，下达非预算指标。财政部门支出处（科、股）室负责审核非预算指标资金落实情况，政府采购处（科、股）室负责审核项目是否属于政府采购。</w:t>
      </w:r>
    </w:p>
    <w:p>
      <w:pPr>
        <w:pStyle w:val="2"/>
        <w:widowControl/>
        <w:spacing w:before="0" w:beforeAutospacing="0" w:after="0" w:afterAutospacing="0" w:line="560" w:lineRule="exact"/>
        <w:ind w:firstLine="641"/>
        <w:jc w:val="both"/>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第二十五条 </w:t>
      </w:r>
      <w:r>
        <w:rPr>
          <w:rFonts w:hint="eastAsia" w:ascii="仿宋_GB2312" w:hAnsi="仿宋_GB2312" w:eastAsia="仿宋_GB2312" w:cs="仿宋_GB2312"/>
          <w:color w:val="000000"/>
          <w:sz w:val="32"/>
          <w:szCs w:val="32"/>
        </w:rPr>
        <w:t xml:space="preserve"> 符合下列条件之一的，可申报预采购指标：</w:t>
      </w:r>
    </w:p>
    <w:p>
      <w:pPr>
        <w:pStyle w:val="2"/>
        <w:widowControl/>
        <w:numPr>
          <w:ilvl w:val="0"/>
          <w:numId w:val="3"/>
        </w:numPr>
        <w:spacing w:before="0" w:beforeAutospacing="0" w:after="0" w:afterAutospacing="0" w:line="560" w:lineRule="exact"/>
        <w:ind w:firstLine="641"/>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rPr>
        <w:t>项目已经编入预算草案，但财政部门尚未批复，急需采购的</w:t>
      </w:r>
      <w:r>
        <w:rPr>
          <w:rFonts w:hint="eastAsia" w:ascii="仿宋_GB2312" w:hAnsi="仿宋_GB2312" w:eastAsia="仿宋_GB2312" w:cs="仿宋_GB2312"/>
          <w:color w:val="000000"/>
          <w:sz w:val="32"/>
          <w:szCs w:val="32"/>
        </w:rPr>
        <w:t>；</w:t>
      </w:r>
    </w:p>
    <w:p>
      <w:pPr>
        <w:pStyle w:val="2"/>
        <w:widowControl/>
        <w:numPr>
          <w:ilvl w:val="0"/>
          <w:numId w:val="3"/>
        </w:numPr>
        <w:spacing w:before="0" w:beforeAutospacing="0" w:after="0" w:afterAutospacing="0" w:line="560" w:lineRule="exact"/>
        <w:ind w:firstLine="641"/>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上级明确下达的专项资金，项目需在资金下达前开展政府采购的；</w:t>
      </w:r>
    </w:p>
    <w:p>
      <w:pPr>
        <w:widowControl/>
        <w:spacing w:line="56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color w:val="000000"/>
          <w:szCs w:val="32"/>
        </w:rPr>
        <w:t>（三）财政预算资金分</w:t>
      </w:r>
      <w:r>
        <w:rPr>
          <w:rFonts w:hint="eastAsia"/>
          <w:color w:val="000000"/>
          <w:szCs w:val="32"/>
        </w:rPr>
        <w:t>年度</w:t>
      </w:r>
      <w:r>
        <w:rPr>
          <w:rFonts w:hint="eastAsia" w:ascii="仿宋_GB2312" w:hAnsi="仿宋_GB2312" w:cs="仿宋_GB2312"/>
          <w:color w:val="000000"/>
          <w:szCs w:val="32"/>
        </w:rPr>
        <w:t>安排但不宜按年度拆分采购的；</w:t>
      </w:r>
    </w:p>
    <w:p>
      <w:pPr>
        <w:pStyle w:val="2"/>
        <w:widowControl/>
        <w:spacing w:before="0" w:beforeAutospacing="0" w:after="0" w:afterAutospacing="0" w:line="560" w:lineRule="exact"/>
        <w:ind w:left="641"/>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（四）同级财政部门规定的其他情形。</w:t>
      </w:r>
    </w:p>
    <w:p>
      <w:pPr>
        <w:pStyle w:val="2"/>
        <w:widowControl/>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申报预采购指标的，对应采购指标下达时间不得晚于该项目资金支付时间。</w:t>
      </w:r>
    </w:p>
    <w:p>
      <w:pPr>
        <w:spacing w:line="560" w:lineRule="exact"/>
        <w:ind w:firstLine="643" w:firstLineChars="200"/>
        <w:rPr>
          <w:rFonts w:ascii="仿宋_GB2312" w:hAnsi="仿宋_GB2312" w:cs="仿宋_GB2312"/>
          <w:color w:val="000000"/>
          <w:szCs w:val="32"/>
        </w:rPr>
      </w:pPr>
      <w:r>
        <w:rPr>
          <w:rFonts w:hint="eastAsia" w:ascii="楷体_GB2312" w:hAnsi="楷体_GB2312" w:eastAsia="楷体_GB2312" w:cs="楷体_GB2312"/>
          <w:b/>
          <w:bCs/>
          <w:color w:val="000000"/>
          <w:szCs w:val="32"/>
        </w:rPr>
        <w:t>第二十六条</w:t>
      </w:r>
      <w:r>
        <w:rPr>
          <w:rFonts w:hint="eastAsia" w:ascii="仿宋_GB2312" w:hAnsi="仿宋_GB2312" w:cs="仿宋_GB2312"/>
          <w:color w:val="000000"/>
          <w:szCs w:val="32"/>
        </w:rPr>
        <w:t xml:space="preserve">  金额较大或技术、服务等指标可以统一的政府采购项目，可依法实行统一采购。统一采购主要包括统采统签统付、统采统签分付、统采分签分付三种形式。</w:t>
      </w:r>
    </w:p>
    <w:p>
      <w:pPr>
        <w:pStyle w:val="2"/>
        <w:widowControl/>
        <w:spacing w:before="0" w:beforeAutospacing="0" w:after="0" w:afterAutospacing="0" w:line="560" w:lineRule="exact"/>
        <w:ind w:firstLine="643" w:firstLineChars="200"/>
        <w:jc w:val="both"/>
        <w:rPr>
          <w:rFonts w:hint="eastAsia" w:ascii="仿宋_GB2312" w:hAnsi="仿宋_GB2312" w:eastAsia="仿宋_GB2312" w:cs="仿宋_GB2312"/>
          <w:kern w:val="2"/>
          <w:sz w:val="32"/>
          <w:szCs w:val="32"/>
        </w:rPr>
      </w:pPr>
      <w:r>
        <w:rPr>
          <w:rFonts w:hint="eastAsia" w:ascii="楷体_GB2312" w:hAnsi="楷体_GB2312" w:eastAsia="楷体_GB2312" w:cs="楷体_GB2312"/>
          <w:b/>
          <w:bCs/>
          <w:color w:val="000000"/>
          <w:sz w:val="32"/>
          <w:szCs w:val="32"/>
        </w:rPr>
        <w:t xml:space="preserve">第二十七条  </w:t>
      </w:r>
      <w:r>
        <w:rPr>
          <w:rFonts w:hint="eastAsia" w:ascii="仿宋_GB2312" w:hAnsi="仿宋_GB2312" w:eastAsia="仿宋_GB2312" w:cs="仿宋_GB2312"/>
          <w:color w:val="000000"/>
          <w:sz w:val="32"/>
          <w:szCs w:val="32"/>
        </w:rPr>
        <w:t>统一采购的采购人应履行统一采购指标申请的主体责任。除填报拟统一采购的项目名称、指标金额、采购内容等基本信息外，</w:t>
      </w:r>
      <w:r>
        <w:rPr>
          <w:rFonts w:hint="eastAsia" w:ascii="仿宋_GB2312" w:hAnsi="仿宋_GB2312" w:eastAsia="仿宋_GB2312" w:cs="仿宋_GB2312"/>
          <w:kern w:val="2"/>
          <w:sz w:val="32"/>
          <w:szCs w:val="32"/>
        </w:rPr>
        <w:t>应同步上传要求其作为采购人的公文或委托单位出具的委托函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2"/>
          <w:sz w:val="32"/>
          <w:szCs w:val="32"/>
        </w:rPr>
        <w:t>委托函应当明确预算金额、双方的权利义务、采购合同签订方式、履约验收组织形式、资金支付方式等内容。</w:t>
      </w:r>
    </w:p>
    <w:p>
      <w:pPr>
        <w:pStyle w:val="2"/>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第二十八条  </w:t>
      </w:r>
      <w:r>
        <w:rPr>
          <w:rFonts w:hint="eastAsia" w:ascii="仿宋_GB2312" w:hAnsi="仿宋_GB2312" w:eastAsia="仿宋_GB2312" w:cs="仿宋_GB2312"/>
          <w:color w:val="000000"/>
          <w:sz w:val="32"/>
          <w:szCs w:val="32"/>
        </w:rPr>
        <w:t>其他采购指标主要用于部门预算批复中未纳入预算管理一体化系统指标管理的单位自有资金、与财政性资金合并采购的非财政性资金以及视同财政性资金的借贷资金指标等。采购人在申报时需同步提交该指标资金落实证明，具体适用情形由各级财政部门自行规定。</w:t>
      </w:r>
    </w:p>
    <w:p>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统一采购和其他采购指标资金支付需严格按照政府采购有关规定执行。</w:t>
      </w:r>
    </w:p>
    <w:p>
      <w:pPr>
        <w:pStyle w:val="2"/>
        <w:widowControl/>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p>
    <w:p>
      <w:pPr>
        <w:spacing w:line="560" w:lineRule="exact"/>
        <w:jc w:val="center"/>
        <w:outlineLvl w:val="0"/>
        <w:rPr>
          <w:rFonts w:ascii="黑体" w:hAnsi="黑体" w:eastAsia="黑体" w:cs="黑体"/>
          <w:color w:val="000000"/>
          <w:szCs w:val="32"/>
        </w:rPr>
      </w:pPr>
      <w:r>
        <w:rPr>
          <w:rFonts w:hint="eastAsia" w:ascii="黑体" w:hAnsi="黑体" w:eastAsia="黑体" w:cs="黑体"/>
          <w:color w:val="000000"/>
          <w:szCs w:val="32"/>
        </w:rPr>
        <w:t>第四章  采购意向公开</w:t>
      </w:r>
    </w:p>
    <w:p>
      <w:pPr>
        <w:spacing w:line="560" w:lineRule="exact"/>
        <w:ind w:firstLine="64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 xml:space="preserve">第二十九条  </w:t>
      </w:r>
      <w:r>
        <w:rPr>
          <w:color w:val="000000"/>
        </w:rPr>
        <w:fldChar w:fldCharType="begin"/>
      </w:r>
      <w:r>
        <w:rPr>
          <w:color w:val="000000"/>
        </w:rPr>
        <w:instrText xml:space="preserve"> HYPERLINK "http://www.caigou2003.com/cgr/" \t "http://www.caigou2003.com/jdgl/jgxdz/_blank" </w:instrText>
      </w:r>
      <w:r>
        <w:rPr>
          <w:color w:val="000000"/>
        </w:rPr>
        <w:fldChar w:fldCharType="separate"/>
      </w:r>
      <w:r>
        <w:rPr>
          <w:rStyle w:val="6"/>
          <w:rFonts w:hint="eastAsia" w:ascii="仿宋_GB2312" w:hAnsi="仿宋_GB2312" w:cs="仿宋_GB2312"/>
          <w:color w:val="000000"/>
          <w:szCs w:val="32"/>
        </w:rPr>
        <w:t>采购人</w:t>
      </w:r>
      <w:r>
        <w:rPr>
          <w:rFonts w:hint="eastAsia" w:ascii="仿宋_GB2312" w:hAnsi="仿宋_GB2312" w:cs="仿宋_GB2312"/>
          <w:color w:val="000000"/>
          <w:szCs w:val="32"/>
        </w:rPr>
        <w:fldChar w:fldCharType="end"/>
      </w:r>
      <w:r>
        <w:rPr>
          <w:rFonts w:hint="eastAsia" w:ascii="仿宋_GB2312" w:hAnsi="仿宋_GB2312" w:cs="仿宋_GB2312"/>
          <w:color w:val="000000"/>
          <w:szCs w:val="32"/>
        </w:rPr>
        <w:t>是政府采购活动的核心，也是采购意向公开的第一责任人。各级主管预算单位要高度重视，</w:t>
      </w:r>
      <w:r>
        <w:rPr>
          <w:rFonts w:hint="eastAsia" w:ascii="仿宋_GB2312" w:hAnsi="仿宋_GB2312" w:cs="仿宋_GB2312"/>
          <w:color w:val="000000"/>
          <w:szCs w:val="32"/>
          <w:lang w:bidi="ar"/>
        </w:rPr>
        <w:t>积极稳妥地推进本单位及</w:t>
      </w:r>
      <w:r>
        <w:rPr>
          <w:rFonts w:hint="eastAsia" w:ascii="仿宋_GB2312" w:hAnsi="仿宋_GB2312" w:cs="仿宋_GB2312"/>
          <w:color w:val="000000"/>
          <w:szCs w:val="32"/>
        </w:rPr>
        <w:t>所属预算单位的采购意向公开工作，确保所属预算单位严格按照规定及时、全面公开采购意向。</w:t>
      </w:r>
    </w:p>
    <w:p>
      <w:pPr>
        <w:spacing w:line="560" w:lineRule="exact"/>
        <w:ind w:firstLine="640"/>
        <w:rPr>
          <w:rFonts w:ascii="仿宋_GB2312" w:hAnsi="仿宋_GB2312" w:cs="仿宋_GB2312"/>
          <w:color w:val="000000"/>
          <w:szCs w:val="32"/>
        </w:rPr>
      </w:pPr>
      <w:r>
        <w:rPr>
          <w:rFonts w:hint="eastAsia" w:ascii="楷体_GB2312" w:hAnsi="楷体_GB2312" w:eastAsia="楷体_GB2312" w:cs="楷体_GB2312"/>
          <w:b/>
          <w:bCs/>
          <w:color w:val="000000"/>
          <w:szCs w:val="32"/>
        </w:rPr>
        <w:t xml:space="preserve">第三十条  </w:t>
      </w:r>
      <w:r>
        <w:rPr>
          <w:rFonts w:hint="eastAsia" w:ascii="仿宋_GB2312" w:hAnsi="仿宋_GB2312" w:cs="仿宋_GB2312"/>
          <w:color w:val="000000"/>
          <w:szCs w:val="32"/>
        </w:rPr>
        <w:t>政府采购监管系统支持基于采购指标公开采购意向和手工录入采购意向。部门预算批复前公开采购意向的，以部门预算“二上”内容为依据，可以选择手工录入采购意向。部门预算批复后公开的采购意向，以批复的部门预算为依据，原则上应基于采购指标发布采购意向。允许采购人使用多个采购指标发布1条采购意向。</w:t>
      </w:r>
    </w:p>
    <w:p>
      <w:pPr>
        <w:spacing w:line="560" w:lineRule="exact"/>
        <w:ind w:firstLine="640"/>
        <w:rPr>
          <w:rFonts w:hint="eastAsia"/>
          <w:szCs w:val="32"/>
        </w:rPr>
      </w:pPr>
      <w:r>
        <w:rPr>
          <w:rFonts w:hint="eastAsia" w:ascii="楷体_GB2312" w:hAnsi="楷体_GB2312" w:eastAsia="楷体_GB2312" w:cs="楷体_GB2312"/>
          <w:b/>
          <w:bCs/>
          <w:color w:val="000000"/>
          <w:szCs w:val="32"/>
        </w:rPr>
        <w:t xml:space="preserve">第三十一条 </w:t>
      </w:r>
      <w:r>
        <w:rPr>
          <w:rFonts w:hint="eastAsia" w:ascii="仿宋_GB2312" w:hAnsi="仿宋_GB2312" w:cs="仿宋_GB2312"/>
          <w:color w:val="000000"/>
          <w:szCs w:val="32"/>
        </w:rPr>
        <w:t xml:space="preserve"> </w:t>
      </w:r>
      <w:r>
        <w:rPr>
          <w:rFonts w:hint="eastAsia" w:ascii="楷体_GB2312" w:hAnsi="楷体_GB2312" w:eastAsia="楷体_GB2312" w:cs="楷体_GB2312"/>
          <w:b/>
          <w:bCs/>
          <w:color w:val="000000"/>
          <w:szCs w:val="32"/>
        </w:rPr>
        <w:t xml:space="preserve"> </w:t>
      </w:r>
      <w:r>
        <w:rPr>
          <w:rFonts w:hint="eastAsia"/>
          <w:szCs w:val="32"/>
        </w:rPr>
        <w:t>除框架协议、网上商城采购，以及因不可预见的原因急需开展的采购项目外，政府采购项目应当全部公开采购意向。</w:t>
      </w:r>
      <w:r>
        <w:rPr>
          <w:szCs w:val="32"/>
        </w:rPr>
        <w:t>采购意向公开时间应当尽量提前，原则上不得晚于采购活动开始前30日</w:t>
      </w:r>
      <w:r>
        <w:rPr>
          <w:rFonts w:hint="eastAsia"/>
          <w:szCs w:val="32"/>
        </w:rPr>
        <w:t>。</w:t>
      </w:r>
    </w:p>
    <w:p>
      <w:pPr>
        <w:spacing w:line="560" w:lineRule="exact"/>
        <w:ind w:firstLine="643" w:firstLineChars="20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第三十二条</w:t>
      </w:r>
      <w:r>
        <w:rPr>
          <w:rFonts w:hint="eastAsia" w:ascii="仿宋_GB2312" w:hAnsi="仿宋_GB2312" w:cs="仿宋_GB2312"/>
          <w:color w:val="000000"/>
          <w:szCs w:val="32"/>
        </w:rPr>
        <w:t xml:space="preserve">  采购意向公开的内容应当包括但不限于采购项目名称、采购需求概况、预算金额、预计采购时间、是否专门面向中小企业、预留中小企业的份额、不专门面向中小企业预留份额的原因、供应商对预留份额的质疑投诉渠道、是否一签多年项目等。其中，采购需求概况应当包括采购标的名称，采购标的需实现的主要功能或者目标，采购标的的数量，以及采购标的需满足的质量、服务、安全、时限等要求。</w:t>
      </w:r>
    </w:p>
    <w:p>
      <w:pPr>
        <w:spacing w:line="560" w:lineRule="exact"/>
        <w:ind w:firstLine="643" w:firstLineChars="200"/>
        <w:rPr>
          <w:szCs w:val="32"/>
        </w:rPr>
      </w:pPr>
      <w:r>
        <w:rPr>
          <w:rFonts w:hint="eastAsia" w:ascii="楷体_GB2312" w:hAnsi="楷体_GB2312" w:eastAsia="楷体_GB2312" w:cs="楷体_GB2312"/>
          <w:b/>
          <w:bCs/>
          <w:color w:val="000000"/>
          <w:szCs w:val="32"/>
        </w:rPr>
        <w:t>第三十三条</w:t>
      </w:r>
      <w:r>
        <w:rPr>
          <w:rFonts w:hint="eastAsia" w:ascii="仿宋_GB2312" w:hAnsi="仿宋_GB2312" w:cs="仿宋_GB2312"/>
          <w:color w:val="000000"/>
          <w:szCs w:val="32"/>
        </w:rPr>
        <w:t xml:space="preserve">  </w:t>
      </w:r>
      <w:r>
        <w:rPr>
          <w:rFonts w:hint="eastAsia"/>
          <w:szCs w:val="32"/>
        </w:rPr>
        <w:t>服务类项目首次公开采购意向时已经明确采购期限的，续签年度无需再次公开。采购项目名称变更或采购预算金额变动达到30％以上的，应当重新公开采购意向。</w:t>
      </w:r>
    </w:p>
    <w:p>
      <w:pPr>
        <w:spacing w:line="560" w:lineRule="exact"/>
        <w:ind w:firstLine="643" w:firstLineChars="20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第三十四条</w:t>
      </w:r>
      <w:r>
        <w:rPr>
          <w:rFonts w:hint="eastAsia" w:ascii="仿宋_GB2312" w:hAnsi="仿宋_GB2312" w:cs="仿宋_GB2312"/>
          <w:color w:val="000000"/>
          <w:szCs w:val="32"/>
        </w:rPr>
        <w:t xml:space="preserve">  </w:t>
      </w:r>
      <w:r>
        <w:rPr>
          <w:rFonts w:ascii="仿宋_GB2312" w:hAnsi="仿宋_GB2312" w:cs="仿宋_GB2312"/>
          <w:color w:val="000000"/>
          <w:szCs w:val="32"/>
        </w:rPr>
        <w:t>采购意向仅作为供应商了解各单位初步采购安排的参考，采购项目实际采购需求、预算金额和执行时间以</w:t>
      </w:r>
      <w:r>
        <w:rPr>
          <w:rFonts w:hint="eastAsia" w:ascii="仿宋_GB2312" w:hAnsi="仿宋_GB2312" w:cs="仿宋_GB2312"/>
          <w:color w:val="000000"/>
          <w:szCs w:val="32"/>
        </w:rPr>
        <w:t>采购人</w:t>
      </w:r>
      <w:r>
        <w:rPr>
          <w:rFonts w:ascii="仿宋_GB2312" w:hAnsi="仿宋_GB2312" w:cs="仿宋_GB2312"/>
          <w:color w:val="000000"/>
          <w:szCs w:val="32"/>
        </w:rPr>
        <w:t>最终发布的采购公告和采购文件为准</w:t>
      </w:r>
      <w:r>
        <w:rPr>
          <w:rFonts w:hint="eastAsia" w:ascii="仿宋_GB2312" w:hAnsi="仿宋_GB2312" w:cs="仿宋_GB2312"/>
          <w:color w:val="000000"/>
          <w:szCs w:val="32"/>
        </w:rPr>
        <w:t>。</w:t>
      </w:r>
    </w:p>
    <w:p>
      <w:pPr>
        <w:spacing w:line="560" w:lineRule="exact"/>
        <w:ind w:firstLine="640" w:firstLineChars="200"/>
        <w:rPr>
          <w:rFonts w:hint="eastAsia" w:ascii="仿宋_GB2312" w:hAnsi="仿宋_GB2312" w:cs="仿宋_GB2312"/>
          <w:color w:val="000000"/>
          <w:szCs w:val="32"/>
        </w:rPr>
      </w:pPr>
    </w:p>
    <w:p>
      <w:pPr>
        <w:spacing w:line="560" w:lineRule="exact"/>
        <w:jc w:val="center"/>
        <w:outlineLvl w:val="0"/>
        <w:rPr>
          <w:rFonts w:hint="eastAsia" w:ascii="黑体" w:hAnsi="黑体" w:eastAsia="黑体" w:cs="黑体"/>
          <w:color w:val="000000"/>
          <w:szCs w:val="32"/>
        </w:rPr>
      </w:pPr>
      <w:r>
        <w:rPr>
          <w:rFonts w:hint="eastAsia" w:ascii="黑体" w:hAnsi="黑体" w:eastAsia="黑体" w:cs="黑体"/>
          <w:color w:val="000000"/>
          <w:szCs w:val="32"/>
        </w:rPr>
        <w:t xml:space="preserve">第五章  </w:t>
      </w:r>
      <w:r>
        <w:rPr>
          <w:rFonts w:hint="eastAsia" w:ascii="黑体" w:hAnsi="黑体" w:eastAsia="黑体" w:cs="黑体"/>
          <w:szCs w:val="32"/>
        </w:rPr>
        <w:t>单一来源采购管理</w:t>
      </w:r>
    </w:p>
    <w:p>
      <w:pPr>
        <w:pStyle w:val="2"/>
        <w:widowControl/>
        <w:spacing w:before="0" w:beforeAutospacing="0" w:after="0" w:afterAutospacing="0" w:line="56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第三十五条  </w:t>
      </w:r>
      <w:r>
        <w:rPr>
          <w:rFonts w:hint="eastAsia" w:ascii="仿宋_GB2312" w:hAnsi="仿宋_GB2312" w:eastAsia="仿宋_GB2312" w:cs="仿宋_GB2312"/>
          <w:color w:val="000000"/>
          <w:sz w:val="32"/>
          <w:szCs w:val="32"/>
        </w:rPr>
        <w:t>符合下列情形之一的货物或者服务，可以依法采用单一来源方式采购:</w:t>
      </w:r>
    </w:p>
    <w:p>
      <w:pPr>
        <w:pStyle w:val="2"/>
        <w:widowControl/>
        <w:spacing w:before="0" w:beforeAutospacing="0" w:after="0" w:afterAutospacing="0" w:line="56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（一）只能从唯一供应商处采购的;</w:t>
      </w:r>
    </w:p>
    <w:p>
      <w:pPr>
        <w:pStyle w:val="2"/>
        <w:widowControl/>
        <w:spacing w:before="0" w:beforeAutospacing="0" w:after="0" w:afterAutospacing="0" w:line="56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（二）发生了不可预见的紧急情况不能从其他供应商处采购的;</w:t>
      </w:r>
    </w:p>
    <w:p>
      <w:pPr>
        <w:pStyle w:val="2"/>
        <w:widowControl/>
        <w:spacing w:before="0" w:beforeAutospacing="0" w:after="0" w:afterAutospacing="0" w:line="560" w:lineRule="exact"/>
        <w:ind w:firstLine="420"/>
        <w:rPr>
          <w:rFonts w:hint="eastAsia" w:ascii="楷体_GB2312" w:hAnsi="楷体_GB2312" w:eastAsia="楷体_GB2312" w:cs="楷体_GB2312"/>
          <w:b/>
          <w:bCs/>
          <w:color w:val="000000"/>
          <w:sz w:val="32"/>
          <w:szCs w:val="32"/>
        </w:rPr>
      </w:pPr>
      <w:r>
        <w:rPr>
          <w:rFonts w:hint="eastAsia" w:ascii="仿宋_GB2312" w:hAnsi="仿宋_GB2312" w:eastAsia="仿宋_GB2312" w:cs="仿宋_GB2312"/>
          <w:color w:val="000000"/>
          <w:sz w:val="32"/>
          <w:szCs w:val="32"/>
        </w:rPr>
        <w:t>（三）必须保证原有采购项目一致性或者服务配套的要求，需要继续从原供应商处添购，且添购资金总额不超过原合同采购金额10%的。</w:t>
      </w:r>
    </w:p>
    <w:p>
      <w:pPr>
        <w:tabs>
          <w:tab w:val="left" w:pos="696"/>
        </w:tabs>
        <w:spacing w:line="560" w:lineRule="exact"/>
        <w:ind w:firstLine="642"/>
        <w:jc w:val="left"/>
        <w:rPr>
          <w:rFonts w:hint="eastAsia"/>
          <w:szCs w:val="32"/>
        </w:rPr>
      </w:pPr>
      <w:r>
        <w:rPr>
          <w:rFonts w:hint="eastAsia" w:ascii="楷体_GB2312" w:hAnsi="楷体_GB2312" w:eastAsia="楷体_GB2312" w:cs="楷体_GB2312"/>
          <w:b/>
          <w:bCs/>
          <w:color w:val="000000"/>
          <w:szCs w:val="32"/>
        </w:rPr>
        <w:t xml:space="preserve">第三十六条  </w:t>
      </w:r>
      <w:r>
        <w:rPr>
          <w:rFonts w:hint="eastAsia"/>
          <w:szCs w:val="32"/>
        </w:rPr>
        <w:t>采购人拟采用单一来源</w:t>
      </w:r>
      <w:r>
        <w:rPr>
          <w:rFonts w:hint="eastAsia"/>
          <w:szCs w:val="32"/>
          <w:lang w:val="en-US" w:eastAsia="zh-CN"/>
        </w:rPr>
        <w:t>方式</w:t>
      </w:r>
      <w:r>
        <w:rPr>
          <w:rFonts w:hint="eastAsia"/>
          <w:szCs w:val="32"/>
        </w:rPr>
        <w:t>采购的项目，需要在政府采购监管系统单一来源公示模块填写项目基本信息，单一来源采购的原因，拟定供应商名称、地址等信息，其中，400万元以上拟采用单一来源方式采购的项目，公示时需上传专业人员论证意见，经政府采购监管部门审核通过后，在安徽省政府采购网公示不少于5个工作日。公示无异议的，可申报单一来源采购计划。</w:t>
      </w:r>
    </w:p>
    <w:p>
      <w:pPr>
        <w:tabs>
          <w:tab w:val="left" w:pos="696"/>
        </w:tabs>
        <w:spacing w:line="560" w:lineRule="exact"/>
        <w:ind w:firstLine="642"/>
        <w:jc w:val="left"/>
        <w:rPr>
          <w:rFonts w:hint="eastAsia" w:ascii="仿宋_GB2312" w:hAnsi="仿宋_GB2312" w:cs="仿宋_GB2312"/>
          <w:color w:val="000000"/>
          <w:szCs w:val="32"/>
        </w:rPr>
      </w:pPr>
    </w:p>
    <w:p>
      <w:pPr>
        <w:spacing w:line="560" w:lineRule="exact"/>
        <w:jc w:val="center"/>
        <w:outlineLvl w:val="0"/>
        <w:rPr>
          <w:rFonts w:hint="eastAsia" w:ascii="黑体" w:hAnsi="黑体" w:eastAsia="黑体" w:cs="黑体"/>
          <w:color w:val="000000"/>
          <w:szCs w:val="32"/>
        </w:rPr>
      </w:pPr>
      <w:r>
        <w:rPr>
          <w:rFonts w:hint="eastAsia" w:ascii="黑体" w:hAnsi="黑体" w:eastAsia="黑体" w:cs="黑体"/>
          <w:color w:val="000000"/>
          <w:szCs w:val="32"/>
        </w:rPr>
        <w:t>第六章  采购需求管理</w:t>
      </w:r>
    </w:p>
    <w:p>
      <w:pPr>
        <w:pStyle w:val="2"/>
        <w:widowControl/>
        <w:spacing w:before="0" w:beforeAutospacing="0" w:after="0" w:afterAutospacing="0" w:line="560" w:lineRule="exact"/>
        <w:ind w:firstLine="643" w:firstLineChars="200"/>
        <w:rPr>
          <w:rFonts w:ascii="Times New Roman" w:hAnsi="Times New Roman" w:eastAsia="仿宋_GB2312"/>
          <w:kern w:val="2"/>
          <w:sz w:val="32"/>
          <w:szCs w:val="32"/>
        </w:rPr>
      </w:pPr>
      <w:r>
        <w:rPr>
          <w:rFonts w:hint="eastAsia" w:ascii="楷体_GB2312" w:hAnsi="楷体_GB2312" w:eastAsia="楷体_GB2312" w:cs="楷体_GB2312"/>
          <w:b/>
          <w:bCs/>
          <w:sz w:val="32"/>
          <w:szCs w:val="32"/>
        </w:rPr>
        <w:t>第三十七条</w:t>
      </w:r>
      <w:r>
        <w:rPr>
          <w:rFonts w:hint="eastAsia" w:ascii="仿宋_GB2312" w:hAnsi="仿宋_GB2312" w:eastAsia="仿宋_GB2312" w:cs="仿宋_GB2312"/>
          <w:sz w:val="32"/>
          <w:szCs w:val="32"/>
        </w:rPr>
        <w:t xml:space="preserve">  </w:t>
      </w:r>
      <w:r>
        <w:rPr>
          <w:rFonts w:hint="eastAsia" w:ascii="Times New Roman" w:hAnsi="Times New Roman" w:eastAsia="仿宋_GB2312"/>
          <w:kern w:val="2"/>
          <w:sz w:val="32"/>
          <w:szCs w:val="32"/>
        </w:rPr>
        <w:t>采购人对采购需求管理负有主体责任，应按照《</w:t>
      </w:r>
      <w:bookmarkStart w:id="0" w:name="OLE_LINK2"/>
      <w:r>
        <w:rPr>
          <w:rFonts w:hint="eastAsia" w:ascii="Times New Roman" w:hAnsi="Times New Roman" w:eastAsia="仿宋_GB2312"/>
          <w:kern w:val="2"/>
          <w:sz w:val="32"/>
          <w:szCs w:val="32"/>
        </w:rPr>
        <w:t>政府采购需求管理办法</w:t>
      </w:r>
      <w:bookmarkEnd w:id="0"/>
      <w:r>
        <w:rPr>
          <w:rFonts w:hint="eastAsia" w:ascii="Times New Roman" w:hAnsi="Times New Roman" w:eastAsia="仿宋_GB2312"/>
          <w:kern w:val="2"/>
          <w:sz w:val="32"/>
          <w:szCs w:val="32"/>
        </w:rPr>
        <w:t>》（财库〔2021〕22号）的规定做好采购需求的提出、调研、论证、公开、评价等事宜，并对采购需求的合理性、合规性、合法性承担责任。主管预算单位应当发挥管理优势，对通用且使用频繁的产品和服务的性能指标、技术规格、服务标准、安全要求等制定标准化基本需求。采购人委托采购代理机构制定采购需求的，应当在采购活动开始前对相应责任进行书面确认，但不得因委托而转移采购需求确定的主体责任。集中采购机构主导的批量集中采购、框架协议、网上超市等采购项目，其采购需求由集中采购机构负责组织确定。</w:t>
      </w:r>
    </w:p>
    <w:p>
      <w:pPr>
        <w:spacing w:line="560" w:lineRule="exact"/>
        <w:ind w:firstLine="643" w:firstLineChars="200"/>
        <w:rPr>
          <w:rFonts w:ascii="仿宋_GB2312" w:hAnsi="仿宋_GB2312" w:cs="仿宋_GB2312"/>
          <w:szCs w:val="32"/>
        </w:rPr>
      </w:pPr>
      <w:r>
        <w:rPr>
          <w:rFonts w:hint="eastAsia" w:ascii="楷体_GB2312" w:hAnsi="楷体_GB2312" w:eastAsia="楷体_GB2312" w:cs="楷体_GB2312"/>
          <w:b/>
          <w:bCs/>
          <w:szCs w:val="32"/>
        </w:rPr>
        <w:t xml:space="preserve">第三十八条  </w:t>
      </w:r>
      <w:r>
        <w:rPr>
          <w:rFonts w:hint="eastAsia" w:ascii="仿宋_GB2312" w:hAnsi="仿宋_GB2312" w:cs="仿宋_GB2312"/>
          <w:szCs w:val="32"/>
        </w:rPr>
        <w:t>符合以下情形之一的项目，应当开展采购需求调查：</w:t>
      </w:r>
    </w:p>
    <w:p>
      <w:pPr>
        <w:spacing w:line="560" w:lineRule="exact"/>
        <w:ind w:firstLine="640"/>
        <w:rPr>
          <w:szCs w:val="32"/>
        </w:rPr>
      </w:pPr>
      <w:r>
        <w:rPr>
          <w:rFonts w:hint="eastAsia"/>
          <w:szCs w:val="32"/>
        </w:rPr>
        <w:t>（一）1000万元以上的货物、服务采购项目，3000万元以上的工程采购项目；</w:t>
      </w:r>
    </w:p>
    <w:p>
      <w:pPr>
        <w:numPr>
          <w:ilvl w:val="0"/>
          <w:numId w:val="4"/>
        </w:numPr>
        <w:spacing w:line="560" w:lineRule="exact"/>
        <w:ind w:firstLine="640"/>
        <w:rPr>
          <w:szCs w:val="32"/>
        </w:rPr>
      </w:pPr>
      <w:r>
        <w:rPr>
          <w:rFonts w:hint="eastAsia"/>
          <w:szCs w:val="32"/>
        </w:rPr>
        <w:t>涉及公共利益、社会关注度较高的采购项目；</w:t>
      </w:r>
    </w:p>
    <w:p>
      <w:pPr>
        <w:numPr>
          <w:ilvl w:val="0"/>
          <w:numId w:val="4"/>
        </w:numPr>
        <w:spacing w:line="560" w:lineRule="exact"/>
        <w:ind w:firstLine="640"/>
        <w:rPr>
          <w:szCs w:val="32"/>
        </w:rPr>
      </w:pPr>
      <w:r>
        <w:rPr>
          <w:rFonts w:hint="eastAsia"/>
          <w:szCs w:val="32"/>
        </w:rPr>
        <w:t>技术复杂、专业性较强的项目；</w:t>
      </w:r>
    </w:p>
    <w:p>
      <w:pPr>
        <w:numPr>
          <w:ilvl w:val="0"/>
          <w:numId w:val="4"/>
        </w:numPr>
        <w:spacing w:line="560" w:lineRule="exact"/>
        <w:ind w:firstLine="640"/>
        <w:rPr>
          <w:szCs w:val="32"/>
        </w:rPr>
      </w:pPr>
      <w:r>
        <w:rPr>
          <w:rFonts w:hint="eastAsia"/>
          <w:szCs w:val="32"/>
        </w:rPr>
        <w:t>主管预算单位或者采购人认为需要开展需求调查的其他采购项目。</w:t>
      </w:r>
    </w:p>
    <w:p>
      <w:pPr>
        <w:spacing w:line="560" w:lineRule="exact"/>
        <w:ind w:firstLine="640" w:firstLineChars="200"/>
        <w:rPr>
          <w:szCs w:val="32"/>
        </w:rPr>
      </w:pPr>
      <w:r>
        <w:rPr>
          <w:rFonts w:hint="eastAsia"/>
          <w:szCs w:val="32"/>
        </w:rPr>
        <w:t>编制采购需求前一年内已就相关采购标的开展过需求调查的、对采购项目开展的可行性研究已包含需求调查内容的，可以不再重复调查。</w:t>
      </w:r>
    </w:p>
    <w:p>
      <w:pPr>
        <w:pStyle w:val="2"/>
        <w:widowControl/>
        <w:spacing w:before="0" w:beforeAutospacing="0" w:after="0" w:afterAutospacing="0"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第三十九条  </w:t>
      </w:r>
      <w:r>
        <w:rPr>
          <w:rFonts w:hint="eastAsia" w:ascii="仿宋_GB2312" w:hAnsi="仿宋_GB2312" w:eastAsia="仿宋_GB2312" w:cs="仿宋_GB2312"/>
          <w:sz w:val="32"/>
          <w:szCs w:val="32"/>
        </w:rPr>
        <w:t>除因技术复杂或者性质特殊，不能确定详细规格或者具体要求外，采购需求应当完整、明确、合规、公正。具体应包括以下内容:</w:t>
      </w:r>
    </w:p>
    <w:p>
      <w:pPr>
        <w:pStyle w:val="2"/>
        <w:widowControl/>
        <w:spacing w:before="0" w:beforeAutospacing="0" w:after="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（一）采购项目概况及预算安排情况；</w:t>
      </w:r>
    </w:p>
    <w:p>
      <w:pPr>
        <w:pStyle w:val="2"/>
        <w:widowControl/>
        <w:spacing w:before="0" w:beforeAutospacing="0" w:after="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（二）采购标的需实现的功能或者目标，以及为落实政府采购政策需满足的要求；</w:t>
      </w:r>
    </w:p>
    <w:p>
      <w:pPr>
        <w:pStyle w:val="2"/>
        <w:widowControl/>
        <w:spacing w:before="0" w:beforeAutospacing="0" w:after="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（三）采购标的需执行的国家相关标准、行业标准、地方标准或者其他标准、规范；</w:t>
      </w:r>
    </w:p>
    <w:p>
      <w:pPr>
        <w:pStyle w:val="2"/>
        <w:widowControl/>
        <w:spacing w:before="0" w:beforeAutospacing="0" w:after="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（四）采购标的需满足的质量、安全、技术规格、物理特性等要求；</w:t>
      </w:r>
    </w:p>
    <w:p>
      <w:pPr>
        <w:pStyle w:val="2"/>
        <w:widowControl/>
        <w:spacing w:before="0" w:beforeAutospacing="0" w:after="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（五）采购标的的数量、采购项目交付或者实施的时间和地点；</w:t>
      </w:r>
    </w:p>
    <w:p>
      <w:pPr>
        <w:pStyle w:val="2"/>
        <w:widowControl/>
        <w:spacing w:before="0" w:beforeAutospacing="0" w:after="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（六）采购标的需满足的服务标准、期限、效率等要求；</w:t>
      </w:r>
    </w:p>
    <w:p>
      <w:pPr>
        <w:pStyle w:val="2"/>
        <w:widowControl/>
        <w:spacing w:before="0" w:beforeAutospacing="0" w:after="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（七）采购标的的验收标准；</w:t>
      </w:r>
    </w:p>
    <w:p>
      <w:pPr>
        <w:pStyle w:val="2"/>
        <w:widowControl/>
        <w:spacing w:before="0" w:beforeAutospacing="0" w:after="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（八）采购标的的其他技术、服务等要求。</w:t>
      </w:r>
    </w:p>
    <w:p>
      <w:pPr>
        <w:tabs>
          <w:tab w:val="left" w:pos="696"/>
        </w:tabs>
        <w:spacing w:line="560" w:lineRule="exact"/>
        <w:jc w:val="center"/>
        <w:rPr>
          <w:rFonts w:hint="eastAsia" w:ascii="楷体_GB2312" w:hAnsi="楷体_GB2312" w:eastAsia="楷体_GB2312" w:cs="楷体_GB2312"/>
          <w:b/>
          <w:bCs/>
          <w:color w:val="000000"/>
          <w:szCs w:val="32"/>
        </w:rPr>
      </w:pPr>
    </w:p>
    <w:p>
      <w:pPr>
        <w:tabs>
          <w:tab w:val="left" w:pos="696"/>
        </w:tabs>
        <w:spacing w:line="560" w:lineRule="exact"/>
        <w:jc w:val="center"/>
        <w:rPr>
          <w:rFonts w:hint="eastAsia"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 xml:space="preserve"> </w:t>
      </w:r>
      <w:r>
        <w:rPr>
          <w:rFonts w:hint="eastAsia" w:ascii="黑体" w:hAnsi="黑体" w:eastAsia="黑体" w:cs="黑体"/>
          <w:color w:val="000000"/>
          <w:szCs w:val="32"/>
        </w:rPr>
        <w:t>第七章  采购计划管理</w:t>
      </w:r>
    </w:p>
    <w:p>
      <w:pPr>
        <w:spacing w:line="560" w:lineRule="exact"/>
        <w:ind w:firstLine="640"/>
        <w:rPr>
          <w:szCs w:val="32"/>
        </w:rPr>
      </w:pPr>
      <w:r>
        <w:rPr>
          <w:rFonts w:hint="eastAsia" w:ascii="楷体_GB2312" w:hAnsi="楷体_GB2312" w:eastAsia="楷体_GB2312" w:cs="楷体_GB2312"/>
          <w:b/>
          <w:bCs/>
          <w:color w:val="000000"/>
          <w:szCs w:val="32"/>
        </w:rPr>
        <w:t xml:space="preserve">第四十条  </w:t>
      </w:r>
      <w:r>
        <w:rPr>
          <w:rFonts w:hint="eastAsia" w:ascii="仿宋_GB2312"/>
          <w:color w:val="000000"/>
          <w:szCs w:val="32"/>
        </w:rPr>
        <w:t>采购人应提高实施政府采购计划的及时性、系</w:t>
      </w:r>
      <w:r>
        <w:rPr>
          <w:rFonts w:hint="eastAsia"/>
          <w:szCs w:val="32"/>
        </w:rPr>
        <w:t>统性、准确性。采购预算批复后</w:t>
      </w:r>
      <w:r>
        <w:rPr>
          <w:rFonts w:hint="eastAsia"/>
          <w:szCs w:val="32"/>
          <w:lang w:eastAsia="zh-CN"/>
        </w:rPr>
        <w:t>，</w:t>
      </w:r>
      <w:r>
        <w:rPr>
          <w:rFonts w:hint="eastAsia"/>
          <w:szCs w:val="32"/>
        </w:rPr>
        <w:t>及时编制政府采购实施计划，合理安排政府采购时间，有序开展采购活动。除定点采购和网上商城采购外，凡列入年初预算的采购项目，原则上应于4月30日前完成采购计划申报；确需开展采购需求调查的采购项目，应于6月30日前完成申报，并在申报采购计划时上传需求调查报告。</w:t>
      </w:r>
      <w:r>
        <w:rPr>
          <w:szCs w:val="32"/>
        </w:rPr>
        <w:t>无预算、超预算</w:t>
      </w:r>
      <w:r>
        <w:rPr>
          <w:rFonts w:hint="eastAsia"/>
          <w:szCs w:val="32"/>
        </w:rPr>
        <w:t>、</w:t>
      </w:r>
      <w:r>
        <w:rPr>
          <w:szCs w:val="32"/>
        </w:rPr>
        <w:t>擅自变更已批复的预算开展政府采购活动</w:t>
      </w:r>
      <w:r>
        <w:rPr>
          <w:rFonts w:hint="eastAsia"/>
          <w:szCs w:val="32"/>
        </w:rPr>
        <w:t>以及</w:t>
      </w:r>
      <w:r>
        <w:rPr>
          <w:szCs w:val="32"/>
        </w:rPr>
        <w:t>随意调整政府采购预算或将采购预算化整为零以规避政府采购或公开招标</w:t>
      </w:r>
      <w:r>
        <w:rPr>
          <w:rFonts w:hint="eastAsia"/>
          <w:szCs w:val="32"/>
        </w:rPr>
        <w:t>的，政府采购监管部门一律不予办理政府采购手续，财政部门不予拨付政府采购项目资金。</w:t>
      </w:r>
    </w:p>
    <w:p>
      <w:pPr>
        <w:spacing w:line="560" w:lineRule="exact"/>
        <w:ind w:firstLine="64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 xml:space="preserve">第四十一条  </w:t>
      </w:r>
      <w:r>
        <w:rPr>
          <w:rFonts w:hint="eastAsia" w:ascii="仿宋_GB2312" w:hAnsi="仿宋_GB2312" w:cs="仿宋_GB2312"/>
          <w:color w:val="000000"/>
          <w:szCs w:val="32"/>
        </w:rPr>
        <w:t>政府采购监管系统按照《政府采购品目分类目录》设置政府采购品目，采购人应根据项目性质和采购内容细化采购品目，系统将根据采购品目自动推荐合适的采购方式和组织形式。</w:t>
      </w:r>
    </w:p>
    <w:p>
      <w:pPr>
        <w:spacing w:line="560" w:lineRule="exact"/>
        <w:ind w:firstLine="643" w:firstLineChars="20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 xml:space="preserve">第四十二条  </w:t>
      </w:r>
      <w:r>
        <w:rPr>
          <w:rFonts w:hint="eastAsia" w:ascii="仿宋_GB2312" w:hAnsi="仿宋_GB2312" w:cs="仿宋_GB2312"/>
          <w:color w:val="000000"/>
          <w:szCs w:val="32"/>
        </w:rPr>
        <w:t>政府采购的组织形式包括政府集中采购和分散采购，实施形式分为委托采购、自行采购、电子卖场。原则上，采购项目在集中采购目录内的，应实施政府集中采购，由集中采购机构代理采购。集中采购目录以外，分散采购限额标准以上的政府采购项目应实施分散采购，采购人可以自行采购，也可以委托社会代理机构在委托的范围内代理采购。</w:t>
      </w:r>
      <w:r>
        <w:rPr>
          <w:rFonts w:hint="eastAsia" w:ascii="仿宋_GB2312" w:hAnsi="仿宋_GB2312" w:cs="仿宋_GB2312"/>
          <w:szCs w:val="32"/>
        </w:rPr>
        <w:t>其中，自行采购的采购人应具有编制招标文件、组织招标的能力和条件以及与采购项目专业性相适应的专业人员。</w:t>
      </w:r>
    </w:p>
    <w:p>
      <w:pPr>
        <w:spacing w:line="560" w:lineRule="exact"/>
        <w:ind w:firstLine="643" w:firstLineChars="200"/>
        <w:rPr>
          <w:rFonts w:hint="eastAsia" w:ascii="仿宋_GB2312" w:hAnsi="仿宋_GB2312" w:cs="仿宋_GB2312"/>
          <w:color w:val="000000"/>
          <w:kern w:val="0"/>
          <w:szCs w:val="32"/>
        </w:rPr>
      </w:pPr>
      <w:r>
        <w:rPr>
          <w:rFonts w:hint="eastAsia" w:ascii="楷体_GB2312" w:hAnsi="楷体_GB2312" w:eastAsia="楷体_GB2312" w:cs="楷体_GB2312"/>
          <w:b/>
          <w:bCs/>
          <w:color w:val="000000"/>
          <w:szCs w:val="32"/>
        </w:rPr>
        <w:t xml:space="preserve">第四十三条  </w:t>
      </w:r>
      <w:r>
        <w:rPr>
          <w:rFonts w:hint="eastAsia" w:ascii="仿宋_GB2312" w:hAnsi="仿宋_GB2312" w:cs="仿宋_GB2312"/>
          <w:color w:val="000000"/>
          <w:szCs w:val="32"/>
        </w:rPr>
        <w:t>未达到公开招标数额标准的政府采购项目，采购人应根据项目实际情况，依法选择合适的政府采购方式。达到公开招标数额的政府采购项目，原则上应使用公开招标方式。</w:t>
      </w:r>
      <w:r>
        <w:rPr>
          <w:rFonts w:hint="eastAsia" w:ascii="仿宋_GB2312" w:hAnsi="仿宋_GB2312" w:cs="仿宋_GB2312"/>
          <w:color w:val="000000"/>
          <w:kern w:val="0"/>
          <w:szCs w:val="32"/>
        </w:rPr>
        <w:t>因特殊情况需要采用公开招标以外采购方式的，应在申报采购计划时同步提交申请变更采购方式的有关材料，经政府采购监管部门审核通过后开展采购。</w:t>
      </w:r>
    </w:p>
    <w:p>
      <w:pPr>
        <w:widowControl/>
        <w:spacing w:line="560" w:lineRule="exact"/>
        <w:ind w:firstLine="643" w:firstLineChars="200"/>
        <w:rPr>
          <w:rFonts w:ascii="仿宋_GB2312" w:hAnsi="仿宋_GB2312" w:cs="仿宋_GB2312"/>
          <w:color w:val="000000"/>
          <w:kern w:val="0"/>
          <w:szCs w:val="32"/>
        </w:rPr>
      </w:pPr>
      <w:r>
        <w:rPr>
          <w:rFonts w:hint="eastAsia" w:ascii="楷体_GB2312" w:hAnsi="楷体_GB2312" w:eastAsia="楷体_GB2312" w:cs="楷体_GB2312"/>
          <w:b/>
          <w:bCs/>
          <w:color w:val="000000"/>
          <w:kern w:val="0"/>
          <w:szCs w:val="32"/>
        </w:rPr>
        <w:t>第四十四条</w:t>
      </w:r>
      <w:r>
        <w:rPr>
          <w:rFonts w:hint="eastAsia" w:ascii="仿宋_GB2312" w:hAnsi="仿宋_GB2312" w:cs="仿宋_GB2312"/>
          <w:color w:val="000000"/>
          <w:kern w:val="0"/>
          <w:szCs w:val="32"/>
        </w:rPr>
        <w:t xml:space="preserve">  </w:t>
      </w:r>
      <w:r>
        <w:rPr>
          <w:rFonts w:hint="eastAsia" w:ascii="仿宋_GB2312" w:hAnsi="仿宋_GB2312" w:cs="仿宋_GB2312"/>
          <w:color w:val="000000"/>
          <w:szCs w:val="32"/>
        </w:rPr>
        <w:t>已申报采购计划需变更政府采购方式的，应在政府采购监管系统申请变更采购方式。原则上，公开招标数额以下的政府采购项目变更采购方式由采购人发起申请并审核。公开招标数额以上的政府采购项目变更采购方式由政府采购监管部门审核。</w:t>
      </w:r>
    </w:p>
    <w:p>
      <w:pPr>
        <w:pStyle w:val="2"/>
        <w:widowControl/>
        <w:spacing w:before="0" w:beforeAutospacing="0" w:after="0" w:afterAutospacing="0" w:line="56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第四十五条  </w:t>
      </w:r>
      <w:r>
        <w:rPr>
          <w:rFonts w:hint="eastAsia" w:ascii="仿宋_GB2312" w:hAnsi="仿宋_GB2312" w:eastAsia="仿宋_GB2312" w:cs="仿宋_GB2312"/>
          <w:color w:val="000000"/>
          <w:sz w:val="32"/>
          <w:szCs w:val="32"/>
        </w:rPr>
        <w:t>符合下列情形之一的货物或者服务，可以依法采用邀请招标方式采购:</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（一）具有特殊性，只能从有限范围的供应商处采购的;</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（二）采用公开招标方式的费用占政府采购项目总价值的比例过大的。</w:t>
      </w:r>
    </w:p>
    <w:p>
      <w:pPr>
        <w:pStyle w:val="2"/>
        <w:widowControl/>
        <w:spacing w:before="0" w:beforeAutospacing="0" w:after="0" w:afterAutospacing="0" w:line="56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第四十六条</w:t>
      </w:r>
      <w:r>
        <w:rPr>
          <w:rFonts w:hint="eastAsia" w:ascii="仿宋_GB2312" w:hAnsi="仿宋_GB2312" w:eastAsia="仿宋_GB2312" w:cs="仿宋_GB2312"/>
          <w:color w:val="000000"/>
          <w:sz w:val="32"/>
          <w:szCs w:val="32"/>
        </w:rPr>
        <w:t xml:space="preserve"> 符合下列情形之一的货物或者服务，可以依法采用竞争性谈判方式采购:</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（一）招标后没有供应商投标或者没有合格标的或者重新招标未能成立的;</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（二）技术复杂或者性质特殊，不能确定详细规格或者具体要求的;</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（三）采用招标所需时间不能满足用户紧急需要的;</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（四）不能事先计算出价格总额的；</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（五）按照招标投标法及其实施条例必须进行招标的工程建设项目以外的工程建设项目。</w:t>
      </w:r>
    </w:p>
    <w:p>
      <w:pPr>
        <w:pStyle w:val="2"/>
        <w:widowControl/>
        <w:spacing w:before="0" w:beforeAutospacing="0" w:after="0" w:afterAutospacing="0" w:line="56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第四十七条</w:t>
      </w:r>
      <w:r>
        <w:rPr>
          <w:rFonts w:hint="eastAsia" w:ascii="仿宋_GB2312" w:hAnsi="仿宋_GB2312" w:eastAsia="仿宋_GB2312" w:cs="仿宋_GB2312"/>
          <w:color w:val="000000"/>
          <w:sz w:val="32"/>
          <w:szCs w:val="32"/>
        </w:rPr>
        <w:t xml:space="preserve">  符合下列情形之一的项目，可以依法采用竞争性磋商方式开展采购:</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（一）政府购买服务项目;</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（二）技术复杂或者性质特殊，不能确定详细规格或者具体要求的;</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（三）因艺术品采购、专利、专有技术或者服务的时间、数量事先不能确定等原因不能事先计算出价格总额的;</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（四）市场竞争不充分的科研项目，以及需要扶持的科技成果转化项目;</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（五）按照招标投标法及其实施条例必须进行招标的工程建设项目以外的工程建设项目。</w:t>
      </w:r>
    </w:p>
    <w:p>
      <w:pPr>
        <w:pStyle w:val="2"/>
        <w:widowControl/>
        <w:spacing w:before="0" w:beforeAutospacing="0" w:after="0" w:afterAutospacing="0" w:line="56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第四十八条</w:t>
      </w:r>
      <w:r>
        <w:rPr>
          <w:rFonts w:hint="eastAsia" w:ascii="仿宋_GB2312" w:hAnsi="仿宋_GB2312" w:eastAsia="仿宋_GB2312" w:cs="仿宋_GB2312"/>
          <w:color w:val="000000"/>
          <w:sz w:val="32"/>
          <w:szCs w:val="32"/>
        </w:rPr>
        <w:t xml:space="preserve">  采购的货物规格、标准统一，现货货源充足且价格变化幅度小的政府采购项目，可以依法采用询价方式采购。</w:t>
      </w:r>
    </w:p>
    <w:p>
      <w:pPr>
        <w:spacing w:line="560" w:lineRule="exact"/>
        <w:ind w:firstLine="643" w:firstLineChars="200"/>
        <w:rPr>
          <w:rFonts w:hint="eastAsia" w:ascii="仿宋_GB2312" w:hAnsi="仿宋_GB2312" w:cs="仿宋_GB2312"/>
          <w:szCs w:val="32"/>
        </w:rPr>
      </w:pPr>
      <w:r>
        <w:rPr>
          <w:rFonts w:hint="eastAsia" w:ascii="楷体" w:hAnsi="楷体" w:eastAsia="楷体" w:cs="楷体"/>
          <w:b/>
          <w:bCs/>
          <w:szCs w:val="32"/>
        </w:rPr>
        <w:t xml:space="preserve">第四十九条  </w:t>
      </w:r>
      <w:r>
        <w:rPr>
          <w:rFonts w:hint="eastAsia" w:ascii="仿宋_GB2312" w:hAnsi="仿宋_GB2312" w:cs="仿宋_GB2312"/>
          <w:szCs w:val="32"/>
        </w:rPr>
        <w:t>采购人应以满足单位工作业务需要为前提，科学合理、厉行节约，严格按照资产配置标准采购单位办公设备，杜绝攀比浪费，避免闲置低效。因特殊情况确需超标准采购通用办公设备的，应在申报采购计划前，将采购需求、理由等事项按同级财政部门国有资产管理规定履行相关审批程序，在政府采购监管系统采购计划申请模块上传批复材料；采购人采购非通用办公设备的，在政府采购监管系统采购计划申请模块提交本次采购产品为非通用办公设备的情况说明。</w:t>
      </w:r>
    </w:p>
    <w:p>
      <w:pPr>
        <w:spacing w:line="560" w:lineRule="exact"/>
        <w:ind w:firstLine="643" w:firstLineChars="200"/>
        <w:rPr>
          <w:rFonts w:ascii="仿宋_GB2312" w:hAnsi="仿宋_GB2312" w:cs="仿宋_GB2312"/>
          <w:color w:val="000000"/>
          <w:szCs w:val="32"/>
        </w:rPr>
      </w:pPr>
      <w:r>
        <w:rPr>
          <w:rFonts w:hint="eastAsia" w:ascii="楷体_GB2312" w:hAnsi="楷体_GB2312" w:eastAsia="楷体_GB2312" w:cs="楷体_GB2312"/>
          <w:b/>
          <w:bCs/>
          <w:color w:val="000000"/>
          <w:szCs w:val="32"/>
        </w:rPr>
        <w:t xml:space="preserve">第五十条  </w:t>
      </w:r>
      <w:r>
        <w:rPr>
          <w:rFonts w:hint="eastAsia" w:ascii="仿宋_GB2312" w:hAnsi="仿宋_GB2312" w:cs="仿宋_GB2312"/>
          <w:color w:val="000000"/>
          <w:szCs w:val="32"/>
        </w:rPr>
        <w:t>采购人因工作需要拟采购进口产品的，应当在申报政府采购计划时同步报送进口产品申请表及专家论证意见等材料，经设区的市级以上财政部门核准后，依法开展政府采购活动。</w:t>
      </w:r>
    </w:p>
    <w:p>
      <w:pPr>
        <w:spacing w:line="560" w:lineRule="exact"/>
        <w:ind w:firstLine="643" w:firstLineChars="200"/>
        <w:rPr>
          <w:rFonts w:ascii="仿宋_GB2312" w:hAnsi="宋体"/>
          <w:color w:val="000000"/>
          <w:szCs w:val="32"/>
        </w:rPr>
      </w:pPr>
      <w:r>
        <w:rPr>
          <w:rFonts w:hint="eastAsia" w:ascii="楷体" w:hAnsi="楷体" w:eastAsia="楷体" w:cs="楷体"/>
          <w:b/>
          <w:bCs/>
          <w:color w:val="000000"/>
          <w:szCs w:val="32"/>
        </w:rPr>
        <w:t xml:space="preserve">第五十一条  </w:t>
      </w:r>
      <w:r>
        <w:rPr>
          <w:rFonts w:hint="eastAsia" w:ascii="仿宋_GB2312" w:hAnsi="宋体"/>
          <w:color w:val="000000"/>
          <w:szCs w:val="32"/>
        </w:rPr>
        <w:t>进口产品专家论证由采购人自行组织，原则上应由5人以上单数（包含1名法律专家）熟悉拟采购进口产品的非本单位专家组成。</w:t>
      </w:r>
    </w:p>
    <w:p>
      <w:pPr>
        <w:spacing w:line="560" w:lineRule="exact"/>
        <w:ind w:firstLine="643" w:firstLineChars="200"/>
        <w:rPr>
          <w:rFonts w:ascii="仿宋_GB2312" w:hAnsi="宋体"/>
          <w:color w:val="000000"/>
          <w:szCs w:val="32"/>
        </w:rPr>
      </w:pPr>
      <w:r>
        <w:rPr>
          <w:rFonts w:hint="eastAsia" w:ascii="楷体_GB2312" w:hAnsi="楷体_GB2312" w:eastAsia="楷体_GB2312" w:cs="楷体_GB2312"/>
          <w:b/>
          <w:bCs/>
          <w:color w:val="000000"/>
          <w:szCs w:val="32"/>
        </w:rPr>
        <w:t>第五十二条</w:t>
      </w:r>
      <w:r>
        <w:rPr>
          <w:rFonts w:hint="eastAsia" w:ascii="仿宋_GB2312" w:hAnsi="宋体"/>
          <w:color w:val="000000"/>
          <w:szCs w:val="32"/>
        </w:rPr>
        <w:t xml:space="preserve">  政府采购进口产品论证专家必须与所论证的项目专业对口，法律专家应判定拟采购产品是否属于国家限制进口产品，技术专家应重点论证采购需求，进口产品与同类国内产品的技术指标和性能及其优劣对比，提出合理的采购意见。专家论证意见应当完整、清晰和明确，意见不明确或者含混不清的，不得作为核准依据。</w:t>
      </w:r>
    </w:p>
    <w:p>
      <w:pPr>
        <w:widowControl/>
        <w:spacing w:line="560" w:lineRule="exact"/>
        <w:ind w:firstLine="643" w:firstLineChars="200"/>
        <w:jc w:val="left"/>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 xml:space="preserve">第五十三条  </w:t>
      </w:r>
      <w:r>
        <w:rPr>
          <w:rFonts w:hint="eastAsia" w:ascii="仿宋_GB2312" w:hAnsi="仿宋_GB2312" w:cs="仿宋_GB2312"/>
          <w:color w:val="000000"/>
          <w:szCs w:val="32"/>
        </w:rPr>
        <w:t>高校科研院所采购进口科研仪器设备的，无需报财政部门核准，在申报采购计划时应明确该项目为高校科研院所采购进口产品，并将采购科研仪器设备专家论证意见及有关说明材料上传至政府采购监管系统备案。</w:t>
      </w:r>
    </w:p>
    <w:p>
      <w:pPr>
        <w:widowControl/>
        <w:spacing w:line="560" w:lineRule="exact"/>
        <w:ind w:firstLine="643" w:firstLineChars="200"/>
        <w:rPr>
          <w:rFonts w:hint="eastAsia"/>
          <w:szCs w:val="32"/>
        </w:rPr>
      </w:pPr>
      <w:r>
        <w:rPr>
          <w:rFonts w:hint="eastAsia" w:ascii="楷体_GB2312" w:hAnsi="楷体_GB2312" w:eastAsia="楷体_GB2312" w:cs="楷体_GB2312"/>
          <w:b/>
          <w:bCs/>
          <w:color w:val="000000"/>
          <w:szCs w:val="32"/>
        </w:rPr>
        <w:t xml:space="preserve">第五十四条 </w:t>
      </w:r>
      <w:r>
        <w:rPr>
          <w:rFonts w:hint="eastAsia" w:ascii="仿宋_GB2312" w:hAnsi="仿宋_GB2312" w:cs="仿宋_GB2312"/>
          <w:b/>
          <w:bCs/>
          <w:color w:val="000000"/>
          <w:szCs w:val="32"/>
        </w:rPr>
        <w:t xml:space="preserve"> </w:t>
      </w:r>
      <w:r>
        <w:rPr>
          <w:rFonts w:hint="eastAsia"/>
          <w:szCs w:val="32"/>
        </w:rPr>
        <w:t>采购人采购60万元以上的工程均属于政府采购工程项目，应当编制政府采购预算、公开采购意向、申报采购计划、落实政府采购支持中小企业发展及绿色创新采购政策、完成合同备案。其中，60-400万元的工程以及400万元以上与建筑物、构筑物新建、改建、扩建无关的单独的装修、拆除、修缮工程适用于《中华人民共和国政府采购法》及其实施条例，应依法选择竞争性谈判、竞争性磋商、单一来源等方式。400万元以上与建筑物、构筑物新建、改建、扩建有关的工程在招标采购阶段适用于《中华人民共和国招标投标法》及其实施条例，应依法开展招标活动，项目信息公告无需在安徽省政府采购网发布。</w:t>
      </w:r>
    </w:p>
    <w:p>
      <w:pPr>
        <w:widowControl/>
        <w:spacing w:line="560" w:lineRule="exact"/>
        <w:ind w:firstLine="643" w:firstLineChars="200"/>
        <w:jc w:val="left"/>
        <w:rPr>
          <w:rFonts w:hint="eastAsia"/>
          <w:szCs w:val="32"/>
        </w:rPr>
      </w:pPr>
      <w:r>
        <w:rPr>
          <w:rFonts w:hint="eastAsia" w:ascii="楷体_GB2312" w:hAnsi="楷体_GB2312" w:eastAsia="楷体_GB2312" w:cs="楷体_GB2312"/>
          <w:b/>
          <w:bCs/>
          <w:color w:val="000000"/>
          <w:szCs w:val="32"/>
        </w:rPr>
        <w:t xml:space="preserve">第五十五条  </w:t>
      </w:r>
      <w:r>
        <w:rPr>
          <w:szCs w:val="32"/>
        </w:rPr>
        <w:t>对采购需求具有相对固定性、延续性且价格变化幅度小的服务项目，在采购文件已明确、年度预算能保障的前提下，</w:t>
      </w:r>
      <w:r>
        <w:rPr>
          <w:rFonts w:hint="eastAsia"/>
          <w:szCs w:val="32"/>
        </w:rPr>
        <w:t>采购人</w:t>
      </w:r>
      <w:r>
        <w:rPr>
          <w:szCs w:val="32"/>
        </w:rPr>
        <w:t>与中标供应商可</w:t>
      </w:r>
      <w:r>
        <w:rPr>
          <w:rFonts w:hint="eastAsia"/>
          <w:szCs w:val="32"/>
        </w:rPr>
        <w:t>约定一招三年，首年合同履约完成，</w:t>
      </w:r>
      <w:r>
        <w:rPr>
          <w:szCs w:val="32"/>
        </w:rPr>
        <w:t>经采购人年度考核合格，</w:t>
      </w:r>
      <w:r>
        <w:rPr>
          <w:rFonts w:hint="eastAsia"/>
          <w:szCs w:val="32"/>
        </w:rPr>
        <w:t>可</w:t>
      </w:r>
      <w:r>
        <w:rPr>
          <w:szCs w:val="32"/>
        </w:rPr>
        <w:t>分年续签采购合同（累计最长不超过3年）。</w:t>
      </w:r>
      <w:r>
        <w:rPr>
          <w:rFonts w:hint="eastAsia"/>
          <w:szCs w:val="32"/>
        </w:rPr>
        <w:t>其中，续签年度应在申报采购计划时同步提交首年合同文本。</w:t>
      </w:r>
    </w:p>
    <w:p>
      <w:pPr>
        <w:widowControl/>
        <w:spacing w:line="560" w:lineRule="exact"/>
        <w:ind w:firstLine="643" w:firstLineChars="200"/>
        <w:jc w:val="left"/>
        <w:rPr>
          <w:rFonts w:hint="eastAsia" w:ascii="仿宋_GB2312" w:hAnsi="仿宋_GB2312" w:cs="仿宋_GB2312"/>
          <w:szCs w:val="32"/>
        </w:rPr>
      </w:pPr>
      <w:r>
        <w:rPr>
          <w:rFonts w:hint="eastAsia" w:ascii="楷体_GB2312" w:hAnsi="楷体_GB2312" w:eastAsia="楷体_GB2312" w:cs="楷体_GB2312"/>
          <w:b/>
          <w:bCs/>
          <w:color w:val="000000"/>
          <w:szCs w:val="32"/>
        </w:rPr>
        <w:t xml:space="preserve">第五十六条  </w:t>
      </w:r>
      <w:r>
        <w:rPr>
          <w:rFonts w:hint="eastAsia" w:ascii="仿宋_GB2312" w:hAnsi="仿宋_GB2312" w:cs="仿宋_GB2312"/>
          <w:color w:val="000000"/>
          <w:szCs w:val="32"/>
        </w:rPr>
        <w:t>采购人申报采购计划时应落实政府采购支持中小企业有关政策，据实填报预留采购份额。</w:t>
      </w:r>
      <w:r>
        <w:rPr>
          <w:rFonts w:hint="eastAsia" w:ascii="仿宋_GB2312" w:hAnsi="仿宋_GB2312" w:cs="仿宋_GB2312"/>
          <w:szCs w:val="32"/>
        </w:rPr>
        <w:t>确实不适用专门面向中小企业采购有关规定的，需要在申报采购计划时说明理由。</w:t>
      </w:r>
    </w:p>
    <w:p>
      <w:pPr>
        <w:widowControl/>
        <w:spacing w:line="560" w:lineRule="exact"/>
        <w:ind w:firstLine="643" w:firstLineChars="200"/>
        <w:jc w:val="left"/>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 xml:space="preserve">第五十七条  </w:t>
      </w:r>
      <w:r>
        <w:rPr>
          <w:rFonts w:hint="eastAsia" w:ascii="仿宋_GB2312" w:hAnsi="仿宋_GB2312" w:cs="仿宋_GB2312"/>
          <w:color w:val="000000"/>
          <w:szCs w:val="32"/>
        </w:rPr>
        <w:t>政府采购计划审核通过后，系统生成政府采购任务书，政府采购任务书应根据项目性质下达到集中采购机构或社会代理机构。采购人应依法自主选择合适的集中采购代理机构或社会代理机构，任何单位或个人不得干涉采购人自主选择代理机构。采购人选择的社会代理机构应同步在中国政府采购网、安徽省政府采购网注册登记。按包别实施的政府采购项目应采用同一种采购方式，确需按照多种采购方式执行的，应下达多个任务书后开展政府采购活动。</w:t>
      </w:r>
    </w:p>
    <w:p>
      <w:pPr>
        <w:widowControl/>
        <w:spacing w:line="560" w:lineRule="exact"/>
        <w:ind w:firstLine="640" w:firstLineChars="200"/>
        <w:jc w:val="left"/>
        <w:rPr>
          <w:rFonts w:hint="eastAsia" w:ascii="仿宋_GB2312" w:hAnsi="仿宋_GB2312" w:cs="仿宋_GB2312"/>
          <w:color w:val="000000"/>
          <w:szCs w:val="32"/>
        </w:rPr>
      </w:pPr>
    </w:p>
    <w:p>
      <w:pPr>
        <w:spacing w:line="560" w:lineRule="exact"/>
        <w:jc w:val="center"/>
        <w:outlineLvl w:val="0"/>
        <w:rPr>
          <w:rFonts w:hint="eastAsia" w:ascii="黑体" w:hAnsi="黑体" w:eastAsia="黑体" w:cs="黑体"/>
          <w:color w:val="000000"/>
          <w:szCs w:val="32"/>
        </w:rPr>
      </w:pPr>
      <w:r>
        <w:rPr>
          <w:rFonts w:hint="eastAsia" w:ascii="黑体" w:hAnsi="黑体" w:eastAsia="黑体" w:cs="黑体"/>
          <w:color w:val="000000"/>
          <w:szCs w:val="32"/>
        </w:rPr>
        <w:t>第八章  政府采购公告管理</w:t>
      </w:r>
    </w:p>
    <w:p>
      <w:pPr>
        <w:spacing w:line="560" w:lineRule="exact"/>
        <w:ind w:firstLine="643" w:firstLineChars="200"/>
        <w:rPr>
          <w:b/>
          <w:bCs/>
          <w:szCs w:val="32"/>
        </w:rPr>
      </w:pPr>
      <w:r>
        <w:rPr>
          <w:rFonts w:hint="eastAsia" w:ascii="楷体" w:hAnsi="楷体" w:eastAsia="楷体" w:cs="楷体"/>
          <w:b/>
          <w:bCs/>
          <w:szCs w:val="32"/>
        </w:rPr>
        <w:t>第五十八条</w:t>
      </w:r>
      <w:r>
        <w:rPr>
          <w:rFonts w:hint="eastAsia" w:ascii="仿宋_GB2312" w:hAnsi="仿宋_GB2312" w:cs="仿宋_GB2312"/>
          <w:b/>
          <w:bCs/>
          <w:szCs w:val="32"/>
        </w:rPr>
        <w:t xml:space="preserve">  </w:t>
      </w:r>
      <w:r>
        <w:rPr>
          <w:rFonts w:hint="eastAsia" w:ascii="仿宋_GB2312" w:hAnsi="仿宋_GB2312" w:cs="仿宋_GB2312"/>
          <w:szCs w:val="32"/>
        </w:rPr>
        <w:t>采购人应将政府采购信息的起草、发布作为内控管理的重要内容，按照“谁发布谁负责”的原则，严格执行政府采购法律法规规定的时间、内容等要求，切实做好采购项目公告、采购文件、采购结果、采购合同等采购项目信息公开，对网上公开的政府采购信息的真实性、准确性、合法性、及时性负责，实现采购项目信息全流程闭环式管理，切实保障市场主体的知情权和公众监督权。采购代理机构应对起草的政府采购信息公告实行严格的内部复核，并经采购人终审后上网公开。</w:t>
      </w:r>
    </w:p>
    <w:p>
      <w:pPr>
        <w:spacing w:line="560" w:lineRule="exact"/>
        <w:ind w:firstLine="643" w:firstLineChars="200"/>
        <w:rPr>
          <w:szCs w:val="32"/>
        </w:rPr>
      </w:pPr>
      <w:r>
        <w:rPr>
          <w:rFonts w:hint="eastAsia" w:ascii="楷体" w:hAnsi="楷体" w:eastAsia="楷体" w:cs="楷体"/>
          <w:b/>
          <w:bCs/>
          <w:szCs w:val="32"/>
        </w:rPr>
        <w:t>第五十九条</w:t>
      </w:r>
      <w:r>
        <w:rPr>
          <w:rFonts w:hint="eastAsia" w:ascii="仿宋_GB2312" w:hAnsi="仿宋_GB2312" w:cs="仿宋_GB2312"/>
          <w:b/>
          <w:bCs/>
          <w:szCs w:val="32"/>
        </w:rPr>
        <w:t xml:space="preserve"> </w:t>
      </w:r>
      <w:r>
        <w:rPr>
          <w:rFonts w:hint="eastAsia" w:ascii="仿宋_GB2312" w:hAnsi="仿宋_GB2312" w:cs="仿宋_GB2312"/>
          <w:szCs w:val="32"/>
        </w:rPr>
        <w:t xml:space="preserve"> </w:t>
      </w:r>
      <w:r>
        <w:rPr>
          <w:rFonts w:hint="eastAsia"/>
          <w:szCs w:val="32"/>
        </w:rPr>
        <w:t>采购人应严格按照信息公告时间节点完成信息公开。自收到评审报告后2个工作日内确定中标（成交）供应商，并在2个工作日内发布中标（成交)公告。合同签订后2个工作日内发布合同公告。安徽省政府采购网和公共资源交易平台互联互通，信息公告全流程公开。</w:t>
      </w:r>
    </w:p>
    <w:p>
      <w:pPr>
        <w:spacing w:line="560" w:lineRule="exact"/>
        <w:ind w:firstLine="643" w:firstLineChars="200"/>
        <w:rPr>
          <w:szCs w:val="32"/>
        </w:rPr>
      </w:pPr>
      <w:r>
        <w:rPr>
          <w:rFonts w:hint="eastAsia" w:ascii="楷体" w:hAnsi="楷体" w:eastAsia="楷体" w:cs="楷体"/>
          <w:b/>
          <w:bCs/>
          <w:szCs w:val="32"/>
        </w:rPr>
        <w:t>第六十条</w:t>
      </w:r>
      <w:r>
        <w:rPr>
          <w:rFonts w:hint="eastAsia" w:ascii="仿宋_GB2312" w:hAnsi="仿宋_GB2312" w:cs="仿宋_GB2312"/>
          <w:szCs w:val="32"/>
        </w:rPr>
        <w:t xml:space="preserve">  </w:t>
      </w:r>
      <w:r>
        <w:rPr>
          <w:rFonts w:hint="eastAsia"/>
          <w:szCs w:val="32"/>
        </w:rPr>
        <w:t>信息公开时间按日计算期间的，从发布后的次日开始计算；按工作日计算期间的，从发布后的下一个工作日开始计算。期限的最后一个工作日是国家法定节假日的，以法定节假日后的次日为期限的最后一天。</w:t>
      </w:r>
    </w:p>
    <w:p>
      <w:pPr>
        <w:spacing w:line="560" w:lineRule="exact"/>
        <w:ind w:firstLine="643" w:firstLineChars="200"/>
        <w:rPr>
          <w:rFonts w:hint="eastAsia" w:ascii="仿宋_GB2312" w:hAnsi="仿宋_GB2312" w:cs="仿宋_GB2312"/>
          <w:szCs w:val="32"/>
        </w:rPr>
      </w:pPr>
      <w:r>
        <w:rPr>
          <w:rFonts w:hint="eastAsia" w:ascii="楷体" w:hAnsi="楷体" w:eastAsia="楷体" w:cs="楷体"/>
          <w:b/>
          <w:bCs/>
          <w:szCs w:val="32"/>
        </w:rPr>
        <w:t>第六十一条</w:t>
      </w:r>
      <w:r>
        <w:rPr>
          <w:rFonts w:hint="eastAsia" w:ascii="仿宋_GB2312" w:hAnsi="仿宋_GB2312" w:cs="仿宋_GB2312"/>
          <w:b/>
          <w:bCs/>
          <w:szCs w:val="32"/>
        </w:rPr>
        <w:t xml:space="preserve">  </w:t>
      </w:r>
      <w:r>
        <w:rPr>
          <w:rFonts w:hint="eastAsia" w:ascii="仿宋_GB2312" w:hAnsi="仿宋_GB2312" w:cs="仿宋_GB2312"/>
          <w:szCs w:val="32"/>
        </w:rPr>
        <w:t>各级政府采购监管部门应对本级政府采购信息发布活动加强监督指导，对于违反政府采购信息发布相关规定的，依法进行考核、通报、处理处罚，并将政府采购信息发布情况作为采购人选择采购代理机构的重要参考依据。</w:t>
      </w:r>
    </w:p>
    <w:p>
      <w:pPr>
        <w:spacing w:line="560" w:lineRule="exact"/>
        <w:ind w:firstLine="640" w:firstLineChars="200"/>
        <w:rPr>
          <w:rFonts w:hint="eastAsia" w:ascii="仿宋_GB2312" w:hAnsi="仿宋_GB2312" w:cs="仿宋_GB2312"/>
          <w:szCs w:val="32"/>
        </w:rPr>
      </w:pPr>
    </w:p>
    <w:p>
      <w:pPr>
        <w:spacing w:line="560" w:lineRule="exact"/>
        <w:jc w:val="center"/>
        <w:outlineLvl w:val="0"/>
        <w:rPr>
          <w:rFonts w:ascii="黑体" w:hAnsi="黑体" w:eastAsia="黑体" w:cs="黑体"/>
          <w:color w:val="000000"/>
          <w:szCs w:val="32"/>
        </w:rPr>
      </w:pPr>
      <w:r>
        <w:rPr>
          <w:rFonts w:hint="eastAsia" w:ascii="黑体" w:hAnsi="黑体" w:eastAsia="黑体" w:cs="黑体"/>
          <w:color w:val="000000"/>
          <w:szCs w:val="32"/>
        </w:rPr>
        <w:t>第九章  政府采购合同管理</w:t>
      </w:r>
    </w:p>
    <w:p>
      <w:pPr>
        <w:spacing w:line="560" w:lineRule="exact"/>
        <w:ind w:firstLine="643" w:firstLineChars="200"/>
        <w:rPr>
          <w:rFonts w:hint="eastAsia"/>
          <w:szCs w:val="32"/>
        </w:rPr>
      </w:pPr>
      <w:r>
        <w:rPr>
          <w:rFonts w:hint="eastAsia" w:ascii="楷体_GB2312" w:hAnsi="楷体_GB2312" w:eastAsia="楷体_GB2312" w:cs="楷体_GB2312"/>
          <w:b/>
          <w:bCs/>
          <w:color w:val="000000"/>
          <w:szCs w:val="32"/>
        </w:rPr>
        <w:t xml:space="preserve">第六十二条  </w:t>
      </w:r>
      <w:r>
        <w:rPr>
          <w:rFonts w:hint="eastAsia"/>
          <w:szCs w:val="32"/>
        </w:rPr>
        <w:t>采购人和供应商之间的权利和义务，应当按照平等、自愿的原则以合同方式约定。原则上，采购人应在中标（成交）通知书发放之日起7个工作日内按照采购文件确定的事项与中标（成交）供应商签订政府采购合同。采购合同有关法务审核和内部决策事项应在采购公告发布前完成。</w:t>
      </w:r>
    </w:p>
    <w:p>
      <w:pPr>
        <w:spacing w:line="560" w:lineRule="exact"/>
        <w:ind w:firstLine="643" w:firstLineChars="200"/>
        <w:rPr>
          <w:szCs w:val="32"/>
        </w:rPr>
      </w:pPr>
      <w:r>
        <w:rPr>
          <w:rFonts w:hint="eastAsia" w:ascii="楷体_GB2312" w:hAnsi="楷体_GB2312" w:eastAsia="楷体_GB2312" w:cs="楷体_GB2312"/>
          <w:b/>
          <w:bCs/>
          <w:color w:val="000000"/>
          <w:szCs w:val="32"/>
        </w:rPr>
        <w:t xml:space="preserve">第六十三条  </w:t>
      </w:r>
      <w:r>
        <w:rPr>
          <w:rFonts w:hint="eastAsia"/>
          <w:szCs w:val="32"/>
        </w:rPr>
        <w:t>政府采购项目的采购合同签订之日起2个工作日内，采购人应在政府采购监管系统完成政府采购合同备案。备案时应据实填报项目合同信息、中标（成交）供应商信息、标的信息、支付信息等内容，并同步上传合同文本。在线签订电子合同的，系统自动备案和公告。</w:t>
      </w:r>
    </w:p>
    <w:p>
      <w:pPr>
        <w:spacing w:line="560" w:lineRule="exact"/>
        <w:ind w:firstLine="643" w:firstLineChars="200"/>
        <w:rPr>
          <w:rFonts w:ascii="仿宋_GB2312" w:hAnsi="仿宋_GB2312" w:cs="仿宋_GB2312"/>
          <w:color w:val="000000"/>
          <w:szCs w:val="32"/>
        </w:rPr>
      </w:pPr>
      <w:r>
        <w:rPr>
          <w:rFonts w:hint="eastAsia" w:ascii="楷体_GB2312" w:hAnsi="楷体_GB2312" w:eastAsia="楷体_GB2312" w:cs="楷体_GB2312"/>
          <w:b/>
          <w:bCs/>
          <w:color w:val="000000"/>
          <w:szCs w:val="32"/>
        </w:rPr>
        <w:t xml:space="preserve">第六十四条  </w:t>
      </w:r>
      <w:r>
        <w:rPr>
          <w:rFonts w:hint="eastAsia" w:ascii="仿宋_GB2312" w:hAnsi="仿宋_GB2312" w:cs="仿宋_GB2312"/>
          <w:color w:val="000000"/>
          <w:szCs w:val="32"/>
        </w:rPr>
        <w:t>使用预采购指标采购的，应在合同备案完成以后进行合同指标切换，切换金额原则上应与合同金额一致，不得高于预采购指标金额。</w:t>
      </w:r>
    </w:p>
    <w:p>
      <w:pPr>
        <w:spacing w:line="560" w:lineRule="exact"/>
        <w:ind w:firstLine="643" w:firstLineChars="20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 xml:space="preserve">第六十五条 </w:t>
      </w:r>
      <w:r>
        <w:rPr>
          <w:rFonts w:hint="eastAsia" w:ascii="仿宋_GB2312" w:hAnsi="仿宋_GB2312" w:cs="仿宋_GB2312"/>
          <w:color w:val="000000"/>
          <w:szCs w:val="32"/>
        </w:rPr>
        <w:t xml:space="preserve"> 符合以下条件之一的，可以在任务书生成后在政府采购监管系统合同备案管理模块直接录入合同：</w:t>
      </w:r>
    </w:p>
    <w:p>
      <w:pPr>
        <w:numPr>
          <w:ilvl w:val="0"/>
          <w:numId w:val="5"/>
        </w:num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属于统一采购项目，需非采购人支付资金的；</w:t>
      </w:r>
    </w:p>
    <w:p>
      <w:pPr>
        <w:numPr>
          <w:ilvl w:val="0"/>
          <w:numId w:val="5"/>
        </w:num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上年度未完成支付的项目；</w:t>
      </w:r>
    </w:p>
    <w:p>
      <w:pPr>
        <w:numPr>
          <w:ilvl w:val="0"/>
          <w:numId w:val="5"/>
        </w:num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依法招标工程和国际招标项目；</w:t>
      </w:r>
    </w:p>
    <w:p>
      <w:pPr>
        <w:numPr>
          <w:ilvl w:val="0"/>
          <w:numId w:val="5"/>
        </w:num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申请其他采购指标的项目；</w:t>
      </w:r>
    </w:p>
    <w:p>
      <w:pPr>
        <w:numPr>
          <w:ilvl w:val="0"/>
          <w:numId w:val="5"/>
        </w:num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续签项目；</w:t>
      </w:r>
    </w:p>
    <w:p>
      <w:pPr>
        <w:numPr>
          <w:ilvl w:val="0"/>
          <w:numId w:val="5"/>
        </w:num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同级财政部门规定的其他情形。</w:t>
      </w:r>
    </w:p>
    <w:p>
      <w:pPr>
        <w:spacing w:line="560" w:lineRule="exact"/>
        <w:ind w:firstLine="643" w:firstLineChars="200"/>
        <w:rPr>
          <w:rFonts w:hint="eastAsia"/>
          <w:szCs w:val="32"/>
        </w:rPr>
      </w:pPr>
      <w:r>
        <w:rPr>
          <w:rFonts w:hint="eastAsia" w:ascii="楷体_GB2312" w:hAnsi="楷体_GB2312" w:eastAsia="楷体_GB2312" w:cs="楷体_GB2312"/>
          <w:b/>
          <w:bCs/>
          <w:color w:val="000000"/>
          <w:szCs w:val="32"/>
        </w:rPr>
        <w:t xml:space="preserve">第六十六条 </w:t>
      </w:r>
      <w:r>
        <w:rPr>
          <w:rFonts w:hint="eastAsia" w:ascii="仿宋_GB2312" w:hAnsi="仿宋_GB2312" w:cs="仿宋_GB2312"/>
          <w:b/>
          <w:bCs/>
          <w:color w:val="000000"/>
          <w:szCs w:val="32"/>
        </w:rPr>
        <w:t xml:space="preserve"> </w:t>
      </w:r>
      <w:r>
        <w:rPr>
          <w:rFonts w:hint="eastAsia"/>
          <w:szCs w:val="32"/>
        </w:rPr>
        <w:t>政府采购合同履行中，采购人需追加与合同标的相同的货物、工程或者服务的，在不改变合同其他条款的前提下，可以与供应商协商签订补充合同，但所有补充合同的采购金额不得超过原合同采购金额的10%。采购人应在补充合同签订后2个工作日内在政府采购监管系统完成补充合同的合同备案及公开。</w:t>
      </w:r>
    </w:p>
    <w:p>
      <w:pPr>
        <w:spacing w:line="560" w:lineRule="exact"/>
        <w:ind w:firstLine="643" w:firstLineChars="20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 xml:space="preserve">第六十七条  </w:t>
      </w:r>
      <w:r>
        <w:rPr>
          <w:rFonts w:hint="eastAsia"/>
          <w:szCs w:val="32"/>
        </w:rPr>
        <w:t>政府采购合同备案信息原则上实时同步至预算管理一体化系统，采购人应在项目履约验收完成且收到发票后7个工作日内在预算管理一体化系统完成支付。支付信息回传至政府采购监管系统，项目自动完成支付结项</w:t>
      </w:r>
      <w:r>
        <w:rPr>
          <w:rFonts w:hint="eastAsia"/>
          <w:szCs w:val="32"/>
          <w:lang w:eastAsia="zh-CN"/>
        </w:rPr>
        <w:t>；</w:t>
      </w:r>
      <w:r>
        <w:rPr>
          <w:rFonts w:hint="eastAsia"/>
          <w:szCs w:val="32"/>
        </w:rPr>
        <w:t>若实际支付金额确认小于合同金额，需手动点击支付完结。使用其他采购指标完成采购的，应在支付完成后将支付凭证上传至合同支付管理模块，并点击支付完结。结余指标需提前收回或者申请再使用的，采购人</w:t>
      </w:r>
      <w:r>
        <w:rPr>
          <w:rFonts w:hint="eastAsia"/>
          <w:szCs w:val="32"/>
          <w:lang w:val="en-US" w:eastAsia="zh-CN"/>
        </w:rPr>
        <w:t>应</w:t>
      </w:r>
      <w:r>
        <w:rPr>
          <w:rFonts w:hint="eastAsia"/>
          <w:szCs w:val="32"/>
        </w:rPr>
        <w:t>申请按采购计划结余指标或按项目/合同结余指标。</w:t>
      </w:r>
    </w:p>
    <w:p>
      <w:pPr>
        <w:spacing w:line="560" w:lineRule="exact"/>
        <w:ind w:firstLine="640" w:firstLineChars="200"/>
        <w:rPr>
          <w:rFonts w:hint="eastAsia" w:ascii="仿宋_GB2312" w:hAnsi="仿宋_GB2312" w:cs="仿宋_GB2312"/>
          <w:color w:val="000000"/>
          <w:szCs w:val="32"/>
        </w:rPr>
      </w:pPr>
    </w:p>
    <w:p>
      <w:pPr>
        <w:spacing w:line="560" w:lineRule="exact"/>
        <w:jc w:val="center"/>
        <w:outlineLvl w:val="0"/>
        <w:rPr>
          <w:rFonts w:ascii="黑体" w:hAnsi="黑体" w:eastAsia="黑体" w:cs="黑体"/>
          <w:color w:val="000000"/>
          <w:szCs w:val="32"/>
        </w:rPr>
      </w:pPr>
      <w:r>
        <w:rPr>
          <w:rFonts w:hint="eastAsia" w:ascii="黑体" w:hAnsi="黑体" w:eastAsia="黑体" w:cs="黑体"/>
          <w:color w:val="000000"/>
          <w:szCs w:val="32"/>
        </w:rPr>
        <w:t>第十章  权利与义务</w:t>
      </w:r>
    </w:p>
    <w:p>
      <w:pPr>
        <w:pStyle w:val="2"/>
        <w:spacing w:before="0" w:beforeAutospacing="0" w:after="0" w:afterAutospacing="0" w:line="560" w:lineRule="exact"/>
        <w:ind w:firstLine="630"/>
        <w:jc w:val="both"/>
        <w:rPr>
          <w:rFonts w:hint="eastAsia" w:ascii="仿宋_GB2312" w:hAnsi="仿宋" w:eastAsia="仿宋_GB2312" w:cs="仿宋"/>
          <w:color w:val="000000"/>
          <w:sz w:val="32"/>
          <w:szCs w:val="32"/>
        </w:rPr>
      </w:pPr>
      <w:r>
        <w:rPr>
          <w:rFonts w:hint="eastAsia" w:ascii="楷体_GB2312" w:hAnsi="楷体_GB2312" w:eastAsia="楷体_GB2312" w:cs="楷体_GB2312"/>
          <w:b/>
          <w:bCs/>
          <w:color w:val="000000"/>
          <w:sz w:val="32"/>
          <w:szCs w:val="32"/>
        </w:rPr>
        <w:t xml:space="preserve">第六十八条  </w:t>
      </w:r>
      <w:r>
        <w:rPr>
          <w:rFonts w:hint="eastAsia" w:ascii="仿宋_GB2312" w:hAnsi="宋体" w:eastAsia="仿宋_GB2312" w:cs="仿宋_GB2312"/>
          <w:color w:val="000000"/>
          <w:sz w:val="32"/>
          <w:szCs w:val="32"/>
          <w:lang w:bidi="ar"/>
        </w:rPr>
        <w:t>采购人应在政府采购活动中维护国家利益和社会公共利益，公正廉洁，诚实守信，执行政府采购政策，</w:t>
      </w:r>
      <w:r>
        <w:rPr>
          <w:rFonts w:hint="eastAsia" w:ascii="仿宋_GB2312" w:hAnsi="仿宋" w:eastAsia="仿宋_GB2312" w:cs="仿宋"/>
          <w:color w:val="000000"/>
          <w:sz w:val="32"/>
          <w:szCs w:val="32"/>
        </w:rPr>
        <w:t>以“分事行权、分岗设权、分级授权”为原则，充分调动资源，形成合力，在涉及政府采购的业务部门、财务部门中指派专门人员，从</w:t>
      </w:r>
      <w:r>
        <w:rPr>
          <w:rFonts w:hint="eastAsia" w:ascii="仿宋_GB2312" w:hAnsi="仿宋" w:eastAsia="仿宋_GB2312" w:cs="仿宋"/>
          <w:color w:val="000000"/>
          <w:sz w:val="32"/>
          <w:szCs w:val="32"/>
          <w:lang w:bidi="ar"/>
        </w:rPr>
        <w:t>采购预算、采购代理机构选择、采购方式确定、采购需求调研、信息公开、合同签订、履约验收、重大事项决策、内部监督等重点环节研究制定</w:t>
      </w:r>
      <w:r>
        <w:rPr>
          <w:rFonts w:hint="eastAsia" w:ascii="仿宋_GB2312" w:hAnsi="仿宋" w:eastAsia="仿宋_GB2312" w:cs="仿宋"/>
          <w:color w:val="000000"/>
          <w:sz w:val="32"/>
          <w:szCs w:val="32"/>
        </w:rPr>
        <w:t>依法合规、运转高效、风险可控、问责严格的政府采购内部控制制度，实现对政府采购活动内部权力运行的有效制约。</w:t>
      </w:r>
    </w:p>
    <w:p>
      <w:pPr>
        <w:widowControl/>
        <w:spacing w:line="560" w:lineRule="exact"/>
        <w:ind w:firstLine="609"/>
        <w:jc w:val="left"/>
        <w:rPr>
          <w:rFonts w:hint="eastAsia" w:ascii="仿宋_GB2312" w:hAnsi="仿宋_GB2312" w:cs="仿宋_GB2312"/>
          <w:color w:val="000000"/>
          <w:kern w:val="0"/>
          <w:szCs w:val="32"/>
          <w:lang w:bidi="ar"/>
        </w:rPr>
      </w:pPr>
      <w:r>
        <w:rPr>
          <w:rFonts w:hint="eastAsia" w:ascii="楷体_GB2312" w:hAnsi="楷体_GB2312" w:eastAsia="楷体_GB2312" w:cs="楷体_GB2312"/>
          <w:b/>
          <w:bCs/>
          <w:color w:val="000000"/>
          <w:szCs w:val="32"/>
        </w:rPr>
        <w:t xml:space="preserve">第六十九条  </w:t>
      </w:r>
      <w:r>
        <w:rPr>
          <w:rFonts w:hint="eastAsia" w:ascii="仿宋_GB2312" w:hAnsi="仿宋_GB2312" w:cs="仿宋_GB2312"/>
          <w:color w:val="000000"/>
          <w:szCs w:val="32"/>
        </w:rPr>
        <w:t>各级政府采购监管部门应按照政府采购政策法规严格落实政府采购监管职能，依法做好进口产品核准以及变更采购方式、商城超标采购、单一来源公示、非预算指标申请的审批工作。</w:t>
      </w:r>
      <w:r>
        <w:rPr>
          <w:rFonts w:hint="eastAsia" w:ascii="仿宋_GB2312" w:hAnsi="仿宋_GB2312" w:cs="仿宋_GB2312"/>
          <w:color w:val="000000"/>
          <w:kern w:val="0"/>
          <w:szCs w:val="32"/>
          <w:lang w:bidi="ar"/>
        </w:rPr>
        <w:t>适时开展政府采购法律法规基础知识的培训宣传，督促指导采购人全面掌握规章制度，依法完成政府采购工作。要用好政府采购监管系统预警功能，</w:t>
      </w:r>
      <w:r>
        <w:rPr>
          <w:rFonts w:hint="eastAsia" w:ascii="仿宋_GB2312" w:hAnsi="仿宋" w:cs="仿宋"/>
          <w:color w:val="000000"/>
          <w:kern w:val="0"/>
          <w:szCs w:val="32"/>
        </w:rPr>
        <w:t>建立采购人约谈、通报制度，</w:t>
      </w:r>
      <w:r>
        <w:rPr>
          <w:rFonts w:hint="eastAsia" w:ascii="仿宋_GB2312" w:hAnsi="仿宋_GB2312" w:cs="仿宋_GB2312"/>
          <w:color w:val="000000"/>
          <w:kern w:val="0"/>
          <w:szCs w:val="32"/>
          <w:lang w:bidi="ar"/>
        </w:rPr>
        <w:t>对未能落实政策的单位和个人依法依规予以处理处罚。</w:t>
      </w:r>
    </w:p>
    <w:p>
      <w:pPr>
        <w:pStyle w:val="2"/>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bidi="ar"/>
        </w:rPr>
        <w:t xml:space="preserve">第七十条  </w:t>
      </w:r>
      <w:r>
        <w:rPr>
          <w:rFonts w:hint="eastAsia" w:ascii="仿宋_GB2312" w:hAnsi="仿宋_GB2312" w:eastAsia="仿宋_GB2312" w:cs="仿宋_GB2312"/>
          <w:color w:val="000000"/>
          <w:sz w:val="32"/>
          <w:szCs w:val="32"/>
          <w:lang w:bidi="ar"/>
        </w:rPr>
        <w:t>采购人应在采购活动开始前与</w:t>
      </w:r>
      <w:r>
        <w:rPr>
          <w:rFonts w:hint="eastAsia" w:ascii="仿宋_GB2312" w:hAnsi="仿宋_GB2312" w:eastAsia="仿宋_GB2312" w:cs="仿宋_GB2312"/>
          <w:color w:val="000000"/>
          <w:sz w:val="32"/>
          <w:szCs w:val="32"/>
        </w:rPr>
        <w:t>采购代理机构签订委托协议，明确委托事项和双方权利义务。采购代理机构应加强内部管理，建立健全内部监督管理制度，明确采购活动的决策和执行程序，加强对工作人员的教育和培训，确保有关人员具有相关职业素质和专业技能。</w:t>
      </w:r>
    </w:p>
    <w:p>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p>
    <w:p>
      <w:pPr>
        <w:spacing w:line="560" w:lineRule="exact"/>
        <w:jc w:val="center"/>
        <w:outlineLvl w:val="0"/>
        <w:rPr>
          <w:rFonts w:hint="eastAsia" w:ascii="黑体" w:hAnsi="黑体" w:eastAsia="黑体" w:cs="黑体"/>
          <w:color w:val="000000"/>
          <w:szCs w:val="32"/>
        </w:rPr>
      </w:pPr>
      <w:r>
        <w:rPr>
          <w:rFonts w:hint="eastAsia" w:ascii="黑体" w:hAnsi="黑体" w:eastAsia="黑体" w:cs="黑体"/>
          <w:color w:val="000000"/>
          <w:szCs w:val="32"/>
        </w:rPr>
        <w:t>第十一章  附  则</w:t>
      </w:r>
    </w:p>
    <w:p>
      <w:pPr>
        <w:tabs>
          <w:tab w:val="left" w:pos="696"/>
        </w:tabs>
        <w:spacing w:line="560" w:lineRule="exact"/>
        <w:ind w:firstLine="643" w:firstLineChars="200"/>
        <w:rPr>
          <w:rFonts w:hint="eastAsia" w:ascii="仿宋_GB2312" w:hAnsi="仿宋_GB2312" w:cs="仿宋_GB2312"/>
          <w:color w:val="000000"/>
          <w:szCs w:val="32"/>
        </w:rPr>
      </w:pPr>
      <w:r>
        <w:rPr>
          <w:rFonts w:hint="eastAsia" w:ascii="楷体_GB2312" w:hAnsi="楷体_GB2312" w:eastAsia="楷体_GB2312" w:cs="楷体_GB2312"/>
          <w:b/>
          <w:bCs/>
          <w:color w:val="000000"/>
          <w:szCs w:val="32"/>
        </w:rPr>
        <w:t xml:space="preserve">第七十一条  </w:t>
      </w:r>
      <w:r>
        <w:rPr>
          <w:rFonts w:hint="eastAsia" w:ascii="仿宋_GB2312" w:hAnsi="仿宋_GB2312" w:cs="仿宋_GB2312"/>
          <w:color w:val="000000"/>
          <w:szCs w:val="32"/>
        </w:rPr>
        <w:t>本办法由安徽省财政厅负责解释，如遇国家政策调整，本办法有关条款将适时调整。</w:t>
      </w:r>
    </w:p>
    <w:p>
      <w:pPr>
        <w:tabs>
          <w:tab w:val="left" w:pos="696"/>
        </w:tabs>
        <w:spacing w:line="560" w:lineRule="exact"/>
        <w:ind w:firstLine="643" w:firstLineChars="200"/>
        <w:rPr>
          <w:rFonts w:hint="eastAsia" w:ascii="仿宋_GB2312" w:hAnsi="仿宋_GB2312" w:cs="仿宋_GB2312"/>
          <w:szCs w:val="32"/>
        </w:rPr>
      </w:pPr>
      <w:r>
        <w:rPr>
          <w:rFonts w:hint="eastAsia" w:ascii="楷体_GB2312" w:hAnsi="楷体_GB2312" w:eastAsia="楷体_GB2312" w:cs="楷体_GB2312"/>
          <w:b/>
          <w:bCs/>
          <w:color w:val="000000"/>
          <w:szCs w:val="32"/>
        </w:rPr>
        <w:t>第七十二条</w:t>
      </w:r>
      <w:r>
        <w:rPr>
          <w:rFonts w:hint="eastAsia" w:ascii="仿宋_GB2312" w:hAnsi="仿宋_GB2312" w:cs="仿宋_GB2312"/>
          <w:color w:val="000000"/>
          <w:szCs w:val="32"/>
        </w:rPr>
        <w:t xml:space="preserve">  本办法自印发之日起施行。  </w:t>
      </w:r>
      <w:r>
        <w:rPr>
          <w:rFonts w:hint="eastAsia" w:ascii="仿宋_GB2312" w:hAnsi="仿宋_GB2312" w:cs="仿宋_GB2312"/>
          <w:szCs w:val="32"/>
        </w:rPr>
        <w:t xml:space="preserve">  </w:t>
      </w:r>
    </w:p>
    <w:p>
      <w:pPr>
        <w:tabs>
          <w:tab w:val="left" w:pos="696"/>
        </w:tabs>
        <w:spacing w:line="560" w:lineRule="exact"/>
        <w:ind w:firstLine="640" w:firstLineChars="200"/>
        <w:rPr>
          <w:rFonts w:hint="eastAsia" w:ascii="仿宋_GB2312" w:hAnsi="仿宋_GB2312" w:cs="仿宋_GB2312"/>
          <w:szCs w:val="32"/>
        </w:rPr>
      </w:pPr>
    </w:p>
    <w:p>
      <w:pPr>
        <w:tabs>
          <w:tab w:val="left" w:pos="696"/>
        </w:tabs>
        <w:spacing w:line="560" w:lineRule="exact"/>
        <w:ind w:firstLine="640" w:firstLineChars="200"/>
        <w:rPr>
          <w:rFonts w:hint="eastAsia" w:ascii="仿宋_GB2312" w:hAnsi="仿宋_GB2312" w:cs="仿宋_GB2312"/>
          <w:szCs w:val="32"/>
        </w:rPr>
      </w:pPr>
    </w:p>
    <w:p>
      <w:pPr>
        <w:tabs>
          <w:tab w:val="left" w:pos="696"/>
        </w:tabs>
        <w:spacing w:line="560" w:lineRule="exact"/>
        <w:ind w:firstLine="640" w:firstLineChars="200"/>
        <w:rPr>
          <w:rFonts w:hint="eastAsia"/>
          <w:szCs w:val="32"/>
        </w:rPr>
      </w:pPr>
      <w:r>
        <w:rPr>
          <w:rFonts w:hint="eastAsia"/>
          <w:szCs w:val="32"/>
        </w:rPr>
        <w:t>附件：1.政府采购预算调剂审批表</w:t>
      </w:r>
    </w:p>
    <w:p>
      <w:pPr>
        <w:tabs>
          <w:tab w:val="left" w:pos="696"/>
        </w:tabs>
        <w:spacing w:line="560" w:lineRule="exact"/>
        <w:ind w:firstLine="640" w:firstLineChars="200"/>
        <w:rPr>
          <w:rFonts w:hint="eastAsia"/>
          <w:szCs w:val="32"/>
        </w:rPr>
      </w:pPr>
      <w:r>
        <w:rPr>
          <w:rFonts w:hint="eastAsia"/>
          <w:szCs w:val="32"/>
        </w:rPr>
        <w:t xml:space="preserve">      2.政府采购预采购指标申请表</w:t>
      </w:r>
    </w:p>
    <w:p>
      <w:pPr>
        <w:tabs>
          <w:tab w:val="left" w:pos="696"/>
        </w:tabs>
        <w:spacing w:line="560" w:lineRule="exact"/>
        <w:ind w:firstLine="640" w:firstLineChars="200"/>
        <w:rPr>
          <w:rFonts w:hint="eastAsia"/>
          <w:szCs w:val="32"/>
        </w:rPr>
      </w:pPr>
      <w:r>
        <w:rPr>
          <w:rFonts w:hint="eastAsia"/>
          <w:szCs w:val="32"/>
        </w:rPr>
        <w:t xml:space="preserve">      3.其他采购指标申请表</w:t>
      </w:r>
    </w:p>
    <w:p>
      <w:pPr>
        <w:tabs>
          <w:tab w:val="left" w:pos="696"/>
        </w:tabs>
        <w:spacing w:line="560" w:lineRule="exact"/>
        <w:ind w:firstLine="640" w:firstLineChars="200"/>
        <w:rPr>
          <w:rFonts w:hint="eastAsia"/>
          <w:szCs w:val="32"/>
        </w:rPr>
      </w:pPr>
      <w:r>
        <w:rPr>
          <w:rFonts w:hint="eastAsia"/>
          <w:szCs w:val="32"/>
        </w:rPr>
        <w:t xml:space="preserve">      4.统一采购指标申请表</w:t>
      </w:r>
    </w:p>
    <w:p>
      <w:pPr>
        <w:tabs>
          <w:tab w:val="left" w:pos="696"/>
        </w:tabs>
        <w:spacing w:line="560" w:lineRule="exact"/>
        <w:ind w:firstLine="640" w:firstLineChars="200"/>
        <w:rPr>
          <w:rFonts w:hint="eastAsia"/>
          <w:szCs w:val="32"/>
        </w:rPr>
      </w:pPr>
      <w:r>
        <w:rPr>
          <w:rFonts w:hint="eastAsia"/>
          <w:szCs w:val="32"/>
        </w:rPr>
        <w:t xml:space="preserve">      5.统一采购委托书</w:t>
      </w:r>
    </w:p>
    <w:p>
      <w:pPr>
        <w:tabs>
          <w:tab w:val="left" w:pos="696"/>
        </w:tabs>
        <w:spacing w:line="560" w:lineRule="exact"/>
        <w:ind w:firstLine="640" w:firstLineChars="200"/>
        <w:rPr>
          <w:rFonts w:hint="eastAsia"/>
          <w:szCs w:val="32"/>
        </w:rPr>
      </w:pPr>
      <w:r>
        <w:rPr>
          <w:rFonts w:hint="eastAsia"/>
          <w:szCs w:val="32"/>
        </w:rPr>
        <w:t xml:space="preserve">      6.商城超标采购备案表</w:t>
      </w:r>
    </w:p>
    <w:p>
      <w:pPr>
        <w:tabs>
          <w:tab w:val="left" w:pos="696"/>
        </w:tabs>
        <w:spacing w:line="560" w:lineRule="exact"/>
        <w:ind w:firstLine="640" w:firstLineChars="200"/>
        <w:rPr>
          <w:rFonts w:hint="eastAsia"/>
          <w:szCs w:val="32"/>
        </w:rPr>
      </w:pPr>
      <w:r>
        <w:rPr>
          <w:rFonts w:hint="eastAsia"/>
          <w:szCs w:val="32"/>
        </w:rPr>
        <w:t xml:space="preserve">      7.单一来源采购方式专业人员论证意见</w:t>
      </w:r>
    </w:p>
    <w:p>
      <w:pPr>
        <w:tabs>
          <w:tab w:val="left" w:pos="696"/>
        </w:tabs>
        <w:spacing w:line="560" w:lineRule="exact"/>
        <w:ind w:firstLine="640" w:firstLineChars="200"/>
        <w:rPr>
          <w:rFonts w:hint="eastAsia"/>
          <w:szCs w:val="32"/>
        </w:rPr>
      </w:pPr>
      <w:r>
        <w:rPr>
          <w:rFonts w:hint="eastAsia"/>
          <w:szCs w:val="32"/>
        </w:rPr>
        <w:t xml:space="preserve">      8.政府采购进口产品申请（备案）表</w:t>
      </w:r>
    </w:p>
    <w:p>
      <w:pPr>
        <w:tabs>
          <w:tab w:val="left" w:pos="696"/>
        </w:tabs>
        <w:spacing w:line="560" w:lineRule="exact"/>
        <w:ind w:firstLine="640" w:firstLineChars="200"/>
        <w:rPr>
          <w:rFonts w:hint="eastAsia"/>
          <w:szCs w:val="32"/>
        </w:rPr>
      </w:pPr>
      <w:r>
        <w:rPr>
          <w:rFonts w:hint="eastAsia"/>
          <w:szCs w:val="32"/>
        </w:rPr>
        <w:t xml:space="preserve">      9.政府采购变更采购方式申请表</w:t>
      </w:r>
    </w:p>
    <w:p>
      <w:pPr>
        <w:tabs>
          <w:tab w:val="left" w:pos="696"/>
        </w:tabs>
        <w:spacing w:line="560" w:lineRule="exact"/>
        <w:ind w:firstLine="640" w:firstLineChars="200"/>
        <w:rPr>
          <w:rFonts w:hint="eastAsia"/>
          <w:szCs w:val="32"/>
        </w:rPr>
      </w:pPr>
      <w:r>
        <w:rPr>
          <w:rFonts w:hint="eastAsia"/>
          <w:szCs w:val="32"/>
        </w:rPr>
        <w:t xml:space="preserve">      10.需求调查（审查）表</w:t>
      </w:r>
    </w:p>
    <w:p>
      <w:pPr>
        <w:tabs>
          <w:tab w:val="left" w:pos="696"/>
        </w:tabs>
        <w:spacing w:line="560" w:lineRule="exact"/>
        <w:ind w:firstLine="640" w:firstLineChars="200"/>
        <w:rPr>
          <w:rFonts w:hint="eastAsia"/>
          <w:szCs w:val="32"/>
        </w:rPr>
      </w:pPr>
      <w:r>
        <w:rPr>
          <w:rFonts w:hint="eastAsia"/>
          <w:szCs w:val="32"/>
        </w:rPr>
        <w:t xml:space="preserve">      11.非面向中小企业采购说明</w:t>
      </w:r>
    </w:p>
    <w:p>
      <w:pPr>
        <w:tabs>
          <w:tab w:val="left" w:pos="696"/>
        </w:tabs>
        <w:spacing w:line="560" w:lineRule="exact"/>
        <w:rPr>
          <w:rFonts w:hint="eastAsia" w:ascii="方正小标宋简体" w:hAnsi="方正小标宋简体" w:eastAsia="方正小标宋简体" w:cs="方正小标宋简体"/>
          <w:sz w:val="44"/>
          <w:szCs w:val="44"/>
        </w:rPr>
      </w:pPr>
      <w:r>
        <w:rPr>
          <w:rFonts w:hint="eastAsia" w:ascii="仿宋_GB2312" w:hAnsi="仿宋_GB2312" w:cs="仿宋_GB2312"/>
          <w:color w:val="000000"/>
          <w:szCs w:val="32"/>
        </w:rPr>
        <w:br w:type="page"/>
      </w:r>
      <w:r>
        <w:rPr>
          <w:rFonts w:hint="eastAsia" w:ascii="黑体" w:hAnsi="黑体" w:eastAsia="黑体" w:cs="黑体"/>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政府采购预算调剂审批表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73"/>
        <w:gridCol w:w="6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240" w:type="dxa"/>
            <w:gridSpan w:val="2"/>
            <w:noWrap w:val="0"/>
            <w:vAlign w:val="top"/>
          </w:tcPr>
          <w:p>
            <w:pPr>
              <w:spacing w:line="340" w:lineRule="exact"/>
              <w:jc w:val="center"/>
              <w:rPr>
                <w:rFonts w:hint="eastAsia" w:ascii="黑体" w:hAnsi="黑体" w:eastAsia="黑体" w:cs="黑体"/>
                <w:sz w:val="28"/>
                <w:szCs w:val="28"/>
              </w:rPr>
            </w:pPr>
            <w:r>
              <w:rPr>
                <w:rFonts w:hint="eastAsia" w:ascii="黑体" w:hAnsi="黑体" w:eastAsia="黑体" w:cs="黑体"/>
                <w:sz w:val="28"/>
                <w:szCs w:val="28"/>
              </w:rPr>
              <w:t>采购单位</w:t>
            </w:r>
          </w:p>
        </w:tc>
        <w:tc>
          <w:tcPr>
            <w:tcW w:w="6595" w:type="dxa"/>
            <w:noWrap w:val="0"/>
            <w:vAlign w:val="top"/>
          </w:tcPr>
          <w:p>
            <w:pPr>
              <w:spacing w:line="340" w:lineRule="exact"/>
              <w:ind w:firstLine="4760" w:firstLineChars="1700"/>
              <w:rPr>
                <w:rFonts w:hint="eastAsia" w:ascii="仿宋" w:hAnsi="仿宋" w:eastAsia="仿宋" w:cs="仿宋"/>
                <w:sz w:val="28"/>
                <w:szCs w:val="28"/>
              </w:rPr>
            </w:pPr>
            <w:r>
              <w:rPr>
                <w:rFonts w:hint="eastAsia" w:ascii="仿宋" w:hAnsi="仿宋" w:eastAsia="仿宋" w:cs="仿宋"/>
                <w:sz w:val="28"/>
                <w:szCs w:val="28"/>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40" w:type="dxa"/>
            <w:gridSpan w:val="2"/>
            <w:noWrap w:val="0"/>
            <w:vAlign w:val="top"/>
          </w:tcPr>
          <w:p>
            <w:pPr>
              <w:spacing w:line="340" w:lineRule="exact"/>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6595" w:type="dxa"/>
            <w:noWrap w:val="0"/>
            <w:vAlign w:val="top"/>
          </w:tcPr>
          <w:p>
            <w:pPr>
              <w:spacing w:line="34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40" w:type="dxa"/>
            <w:gridSpan w:val="2"/>
            <w:noWrap w:val="0"/>
            <w:vAlign w:val="top"/>
          </w:tcPr>
          <w:p>
            <w:pPr>
              <w:spacing w:line="340" w:lineRule="exact"/>
              <w:jc w:val="center"/>
              <w:rPr>
                <w:rFonts w:hint="eastAsia" w:ascii="黑体" w:hAnsi="黑体" w:eastAsia="黑体" w:cs="黑体"/>
                <w:sz w:val="28"/>
                <w:szCs w:val="28"/>
              </w:rPr>
            </w:pPr>
            <w:r>
              <w:rPr>
                <w:rFonts w:hint="eastAsia" w:ascii="黑体" w:hAnsi="黑体" w:eastAsia="黑体" w:cs="黑体"/>
                <w:sz w:val="28"/>
                <w:szCs w:val="28"/>
              </w:rPr>
              <w:t>调剂金额</w:t>
            </w:r>
          </w:p>
        </w:tc>
        <w:tc>
          <w:tcPr>
            <w:tcW w:w="6595" w:type="dxa"/>
            <w:noWrap w:val="0"/>
            <w:vAlign w:val="center"/>
          </w:tcPr>
          <w:p>
            <w:pPr>
              <w:spacing w:line="340" w:lineRule="exact"/>
              <w:jc w:val="center"/>
              <w:rPr>
                <w:rFonts w:ascii="仿宋" w:hAnsi="仿宋" w:eastAsia="仿宋" w:cs="仿宋"/>
                <w:sz w:val="28"/>
                <w:szCs w:val="28"/>
              </w:rPr>
            </w:pPr>
            <w:r>
              <w:rPr>
                <w:rFonts w:hint="eastAsia" w:ascii="仿宋" w:hAnsi="Wingdings 2" w:eastAsia="仿宋" w:cs="仿宋"/>
                <w:sz w:val="24"/>
              </w:rPr>
              <w:t xml:space="preserve">                                </w:t>
            </w:r>
            <w:r>
              <w:rPr>
                <w:rFonts w:hint="eastAsia" w:ascii="仿宋_GB2312" w:hAnsi="仿宋_GB2312" w:cs="仿宋_GB2312"/>
                <w:sz w:val="30"/>
                <w:szCs w:val="30"/>
              </w:rPr>
              <w:t>□</w:t>
            </w:r>
            <w:r>
              <w:rPr>
                <w:rFonts w:hint="eastAsia" w:ascii="仿宋" w:hAnsi="仿宋" w:eastAsia="仿宋" w:cs="仿宋"/>
                <w:sz w:val="24"/>
              </w:rPr>
              <w:t>调增</w:t>
            </w:r>
            <w:r>
              <w:rPr>
                <w:rFonts w:ascii="仿宋" w:hAnsi="仿宋" w:eastAsia="仿宋" w:cs="仿宋"/>
                <w:sz w:val="24"/>
              </w:rPr>
              <w:t xml:space="preserve">  </w:t>
            </w:r>
            <w:r>
              <w:rPr>
                <w:rFonts w:hint="eastAsia" w:ascii="仿宋_GB2312" w:hAnsi="仿宋_GB2312" w:cs="仿宋_GB2312"/>
                <w:sz w:val="30"/>
                <w:szCs w:val="30"/>
              </w:rPr>
              <w:t>□</w:t>
            </w:r>
            <w:r>
              <w:rPr>
                <w:rFonts w:hint="eastAsia" w:ascii="仿宋" w:hAnsi="仿宋" w:eastAsia="仿宋" w:cs="仿宋"/>
                <w:sz w:val="24"/>
              </w:rPr>
              <w:t>调减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67" w:type="dxa"/>
            <w:vMerge w:val="restart"/>
            <w:noWrap w:val="0"/>
            <w:vAlign w:val="center"/>
          </w:tcPr>
          <w:p>
            <w:pPr>
              <w:spacing w:line="340" w:lineRule="exact"/>
              <w:jc w:val="center"/>
              <w:rPr>
                <w:rFonts w:ascii="仿宋" w:hAnsi="仿宋" w:eastAsia="仿宋" w:cs="仿宋"/>
                <w:szCs w:val="32"/>
              </w:rPr>
            </w:pPr>
            <w:r>
              <w:rPr>
                <w:rFonts w:hint="eastAsia" w:ascii="黑体" w:hAnsi="黑体" w:eastAsia="黑体" w:cs="黑体"/>
                <w:sz w:val="28"/>
                <w:szCs w:val="28"/>
              </w:rPr>
              <w:t>调剂类型</w:t>
            </w:r>
          </w:p>
        </w:tc>
        <w:tc>
          <w:tcPr>
            <w:tcW w:w="473" w:type="dxa"/>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可以调剂</w:t>
            </w:r>
          </w:p>
        </w:tc>
        <w:tc>
          <w:tcPr>
            <w:tcW w:w="6595" w:type="dxa"/>
            <w:noWrap w:val="0"/>
            <w:vAlign w:val="center"/>
          </w:tcPr>
          <w:p>
            <w:pPr>
              <w:snapToGrid w:val="0"/>
              <w:spacing w:line="340" w:lineRule="exact"/>
              <w:rPr>
                <w:rFonts w:ascii="仿宋" w:hAnsi="仿宋" w:eastAsia="仿宋" w:cs="仿宋"/>
                <w:sz w:val="24"/>
              </w:rPr>
            </w:pPr>
            <w:r>
              <w:rPr>
                <w:rFonts w:hint="eastAsia" w:ascii="仿宋" w:hAnsi="仿宋" w:eastAsia="仿宋" w:cs="仿宋"/>
                <w:sz w:val="24"/>
              </w:rPr>
              <w:t>□1.因集中采购目录和限额标准调整，导致政府采购预算需要调剂的</w:t>
            </w:r>
          </w:p>
          <w:p>
            <w:pPr>
              <w:snapToGrid w:val="0"/>
              <w:spacing w:line="340" w:lineRule="exact"/>
              <w:rPr>
                <w:rFonts w:hint="eastAsia" w:ascii="仿宋" w:hAnsi="仿宋" w:eastAsia="仿宋" w:cs="仿宋"/>
                <w:sz w:val="24"/>
              </w:rPr>
            </w:pPr>
            <w:r>
              <w:rPr>
                <w:rFonts w:hint="eastAsia" w:ascii="仿宋" w:hAnsi="仿宋" w:eastAsia="仿宋" w:cs="仿宋"/>
                <w:sz w:val="24"/>
              </w:rPr>
              <w:t>□2.年度预算执行中，上级转移支付资金</w:t>
            </w:r>
          </w:p>
          <w:p>
            <w:pPr>
              <w:snapToGrid w:val="0"/>
              <w:spacing w:line="340" w:lineRule="exact"/>
              <w:rPr>
                <w:rFonts w:hint="eastAsia" w:ascii="仿宋" w:hAnsi="仿宋" w:eastAsia="仿宋" w:cs="仿宋"/>
                <w:sz w:val="24"/>
              </w:rPr>
            </w:pPr>
            <w:r>
              <w:rPr>
                <w:rFonts w:hint="eastAsia" w:ascii="仿宋" w:hAnsi="仿宋" w:eastAsia="仿宋" w:cs="仿宋"/>
                <w:sz w:val="24"/>
              </w:rPr>
              <w:t>□3.年度预算执行中，同级党委政府批准增加实施政府采购的</w:t>
            </w:r>
          </w:p>
          <w:p>
            <w:pPr>
              <w:snapToGrid w:val="0"/>
              <w:spacing w:line="340" w:lineRule="exact"/>
              <w:rPr>
                <w:rFonts w:hint="eastAsia" w:ascii="仿宋" w:hAnsi="仿宋" w:eastAsia="仿宋" w:cs="仿宋"/>
                <w:sz w:val="24"/>
              </w:rPr>
            </w:pPr>
            <w:r>
              <w:rPr>
                <w:rFonts w:hint="eastAsia" w:ascii="仿宋" w:hAnsi="仿宋" w:eastAsia="仿宋" w:cs="仿宋"/>
                <w:sz w:val="24"/>
              </w:rPr>
              <w:t>□4.年度预算执行中，因紧急采购、涉密采购等原因需要调剂政府采购预算的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67" w:type="dxa"/>
            <w:vMerge w:val="continue"/>
            <w:noWrap w:val="0"/>
            <w:vAlign w:val="center"/>
          </w:tcPr>
          <w:p>
            <w:pPr>
              <w:spacing w:line="340" w:lineRule="exact"/>
            </w:pPr>
          </w:p>
        </w:tc>
        <w:tc>
          <w:tcPr>
            <w:tcW w:w="473" w:type="dxa"/>
            <w:noWrap w:val="0"/>
            <w:vAlign w:val="center"/>
          </w:tcPr>
          <w:p>
            <w:pPr>
              <w:spacing w:line="340" w:lineRule="exact"/>
              <w:rPr>
                <w:rFonts w:hint="eastAsia" w:ascii="仿宋" w:hAnsi="仿宋" w:eastAsia="仿宋" w:cs="仿宋"/>
                <w:sz w:val="24"/>
              </w:rPr>
            </w:pPr>
            <w:r>
              <w:rPr>
                <w:rFonts w:hint="eastAsia" w:ascii="仿宋" w:hAnsi="仿宋" w:eastAsia="仿宋" w:cs="仿宋"/>
                <w:sz w:val="24"/>
              </w:rPr>
              <w:t>需要严控</w:t>
            </w:r>
          </w:p>
        </w:tc>
        <w:tc>
          <w:tcPr>
            <w:tcW w:w="6595" w:type="dxa"/>
            <w:noWrap w:val="0"/>
            <w:vAlign w:val="center"/>
          </w:tcPr>
          <w:p>
            <w:pPr>
              <w:snapToGrid w:val="0"/>
              <w:spacing w:line="340" w:lineRule="exact"/>
              <w:rPr>
                <w:rFonts w:hint="eastAsia" w:ascii="仿宋" w:hAnsi="仿宋" w:eastAsia="仿宋" w:cs="仿宋"/>
                <w:sz w:val="24"/>
              </w:rPr>
            </w:pPr>
            <w:r>
              <w:rPr>
                <w:rFonts w:hint="eastAsia" w:ascii="仿宋" w:hAnsi="仿宋" w:eastAsia="仿宋" w:cs="仿宋"/>
                <w:sz w:val="24"/>
              </w:rPr>
              <w:t>□1.年度预算执行中，需要调剂政府采购项目资金数额的</w:t>
            </w:r>
          </w:p>
          <w:p>
            <w:pPr>
              <w:snapToGrid w:val="0"/>
              <w:spacing w:line="340" w:lineRule="exact"/>
              <w:rPr>
                <w:rFonts w:hint="eastAsia" w:ascii="仿宋" w:hAnsi="仿宋" w:eastAsia="仿宋" w:cs="仿宋"/>
                <w:sz w:val="24"/>
              </w:rPr>
            </w:pPr>
            <w:r>
              <w:rPr>
                <w:rFonts w:hint="eastAsia" w:ascii="仿宋" w:hAnsi="仿宋" w:eastAsia="仿宋" w:cs="仿宋"/>
                <w:sz w:val="24"/>
              </w:rPr>
              <w:t>□2.年初预算编制时漏编、错编政府采购预算，实施时需要调剂的</w:t>
            </w:r>
          </w:p>
          <w:p>
            <w:pPr>
              <w:snapToGrid w:val="0"/>
              <w:spacing w:line="340" w:lineRule="exact"/>
              <w:rPr>
                <w:rFonts w:hint="eastAsia" w:ascii="仿宋" w:hAnsi="仿宋" w:eastAsia="仿宋" w:cs="仿宋"/>
                <w:sz w:val="24"/>
              </w:rPr>
            </w:pPr>
            <w:r>
              <w:rPr>
                <w:rFonts w:hint="eastAsia" w:ascii="仿宋" w:hAnsi="仿宋" w:eastAsia="仿宋" w:cs="仿宋"/>
                <w:sz w:val="24"/>
              </w:rPr>
              <w:t>□3.其他需要调剂的情形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40" w:type="dxa"/>
            <w:gridSpan w:val="2"/>
            <w:noWrap w:val="0"/>
            <w:vAlign w:val="center"/>
          </w:tcPr>
          <w:p>
            <w:pPr>
              <w:spacing w:line="340" w:lineRule="exact"/>
              <w:jc w:val="center"/>
              <w:rPr>
                <w:rFonts w:hint="eastAsia" w:ascii="黑体" w:hAnsi="黑体" w:eastAsia="黑体" w:cs="黑体"/>
                <w:sz w:val="30"/>
                <w:szCs w:val="30"/>
              </w:rPr>
            </w:pPr>
            <w:r>
              <w:rPr>
                <w:rFonts w:hint="eastAsia" w:ascii="黑体" w:hAnsi="黑体" w:eastAsia="黑体" w:cs="黑体"/>
                <w:sz w:val="28"/>
                <w:szCs w:val="28"/>
              </w:rPr>
              <w:t>材料清单</w:t>
            </w:r>
          </w:p>
        </w:tc>
        <w:tc>
          <w:tcPr>
            <w:tcW w:w="6595" w:type="dxa"/>
            <w:noWrap w:val="0"/>
            <w:vAlign w:val="center"/>
          </w:tcPr>
          <w:p>
            <w:pPr>
              <w:snapToGrid w:val="0"/>
              <w:spacing w:line="340" w:lineRule="exact"/>
              <w:rPr>
                <w:rFonts w:ascii="仿宋" w:hAnsi="仿宋" w:eastAsia="仿宋" w:cs="仿宋"/>
                <w:sz w:val="24"/>
              </w:rPr>
            </w:pPr>
            <w:r>
              <w:rPr>
                <w:rFonts w:hint="eastAsia" w:ascii="仿宋_GB2312" w:hAnsi="仿宋_GB2312" w:cs="仿宋_GB2312"/>
                <w:sz w:val="30"/>
                <w:szCs w:val="30"/>
              </w:rPr>
              <w:t>□</w:t>
            </w:r>
            <w:r>
              <w:rPr>
                <w:rFonts w:ascii="仿宋" w:hAnsi="仿宋" w:eastAsia="仿宋" w:cs="仿宋"/>
                <w:sz w:val="24"/>
              </w:rPr>
              <w:t>1.</w:t>
            </w:r>
            <w:r>
              <w:rPr>
                <w:rFonts w:hint="eastAsia" w:ascii="仿宋" w:hAnsi="仿宋" w:eastAsia="仿宋" w:cs="仿宋"/>
                <w:sz w:val="24"/>
              </w:rPr>
              <w:t>主管预算单位申请（项目名称、金额，需要调剂的详细理由）</w:t>
            </w:r>
          </w:p>
          <w:p>
            <w:pPr>
              <w:snapToGrid w:val="0"/>
              <w:spacing w:line="340" w:lineRule="exact"/>
              <w:rPr>
                <w:rFonts w:ascii="仿宋" w:hAnsi="仿宋" w:eastAsia="仿宋" w:cs="仿宋"/>
                <w:sz w:val="24"/>
              </w:rPr>
            </w:pPr>
            <w:r>
              <w:rPr>
                <w:rFonts w:hint="eastAsia" w:ascii="仿宋_GB2312" w:hAnsi="仿宋_GB2312" w:cs="仿宋_GB2312"/>
                <w:sz w:val="30"/>
                <w:szCs w:val="30"/>
              </w:rPr>
              <w:t>□</w:t>
            </w:r>
            <w:r>
              <w:rPr>
                <w:rFonts w:ascii="仿宋" w:hAnsi="仿宋" w:eastAsia="仿宋" w:cs="仿宋"/>
                <w:sz w:val="24"/>
              </w:rPr>
              <w:t>2.</w:t>
            </w:r>
            <w:r>
              <w:rPr>
                <w:rFonts w:hint="eastAsia" w:ascii="仿宋" w:hAnsi="仿宋" w:eastAsia="仿宋" w:cs="仿宋"/>
                <w:sz w:val="24"/>
              </w:rPr>
              <w:t>明确的采购品目和细化的采购需求（仅调增提供）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40" w:type="dxa"/>
            <w:gridSpan w:val="2"/>
            <w:noWrap w:val="0"/>
            <w:vAlign w:val="center"/>
          </w:tcPr>
          <w:p>
            <w:pPr>
              <w:snapToGrid w:val="0"/>
              <w:spacing w:line="340" w:lineRule="exact"/>
              <w:jc w:val="center"/>
              <w:rPr>
                <w:rFonts w:hint="eastAsia" w:ascii="黑体" w:hAnsi="黑体" w:eastAsia="黑体" w:cs="黑体"/>
                <w:sz w:val="28"/>
                <w:szCs w:val="28"/>
              </w:rPr>
            </w:pPr>
            <w:r>
              <w:rPr>
                <w:rFonts w:hint="eastAsia" w:ascii="黑体" w:hAnsi="黑体" w:eastAsia="黑体" w:cs="黑体"/>
                <w:sz w:val="28"/>
                <w:szCs w:val="28"/>
              </w:rPr>
              <w:t>主管预算单位</w:t>
            </w:r>
          </w:p>
          <w:p>
            <w:pPr>
              <w:snapToGrid w:val="0"/>
              <w:spacing w:line="340" w:lineRule="exact"/>
              <w:jc w:val="center"/>
              <w:rPr>
                <w:rFonts w:ascii="黑体" w:hAnsi="黑体" w:eastAsia="黑体" w:cs="黑体"/>
                <w:sz w:val="28"/>
                <w:szCs w:val="28"/>
              </w:rPr>
            </w:pPr>
            <w:r>
              <w:rPr>
                <w:rFonts w:hint="eastAsia" w:ascii="黑体" w:hAnsi="黑体" w:eastAsia="黑体" w:cs="黑体"/>
                <w:sz w:val="28"/>
                <w:szCs w:val="28"/>
              </w:rPr>
              <w:t>意见</w:t>
            </w:r>
          </w:p>
        </w:tc>
        <w:tc>
          <w:tcPr>
            <w:tcW w:w="6595" w:type="dxa"/>
            <w:noWrap w:val="0"/>
            <w:vAlign w:val="top"/>
          </w:tcPr>
          <w:p>
            <w:pPr>
              <w:spacing w:line="34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40" w:type="dxa"/>
            <w:gridSpan w:val="2"/>
            <w:noWrap w:val="0"/>
            <w:vAlign w:val="center"/>
          </w:tcPr>
          <w:p>
            <w:pPr>
              <w:snapToGrid w:val="0"/>
              <w:spacing w:line="340" w:lineRule="exact"/>
              <w:jc w:val="center"/>
              <w:rPr>
                <w:rFonts w:hint="eastAsia" w:ascii="黑体" w:hAnsi="黑体" w:eastAsia="黑体" w:cs="黑体"/>
                <w:sz w:val="28"/>
                <w:szCs w:val="28"/>
              </w:rPr>
            </w:pPr>
            <w:r>
              <w:rPr>
                <w:rFonts w:hint="eastAsia" w:ascii="黑体" w:hAnsi="黑体" w:eastAsia="黑体" w:cs="黑体"/>
                <w:sz w:val="28"/>
                <w:szCs w:val="28"/>
              </w:rPr>
              <w:t>支出处</w:t>
            </w:r>
          </w:p>
          <w:p>
            <w:pPr>
              <w:snapToGrid w:val="0"/>
              <w:spacing w:line="340" w:lineRule="exact"/>
              <w:jc w:val="center"/>
              <w:rPr>
                <w:rFonts w:hint="eastAsia" w:ascii="黑体" w:hAnsi="黑体" w:eastAsia="黑体" w:cs="黑体"/>
                <w:sz w:val="28"/>
                <w:szCs w:val="28"/>
              </w:rPr>
            </w:pPr>
            <w:r>
              <w:rPr>
                <w:rFonts w:hint="eastAsia" w:ascii="黑体" w:hAnsi="黑体" w:eastAsia="黑体" w:cs="黑体"/>
                <w:sz w:val="28"/>
                <w:szCs w:val="28"/>
              </w:rPr>
              <w:t>（科、股）室</w:t>
            </w:r>
          </w:p>
          <w:p>
            <w:pPr>
              <w:snapToGrid w:val="0"/>
              <w:spacing w:line="340" w:lineRule="exact"/>
              <w:jc w:val="center"/>
              <w:rPr>
                <w:rFonts w:hint="eastAsia" w:ascii="黑体" w:hAnsi="黑体" w:eastAsia="黑体" w:cs="黑体"/>
                <w:sz w:val="30"/>
                <w:szCs w:val="30"/>
              </w:rPr>
            </w:pPr>
            <w:r>
              <w:rPr>
                <w:rFonts w:hint="eastAsia" w:ascii="黑体" w:hAnsi="黑体" w:eastAsia="黑体" w:cs="黑体"/>
                <w:sz w:val="28"/>
                <w:szCs w:val="28"/>
              </w:rPr>
              <w:t>审核意见</w:t>
            </w:r>
          </w:p>
        </w:tc>
        <w:tc>
          <w:tcPr>
            <w:tcW w:w="6595" w:type="dxa"/>
            <w:noWrap w:val="0"/>
            <w:vAlign w:val="top"/>
          </w:tcPr>
          <w:p>
            <w:pPr>
              <w:spacing w:line="340" w:lineRule="exact"/>
              <w:ind w:firstLine="480" w:firstLineChars="200"/>
              <w:rPr>
                <w:rFonts w:ascii="仿宋" w:hAnsi="仿宋" w:eastAsia="仿宋" w:cs="仿宋"/>
                <w:sz w:val="24"/>
              </w:rPr>
            </w:pPr>
          </w:p>
          <w:p>
            <w:pPr>
              <w:spacing w:line="340" w:lineRule="exact"/>
              <w:ind w:firstLine="2880" w:firstLineChars="1200"/>
              <w:rPr>
                <w:rFonts w:ascii="仿宋" w:hAnsi="仿宋" w:eastAsia="仿宋" w:cs="仿宋"/>
                <w:sz w:val="24"/>
              </w:rPr>
            </w:pPr>
          </w:p>
          <w:p>
            <w:pPr>
              <w:spacing w:line="340" w:lineRule="exact"/>
              <w:ind w:firstLine="4080" w:firstLineChars="1700"/>
              <w:rPr>
                <w:rFonts w:ascii="仿宋" w:hAnsi="仿宋" w:eastAsia="仿宋" w:cs="仿宋"/>
                <w:sz w:val="24"/>
              </w:rPr>
            </w:pPr>
          </w:p>
          <w:p>
            <w:pPr>
              <w:spacing w:line="340" w:lineRule="exact"/>
              <w:ind w:firstLine="4080" w:firstLineChars="1700"/>
              <w:rPr>
                <w:rFonts w:ascii="仿宋" w:hAnsi="仿宋" w:eastAsia="仿宋" w:cs="仿宋"/>
                <w:sz w:val="24"/>
              </w:rPr>
            </w:pPr>
          </w:p>
          <w:p>
            <w:pPr>
              <w:spacing w:line="34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240" w:type="dxa"/>
            <w:gridSpan w:val="2"/>
            <w:noWrap w:val="0"/>
            <w:vAlign w:val="center"/>
          </w:tcPr>
          <w:p>
            <w:pPr>
              <w:snapToGrid w:val="0"/>
              <w:spacing w:line="340" w:lineRule="exact"/>
              <w:jc w:val="center"/>
              <w:rPr>
                <w:rFonts w:ascii="黑体" w:hAnsi="黑体" w:eastAsia="黑体" w:cs="黑体"/>
                <w:sz w:val="28"/>
                <w:szCs w:val="28"/>
              </w:rPr>
            </w:pPr>
            <w:r>
              <w:rPr>
                <w:rFonts w:hint="eastAsia" w:ascii="黑体" w:hAnsi="黑体" w:eastAsia="黑体" w:cs="黑体"/>
                <w:sz w:val="28"/>
                <w:szCs w:val="28"/>
              </w:rPr>
              <w:t>政府采购处（科、股）室</w:t>
            </w:r>
          </w:p>
          <w:p>
            <w:pPr>
              <w:snapToGrid w:val="0"/>
              <w:spacing w:line="340" w:lineRule="exact"/>
              <w:jc w:val="center"/>
              <w:rPr>
                <w:rFonts w:hint="eastAsia" w:ascii="黑体" w:hAnsi="黑体" w:eastAsia="黑体" w:cs="黑体"/>
                <w:sz w:val="30"/>
                <w:szCs w:val="30"/>
              </w:rPr>
            </w:pPr>
            <w:r>
              <w:rPr>
                <w:rFonts w:hint="eastAsia" w:ascii="黑体" w:hAnsi="黑体" w:eastAsia="黑体" w:cs="黑体"/>
                <w:sz w:val="28"/>
                <w:szCs w:val="28"/>
              </w:rPr>
              <w:t>审核意见</w:t>
            </w:r>
          </w:p>
        </w:tc>
        <w:tc>
          <w:tcPr>
            <w:tcW w:w="6595" w:type="dxa"/>
            <w:noWrap w:val="0"/>
            <w:vAlign w:val="center"/>
          </w:tcPr>
          <w:p>
            <w:pPr>
              <w:spacing w:line="340" w:lineRule="exact"/>
              <w:rPr>
                <w:rFonts w:ascii="仿宋" w:hAnsi="仿宋" w:eastAsia="仿宋" w:cs="仿宋"/>
                <w:sz w:val="28"/>
                <w:szCs w:val="28"/>
              </w:rPr>
            </w:pPr>
          </w:p>
          <w:p>
            <w:pPr>
              <w:tabs>
                <w:tab w:val="left" w:pos="1031"/>
              </w:tabs>
              <w:spacing w:line="34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40" w:type="dxa"/>
            <w:gridSpan w:val="2"/>
            <w:noWrap w:val="0"/>
            <w:vAlign w:val="center"/>
          </w:tcPr>
          <w:p>
            <w:pPr>
              <w:snapToGrid w:val="0"/>
              <w:spacing w:line="340" w:lineRule="exact"/>
              <w:jc w:val="center"/>
              <w:rPr>
                <w:rFonts w:hint="eastAsia" w:ascii="黑体" w:hAnsi="黑体" w:eastAsia="黑体" w:cs="黑体"/>
                <w:sz w:val="28"/>
                <w:szCs w:val="28"/>
              </w:rPr>
            </w:pPr>
            <w:r>
              <w:rPr>
                <w:rFonts w:hint="eastAsia" w:ascii="黑体" w:hAnsi="黑体" w:eastAsia="黑体" w:cs="黑体"/>
                <w:sz w:val="28"/>
                <w:szCs w:val="28"/>
              </w:rPr>
              <w:t xml:space="preserve">厅（局）领导    </w:t>
            </w:r>
          </w:p>
          <w:p>
            <w:pPr>
              <w:snapToGrid w:val="0"/>
              <w:spacing w:line="340" w:lineRule="exact"/>
              <w:jc w:val="center"/>
              <w:rPr>
                <w:rFonts w:hint="eastAsia" w:ascii="黑体" w:hAnsi="黑体" w:eastAsia="黑体" w:cs="黑体"/>
                <w:sz w:val="30"/>
                <w:szCs w:val="30"/>
              </w:rPr>
            </w:pPr>
            <w:r>
              <w:rPr>
                <w:rFonts w:hint="eastAsia" w:ascii="黑体" w:hAnsi="黑体" w:eastAsia="黑体" w:cs="黑体"/>
                <w:sz w:val="28"/>
                <w:szCs w:val="28"/>
              </w:rPr>
              <w:t>意见</w:t>
            </w:r>
          </w:p>
        </w:tc>
        <w:tc>
          <w:tcPr>
            <w:tcW w:w="6595" w:type="dxa"/>
            <w:noWrap w:val="0"/>
            <w:vAlign w:val="center"/>
          </w:tcPr>
          <w:p>
            <w:pPr>
              <w:spacing w:line="340" w:lineRule="exact"/>
              <w:rPr>
                <w:rFonts w:ascii="仿宋" w:hAnsi="仿宋" w:eastAsia="仿宋" w:cs="仿宋"/>
                <w:sz w:val="28"/>
                <w:szCs w:val="28"/>
              </w:rPr>
            </w:pPr>
          </w:p>
        </w:tc>
      </w:tr>
    </w:tbl>
    <w:p>
      <w:pPr>
        <w:rPr>
          <w:rFonts w:ascii="仿宋" w:hAnsi="仿宋" w:eastAsia="仿宋" w:cs="仿宋"/>
          <w:szCs w:val="21"/>
        </w:rPr>
      </w:pPr>
      <w:r>
        <w:rPr>
          <w:rFonts w:hint="eastAsia" w:ascii="楷体_GB2312" w:hAnsi="仿宋" w:eastAsia="楷体_GB2312"/>
          <w:sz w:val="28"/>
          <w:szCs w:val="28"/>
        </w:rPr>
        <w:t>备注：</w:t>
      </w:r>
      <w:r>
        <w:rPr>
          <w:rFonts w:hint="eastAsia" w:ascii="楷体_GB2312" w:hAnsi="仿宋_GB2312" w:eastAsia="楷体_GB2312" w:cs="仿宋_GB2312"/>
          <w:spacing w:val="-11"/>
          <w:sz w:val="28"/>
          <w:szCs w:val="28"/>
        </w:rPr>
        <w:t>厅（局）领导审签后，请将审批表复印件送政府采</w:t>
      </w:r>
      <w:r>
        <w:rPr>
          <w:rFonts w:hint="eastAsia" w:ascii="楷体_GB2312" w:hAnsi="楷体_GB2312" w:eastAsia="楷体_GB2312" w:cs="楷体_GB2312"/>
          <w:spacing w:val="-11"/>
          <w:sz w:val="28"/>
          <w:szCs w:val="28"/>
        </w:rPr>
        <w:t>购处</w:t>
      </w:r>
      <w:r>
        <w:rPr>
          <w:rFonts w:hint="eastAsia" w:ascii="楷体_GB2312" w:hAnsi="楷体_GB2312" w:eastAsia="楷体_GB2312" w:cs="楷体_GB2312"/>
          <w:sz w:val="28"/>
          <w:szCs w:val="28"/>
        </w:rPr>
        <w:t>（科、股）室</w:t>
      </w:r>
      <w:r>
        <w:rPr>
          <w:rFonts w:hint="eastAsia" w:ascii="楷体_GB2312" w:hAnsi="仿宋_GB2312" w:eastAsia="楷体_GB2312" w:cs="仿宋_GB2312"/>
          <w:spacing w:val="-11"/>
          <w:sz w:val="28"/>
          <w:szCs w:val="28"/>
        </w:rPr>
        <w:t>收存备查。</w:t>
      </w: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r>
        <w:rPr>
          <w:rFonts w:hint="eastAsia" w:ascii="黑体" w:hAnsi="黑体" w:eastAsia="黑体" w:cs="黑体"/>
          <w:szCs w:val="32"/>
        </w:rPr>
        <w:t>附件2</w:t>
      </w:r>
    </w:p>
    <w:p>
      <w:pPr>
        <w:spacing w:line="560" w:lineRule="exact"/>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政府采购预采购指标申请表</w:t>
      </w:r>
    </w:p>
    <w:p>
      <w:pPr>
        <w:spacing w:line="560" w:lineRule="exact"/>
        <w:jc w:val="center"/>
        <w:rPr>
          <w:rFonts w:hint="eastAsia" w:ascii="方正小标宋简体" w:hAnsi="方正小标宋简体" w:eastAsia="方正小标宋简体" w:cs="方正小标宋简体"/>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2648"/>
        <w:gridCol w:w="1732"/>
        <w:gridCol w:w="982"/>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采购单位</w:t>
            </w:r>
          </w:p>
        </w:tc>
        <w:tc>
          <w:tcPr>
            <w:tcW w:w="7290" w:type="dxa"/>
            <w:gridSpan w:val="4"/>
            <w:noWrap w:val="0"/>
            <w:vAlign w:val="top"/>
          </w:tcPr>
          <w:p>
            <w:pPr>
              <w:ind w:firstLine="5600" w:firstLineChars="2000"/>
              <w:rPr>
                <w:rFonts w:hint="eastAsia" w:ascii="仿宋_GB2312" w:hAnsi="仿宋_GB2312" w:cs="仿宋_GB2312"/>
                <w:sz w:val="30"/>
                <w:szCs w:val="30"/>
              </w:rPr>
            </w:pPr>
            <w:r>
              <w:rPr>
                <w:rFonts w:hint="eastAsia" w:ascii="仿宋" w:hAnsi="仿宋" w:eastAsia="仿宋" w:cs="仿宋"/>
                <w:sz w:val="28"/>
                <w:szCs w:val="28"/>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7290" w:type="dxa"/>
            <w:gridSpan w:val="4"/>
            <w:noWrap w:val="0"/>
            <w:vAlign w:val="top"/>
          </w:tcPr>
          <w:p>
            <w:pP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697"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项目概况</w:t>
            </w:r>
          </w:p>
        </w:tc>
        <w:tc>
          <w:tcPr>
            <w:tcW w:w="7290" w:type="dxa"/>
            <w:gridSpan w:val="4"/>
            <w:noWrap w:val="0"/>
            <w:vAlign w:val="top"/>
          </w:tcPr>
          <w:p>
            <w:pPr>
              <w:tabs>
                <w:tab w:val="left" w:pos="807"/>
              </w:tabs>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97"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项目预算</w:t>
            </w:r>
          </w:p>
        </w:tc>
        <w:tc>
          <w:tcPr>
            <w:tcW w:w="7290" w:type="dxa"/>
            <w:gridSpan w:val="4"/>
            <w:noWrap w:val="0"/>
            <w:vAlign w:val="center"/>
          </w:tcPr>
          <w:p>
            <w:pPr>
              <w:spacing w:line="500" w:lineRule="exact"/>
              <w:jc w:val="left"/>
              <w:rPr>
                <w:rFonts w:hint="eastAsia" w:ascii="仿宋_GB2312" w:hAnsi="仿宋_GB2312" w:cs="仿宋_GB2312"/>
                <w:sz w:val="30"/>
                <w:szCs w:val="30"/>
              </w:rPr>
            </w:pPr>
            <w:r>
              <w:rPr>
                <w:rFonts w:hint="eastAsia" w:ascii="仿宋_GB2312" w:hAnsi="仿宋_GB2312" w:cs="仿宋_GB2312"/>
                <w:sz w:val="30"/>
                <w:szCs w:val="3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697"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预计资金</w:t>
            </w:r>
          </w:p>
          <w:p>
            <w:pPr>
              <w:jc w:val="center"/>
              <w:rPr>
                <w:rFonts w:ascii="黑体" w:hAnsi="黑体" w:eastAsia="黑体" w:cs="黑体"/>
                <w:sz w:val="28"/>
                <w:szCs w:val="28"/>
              </w:rPr>
            </w:pPr>
            <w:r>
              <w:rPr>
                <w:rFonts w:hint="eastAsia" w:ascii="黑体" w:hAnsi="黑体" w:eastAsia="黑体" w:cs="黑体"/>
                <w:sz w:val="28"/>
                <w:szCs w:val="28"/>
              </w:rPr>
              <w:t>支付时间</w:t>
            </w:r>
          </w:p>
        </w:tc>
        <w:tc>
          <w:tcPr>
            <w:tcW w:w="2648" w:type="dxa"/>
            <w:noWrap w:val="0"/>
            <w:vAlign w:val="center"/>
          </w:tcPr>
          <w:p>
            <w:pPr>
              <w:spacing w:line="500" w:lineRule="exact"/>
              <w:jc w:val="left"/>
              <w:rPr>
                <w:rFonts w:hint="eastAsia" w:ascii="仿宋_GB2312" w:hAnsi="仿宋_GB2312" w:cs="仿宋_GB2312"/>
                <w:sz w:val="30"/>
                <w:szCs w:val="30"/>
              </w:rPr>
            </w:pPr>
          </w:p>
        </w:tc>
        <w:tc>
          <w:tcPr>
            <w:tcW w:w="1732" w:type="dxa"/>
            <w:noWrap w:val="0"/>
            <w:vAlign w:val="center"/>
          </w:tcPr>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正式指标</w:t>
            </w:r>
          </w:p>
          <w:p>
            <w:pPr>
              <w:spacing w:line="500" w:lineRule="exact"/>
              <w:jc w:val="center"/>
              <w:rPr>
                <w:rFonts w:ascii="仿宋_GB2312" w:hAnsi="仿宋_GB2312" w:cs="仿宋_GB2312"/>
                <w:sz w:val="30"/>
                <w:szCs w:val="30"/>
              </w:rPr>
            </w:pPr>
            <w:r>
              <w:rPr>
                <w:rFonts w:hint="eastAsia" w:ascii="黑体" w:hAnsi="黑体" w:eastAsia="黑体" w:cs="黑体"/>
                <w:sz w:val="28"/>
                <w:szCs w:val="28"/>
              </w:rPr>
              <w:t>下达时间</w:t>
            </w:r>
          </w:p>
        </w:tc>
        <w:tc>
          <w:tcPr>
            <w:tcW w:w="2910" w:type="dxa"/>
            <w:gridSpan w:val="2"/>
            <w:noWrap w:val="0"/>
            <w:vAlign w:val="center"/>
          </w:tcPr>
          <w:p>
            <w:pPr>
              <w:spacing w:line="500" w:lineRule="exact"/>
              <w:jc w:val="left"/>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697"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资金来源</w:t>
            </w:r>
          </w:p>
        </w:tc>
        <w:tc>
          <w:tcPr>
            <w:tcW w:w="2648" w:type="dxa"/>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□财政资金：</w:t>
            </w:r>
            <w:r>
              <w:rPr>
                <w:rFonts w:hint="eastAsia" w:ascii="仿宋_GB2312" w:hAnsi="仿宋_GB2312" w:cs="仿宋_GB2312"/>
                <w:sz w:val="30"/>
                <w:szCs w:val="30"/>
                <w:u w:val="single"/>
              </w:rPr>
              <w:t xml:space="preserve">    </w:t>
            </w:r>
          </w:p>
        </w:tc>
        <w:tc>
          <w:tcPr>
            <w:tcW w:w="2714" w:type="dxa"/>
            <w:gridSpan w:val="2"/>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□自筹资金：</w:t>
            </w:r>
            <w:r>
              <w:rPr>
                <w:rFonts w:hint="eastAsia" w:ascii="仿宋_GB2312" w:hAnsi="仿宋_GB2312" w:cs="仿宋_GB2312"/>
                <w:sz w:val="30"/>
                <w:szCs w:val="30"/>
                <w:u w:val="single"/>
              </w:rPr>
              <w:t xml:space="preserve">    </w:t>
            </w:r>
          </w:p>
        </w:tc>
        <w:tc>
          <w:tcPr>
            <w:tcW w:w="1928" w:type="dxa"/>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□其他：</w:t>
            </w:r>
            <w:r>
              <w:rPr>
                <w:rFonts w:hint="eastAsia" w:ascii="仿宋_GB2312" w:hAnsi="仿宋_GB2312" w:cs="仿宋_GB2312"/>
                <w:sz w:val="30"/>
                <w:szCs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97" w:type="dxa"/>
            <w:vMerge w:val="restart"/>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预采购</w:t>
            </w:r>
          </w:p>
          <w:p>
            <w:pPr>
              <w:jc w:val="center"/>
              <w:rPr>
                <w:rFonts w:hint="eastAsia" w:ascii="黑体" w:hAnsi="黑体" w:eastAsia="黑体" w:cs="黑体"/>
                <w:sz w:val="28"/>
                <w:szCs w:val="28"/>
              </w:rPr>
            </w:pPr>
            <w:r>
              <w:rPr>
                <w:rFonts w:hint="eastAsia" w:ascii="黑体" w:hAnsi="黑体" w:eastAsia="黑体" w:cs="黑体"/>
                <w:sz w:val="28"/>
                <w:szCs w:val="28"/>
              </w:rPr>
              <w:t>类  型</w:t>
            </w:r>
          </w:p>
        </w:tc>
        <w:tc>
          <w:tcPr>
            <w:tcW w:w="7290" w:type="dxa"/>
            <w:gridSpan w:val="4"/>
            <w:noWrap w:val="0"/>
            <w:vAlign w:val="center"/>
          </w:tcPr>
          <w:p>
            <w:pPr>
              <w:pStyle w:val="2"/>
              <w:widowControl/>
              <w:spacing w:before="0" w:beforeAutospacing="0" w:after="0" w:afterAutospacing="0"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kern w:val="2"/>
                <w:sz w:val="32"/>
                <w:szCs w:val="32"/>
              </w:rPr>
              <w:t>项目已经编入预算草案，但财政部门尚未批复，急需采购的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97" w:type="dxa"/>
            <w:vMerge w:val="continue"/>
            <w:noWrap w:val="0"/>
            <w:vAlign w:val="top"/>
          </w:tcPr>
          <w:p>
            <w:pPr>
              <w:rPr>
                <w:rFonts w:hint="eastAsia" w:ascii="仿宋_GB2312" w:hAnsi="仿宋_GB2312" w:cs="仿宋_GB2312"/>
                <w:sz w:val="30"/>
                <w:szCs w:val="30"/>
              </w:rPr>
            </w:pPr>
          </w:p>
        </w:tc>
        <w:tc>
          <w:tcPr>
            <w:tcW w:w="7290" w:type="dxa"/>
            <w:gridSpan w:val="4"/>
            <w:noWrap w:val="0"/>
            <w:vAlign w:val="center"/>
          </w:tcPr>
          <w:p>
            <w:pPr>
              <w:pStyle w:val="2"/>
              <w:widowControl/>
              <w:spacing w:before="0" w:beforeAutospacing="0" w:after="0" w:afterAutospacing="0"/>
              <w:jc w:val="both"/>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上级明确下达的专项资金，项目需在资金下达前开展的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697" w:type="dxa"/>
            <w:vMerge w:val="continue"/>
            <w:noWrap w:val="0"/>
            <w:vAlign w:val="top"/>
          </w:tcPr>
          <w:p>
            <w:pPr>
              <w:rPr>
                <w:rFonts w:hint="eastAsia" w:ascii="仿宋_GB2312" w:hAnsi="仿宋_GB2312" w:cs="仿宋_GB2312"/>
                <w:sz w:val="30"/>
                <w:szCs w:val="30"/>
              </w:rPr>
            </w:pPr>
          </w:p>
        </w:tc>
        <w:tc>
          <w:tcPr>
            <w:tcW w:w="7290" w:type="dxa"/>
            <w:gridSpan w:val="4"/>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w:t>
            </w:r>
            <w:r>
              <w:rPr>
                <w:rFonts w:hint="eastAsia" w:ascii="仿宋_GB2312" w:hAnsi="仿宋_GB2312" w:cs="仿宋_GB2312"/>
                <w:color w:val="000000"/>
                <w:sz w:val="30"/>
                <w:szCs w:val="30"/>
              </w:rPr>
              <w:t>财政预算资金分</w:t>
            </w:r>
            <w:r>
              <w:rPr>
                <w:rFonts w:hint="eastAsia"/>
                <w:color w:val="000000"/>
                <w:sz w:val="30"/>
                <w:szCs w:val="30"/>
              </w:rPr>
              <w:t>年度</w:t>
            </w:r>
            <w:r>
              <w:rPr>
                <w:rFonts w:hint="eastAsia" w:ascii="仿宋_GB2312" w:hAnsi="仿宋_GB2312" w:cs="仿宋_GB2312"/>
                <w:color w:val="000000"/>
                <w:sz w:val="30"/>
                <w:szCs w:val="30"/>
              </w:rPr>
              <w:t>安排但不宜按年度拆分采购的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697" w:type="dxa"/>
            <w:vMerge w:val="continue"/>
            <w:noWrap w:val="0"/>
            <w:vAlign w:val="top"/>
          </w:tcPr>
          <w:p>
            <w:pPr>
              <w:rPr>
                <w:rFonts w:hint="eastAsia" w:ascii="仿宋_GB2312" w:hAnsi="仿宋_GB2312" w:cs="仿宋_GB2312"/>
                <w:sz w:val="30"/>
                <w:szCs w:val="30"/>
              </w:rPr>
            </w:pPr>
          </w:p>
        </w:tc>
        <w:tc>
          <w:tcPr>
            <w:tcW w:w="7290" w:type="dxa"/>
            <w:gridSpan w:val="4"/>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w:t>
            </w:r>
            <w:r>
              <w:rPr>
                <w:rFonts w:hint="eastAsia" w:ascii="仿宋_GB2312" w:hAnsi="仿宋_GB2312" w:cs="仿宋_GB2312"/>
                <w:color w:val="000000"/>
                <w:sz w:val="30"/>
                <w:szCs w:val="30"/>
              </w:rPr>
              <w:t>同级财政部门规定的其他情形</w:t>
            </w:r>
            <w:r>
              <w:rPr>
                <w:rFonts w:hint="eastAsia" w:ascii="仿宋_GB2312" w:hAnsi="仿宋_GB2312" w:cs="仿宋_GB2312"/>
                <w:sz w:val="30"/>
                <w:szCs w:val="30"/>
                <w:u w:val="single"/>
              </w:rPr>
              <w:t xml:space="preserve">                          </w:t>
            </w:r>
          </w:p>
        </w:tc>
      </w:tr>
    </w:tbl>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r>
        <w:rPr>
          <w:rFonts w:hint="eastAsia" w:ascii="黑体" w:hAnsi="黑体" w:eastAsia="黑体" w:cs="黑体"/>
          <w:szCs w:val="32"/>
        </w:rPr>
        <w:t>附件3</w:t>
      </w:r>
    </w:p>
    <w:p>
      <w:pPr>
        <w:spacing w:line="560" w:lineRule="exact"/>
        <w:outlineLvl w:val="0"/>
        <w:rPr>
          <w:rFonts w:hint="eastAsia" w:ascii="黑体" w:hAnsi="黑体" w:eastAsia="黑体" w:cs="黑体"/>
          <w:szCs w:val="32"/>
        </w:rPr>
      </w:pP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其他采购指标申请表</w:t>
      </w:r>
    </w:p>
    <w:p>
      <w:pPr>
        <w:spacing w:line="560" w:lineRule="exact"/>
        <w:outlineLvl w:val="0"/>
        <w:rPr>
          <w:rFonts w:hint="eastAsia" w:ascii="黑体" w:hAnsi="黑体" w:eastAsia="黑体" w:cs="黑体"/>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2820"/>
        <w:gridCol w:w="2542"/>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采购单位</w:t>
            </w:r>
          </w:p>
        </w:tc>
        <w:tc>
          <w:tcPr>
            <w:tcW w:w="7290" w:type="dxa"/>
            <w:gridSpan w:val="3"/>
            <w:noWrap w:val="0"/>
            <w:vAlign w:val="top"/>
          </w:tcPr>
          <w:p>
            <w:pP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项目名称</w:t>
            </w:r>
          </w:p>
        </w:tc>
        <w:tc>
          <w:tcPr>
            <w:tcW w:w="7290" w:type="dxa"/>
            <w:gridSpan w:val="3"/>
            <w:noWrap w:val="0"/>
            <w:vAlign w:val="top"/>
          </w:tcPr>
          <w:p>
            <w:pP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697"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项目概况</w:t>
            </w:r>
          </w:p>
        </w:tc>
        <w:tc>
          <w:tcPr>
            <w:tcW w:w="7290" w:type="dxa"/>
            <w:gridSpan w:val="3"/>
            <w:noWrap w:val="0"/>
            <w:vAlign w:val="top"/>
          </w:tcPr>
          <w:p>
            <w:pPr>
              <w:rPr>
                <w:rFonts w:hint="eastAsia" w:ascii="仿宋_GB2312" w:hAnsi="仿宋_GB2312" w:cs="仿宋_GB2312"/>
                <w:sz w:val="30"/>
                <w:szCs w:val="30"/>
              </w:rPr>
            </w:pPr>
          </w:p>
          <w:p>
            <w:pPr>
              <w:rPr>
                <w:rFonts w:hint="eastAsia" w:ascii="仿宋_GB2312" w:hAnsi="仿宋_GB2312" w:cs="仿宋_GB2312"/>
                <w:sz w:val="30"/>
                <w:szCs w:val="30"/>
              </w:rPr>
            </w:pPr>
          </w:p>
          <w:p>
            <w:pPr>
              <w:rPr>
                <w:rFonts w:hint="eastAsia" w:ascii="仿宋_GB2312" w:hAnsi="仿宋_GB2312" w:cs="仿宋_GB2312"/>
                <w:sz w:val="30"/>
                <w:szCs w:val="30"/>
              </w:rPr>
            </w:pPr>
          </w:p>
          <w:p>
            <w:pP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7"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项目预算</w:t>
            </w:r>
          </w:p>
        </w:tc>
        <w:tc>
          <w:tcPr>
            <w:tcW w:w="7290" w:type="dxa"/>
            <w:gridSpan w:val="3"/>
            <w:noWrap w:val="0"/>
            <w:vAlign w:val="center"/>
          </w:tcPr>
          <w:p>
            <w:pPr>
              <w:spacing w:line="500" w:lineRule="exact"/>
              <w:jc w:val="left"/>
              <w:rPr>
                <w:rFonts w:hint="eastAsia" w:ascii="仿宋_GB2312" w:hAnsi="仿宋_GB2312" w:cs="仿宋_GB2312"/>
                <w:sz w:val="30"/>
                <w:szCs w:val="30"/>
              </w:rPr>
            </w:pPr>
            <w:r>
              <w:rPr>
                <w:rFonts w:hint="eastAsia" w:ascii="仿宋_GB2312" w:hAnsi="仿宋_GB2312" w:cs="仿宋_GB2312"/>
                <w:sz w:val="30"/>
                <w:szCs w:val="3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697"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资金来源</w:t>
            </w:r>
          </w:p>
        </w:tc>
        <w:tc>
          <w:tcPr>
            <w:tcW w:w="2820" w:type="dxa"/>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□财政性资金：</w:t>
            </w:r>
            <w:r>
              <w:rPr>
                <w:rFonts w:hint="eastAsia" w:ascii="仿宋_GB2312" w:hAnsi="仿宋_GB2312" w:cs="仿宋_GB2312"/>
                <w:sz w:val="30"/>
                <w:szCs w:val="30"/>
                <w:u w:val="single"/>
              </w:rPr>
              <w:t xml:space="preserve">    </w:t>
            </w:r>
          </w:p>
        </w:tc>
        <w:tc>
          <w:tcPr>
            <w:tcW w:w="2542" w:type="dxa"/>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□自筹资金：</w:t>
            </w:r>
            <w:r>
              <w:rPr>
                <w:rFonts w:hint="eastAsia" w:ascii="仿宋_GB2312" w:hAnsi="仿宋_GB2312" w:cs="仿宋_GB2312"/>
                <w:sz w:val="30"/>
                <w:szCs w:val="30"/>
                <w:u w:val="single"/>
              </w:rPr>
              <w:t xml:space="preserve">    </w:t>
            </w:r>
          </w:p>
        </w:tc>
        <w:tc>
          <w:tcPr>
            <w:tcW w:w="1928" w:type="dxa"/>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□其他：</w:t>
            </w:r>
            <w:r>
              <w:rPr>
                <w:rFonts w:hint="eastAsia" w:ascii="仿宋_GB2312" w:hAnsi="仿宋_GB2312" w:cs="仿宋_GB2312"/>
                <w:sz w:val="30"/>
                <w:szCs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restart"/>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其他采购</w:t>
            </w:r>
          </w:p>
          <w:p>
            <w:pPr>
              <w:jc w:val="center"/>
              <w:rPr>
                <w:rFonts w:hint="eastAsia" w:ascii="黑体" w:hAnsi="黑体" w:eastAsia="黑体" w:cs="黑体"/>
                <w:sz w:val="30"/>
                <w:szCs w:val="30"/>
              </w:rPr>
            </w:pPr>
            <w:r>
              <w:rPr>
                <w:rFonts w:hint="eastAsia" w:ascii="黑体" w:hAnsi="黑体" w:eastAsia="黑体" w:cs="黑体"/>
                <w:sz w:val="30"/>
                <w:szCs w:val="30"/>
              </w:rPr>
              <w:t>指标类型</w:t>
            </w:r>
          </w:p>
        </w:tc>
        <w:tc>
          <w:tcPr>
            <w:tcW w:w="7290" w:type="dxa"/>
            <w:gridSpan w:val="3"/>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w:t>
            </w:r>
            <w:r>
              <w:rPr>
                <w:rFonts w:hint="eastAsia" w:ascii="仿宋_GB2312" w:hAnsi="仿宋_GB2312" w:cs="仿宋_GB2312"/>
                <w:color w:val="000000"/>
                <w:sz w:val="30"/>
                <w:szCs w:val="30"/>
              </w:rPr>
              <w:t>部门预算批复中未纳入预算管理一体化系统指标管理的单位自有资金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697" w:type="dxa"/>
            <w:vMerge w:val="continue"/>
            <w:noWrap w:val="0"/>
            <w:vAlign w:val="top"/>
          </w:tcPr>
          <w:p>
            <w:pPr>
              <w:rPr>
                <w:rFonts w:hint="eastAsia" w:ascii="仿宋_GB2312" w:hAnsi="仿宋_GB2312" w:cs="仿宋_GB2312"/>
                <w:sz w:val="30"/>
                <w:szCs w:val="30"/>
              </w:rPr>
            </w:pPr>
          </w:p>
        </w:tc>
        <w:tc>
          <w:tcPr>
            <w:tcW w:w="7290" w:type="dxa"/>
            <w:gridSpan w:val="3"/>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w:t>
            </w:r>
            <w:r>
              <w:rPr>
                <w:rFonts w:hint="eastAsia" w:ascii="仿宋_GB2312" w:hAnsi="仿宋_GB2312" w:cs="仿宋_GB2312"/>
                <w:color w:val="000000"/>
                <w:sz w:val="30"/>
                <w:szCs w:val="30"/>
              </w:rPr>
              <w:t>与财政性资金合并采购的非财政性资金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697" w:type="dxa"/>
            <w:vMerge w:val="continue"/>
            <w:noWrap w:val="0"/>
            <w:vAlign w:val="top"/>
          </w:tcPr>
          <w:p>
            <w:pPr>
              <w:rPr>
                <w:rFonts w:hint="eastAsia" w:ascii="仿宋_GB2312" w:hAnsi="仿宋_GB2312" w:cs="仿宋_GB2312"/>
                <w:sz w:val="30"/>
                <w:szCs w:val="30"/>
              </w:rPr>
            </w:pPr>
          </w:p>
        </w:tc>
        <w:tc>
          <w:tcPr>
            <w:tcW w:w="7290" w:type="dxa"/>
            <w:gridSpan w:val="3"/>
            <w:noWrap w:val="0"/>
            <w:vAlign w:val="center"/>
          </w:tcPr>
          <w:p>
            <w:pPr>
              <w:pStyle w:val="2"/>
              <w:widowControl/>
              <w:spacing w:before="0" w:beforeAutospacing="0" w:after="0" w:afterAutospacing="0"/>
              <w:jc w:val="both"/>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视同财政性资金的借贷资金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697" w:type="dxa"/>
            <w:vMerge w:val="continue"/>
            <w:noWrap w:val="0"/>
            <w:vAlign w:val="top"/>
          </w:tcPr>
          <w:p>
            <w:pPr>
              <w:rPr>
                <w:rFonts w:hint="eastAsia" w:ascii="仿宋_GB2312" w:hAnsi="仿宋_GB2312" w:cs="仿宋_GB2312"/>
                <w:sz w:val="30"/>
                <w:szCs w:val="30"/>
              </w:rPr>
            </w:pPr>
          </w:p>
        </w:tc>
        <w:tc>
          <w:tcPr>
            <w:tcW w:w="7290" w:type="dxa"/>
            <w:gridSpan w:val="3"/>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w:t>
            </w:r>
            <w:r>
              <w:rPr>
                <w:rFonts w:hint="eastAsia" w:ascii="仿宋_GB2312" w:hAnsi="仿宋_GB2312" w:cs="仿宋_GB2312"/>
                <w:color w:val="000000"/>
                <w:sz w:val="30"/>
                <w:szCs w:val="30"/>
              </w:rPr>
              <w:t>同级财政部门规定的其他情形</w:t>
            </w:r>
            <w:r>
              <w:rPr>
                <w:rFonts w:hint="eastAsia" w:ascii="仿宋_GB2312" w:hAnsi="仿宋_GB2312" w:cs="仿宋_GB2312"/>
                <w:sz w:val="30"/>
                <w:szCs w:val="30"/>
                <w:u w:val="single"/>
              </w:rPr>
              <w:t xml:space="preserve">                          </w:t>
            </w:r>
          </w:p>
        </w:tc>
      </w:tr>
    </w:tbl>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r>
        <w:rPr>
          <w:rFonts w:hint="eastAsia" w:ascii="黑体" w:hAnsi="黑体" w:eastAsia="黑体" w:cs="黑体"/>
          <w:szCs w:val="32"/>
        </w:rPr>
        <w:t>附件4</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统一采购指标申请表</w:t>
      </w:r>
    </w:p>
    <w:p>
      <w:pPr>
        <w:spacing w:line="560" w:lineRule="exact"/>
        <w:jc w:val="center"/>
        <w:outlineLvl w:val="0"/>
        <w:rPr>
          <w:rFonts w:hint="eastAsia" w:ascii="方正小标宋简体" w:hAnsi="方正小标宋简体" w:eastAsia="方正小标宋简体" w:cs="方正小标宋简体"/>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2446"/>
        <w:gridCol w:w="2325"/>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采购单位</w:t>
            </w:r>
          </w:p>
        </w:tc>
        <w:tc>
          <w:tcPr>
            <w:tcW w:w="7290" w:type="dxa"/>
            <w:gridSpan w:val="3"/>
            <w:noWrap w:val="0"/>
            <w:vAlign w:val="top"/>
          </w:tcPr>
          <w:p>
            <w:pP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项目名称</w:t>
            </w:r>
          </w:p>
        </w:tc>
        <w:tc>
          <w:tcPr>
            <w:tcW w:w="7290" w:type="dxa"/>
            <w:gridSpan w:val="3"/>
            <w:noWrap w:val="0"/>
            <w:vAlign w:val="top"/>
          </w:tcPr>
          <w:p>
            <w:pP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7"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项目预算</w:t>
            </w:r>
          </w:p>
        </w:tc>
        <w:tc>
          <w:tcPr>
            <w:tcW w:w="7290" w:type="dxa"/>
            <w:gridSpan w:val="3"/>
            <w:noWrap w:val="0"/>
            <w:vAlign w:val="center"/>
          </w:tcPr>
          <w:p>
            <w:pPr>
              <w:spacing w:line="500" w:lineRule="exact"/>
              <w:jc w:val="left"/>
              <w:rPr>
                <w:rFonts w:hint="eastAsia" w:ascii="仿宋_GB2312" w:hAnsi="仿宋_GB2312" w:cs="仿宋_GB2312"/>
                <w:sz w:val="30"/>
                <w:szCs w:val="30"/>
              </w:rPr>
            </w:pPr>
            <w:r>
              <w:rPr>
                <w:rFonts w:hint="eastAsia" w:ascii="仿宋_GB2312" w:hAnsi="仿宋_GB2312" w:cs="仿宋_GB2312"/>
                <w:sz w:val="30"/>
                <w:szCs w:val="3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7"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资金性质</w:t>
            </w:r>
          </w:p>
        </w:tc>
        <w:tc>
          <w:tcPr>
            <w:tcW w:w="7290" w:type="dxa"/>
            <w:gridSpan w:val="3"/>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□财政性资金 □自有资金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697"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采购人已</w:t>
            </w:r>
          </w:p>
          <w:p>
            <w:pPr>
              <w:jc w:val="center"/>
              <w:rPr>
                <w:rFonts w:ascii="黑体" w:hAnsi="黑体" w:eastAsia="黑体" w:cs="黑体"/>
                <w:sz w:val="30"/>
                <w:szCs w:val="30"/>
              </w:rPr>
            </w:pPr>
            <w:r>
              <w:rPr>
                <w:rFonts w:hint="eastAsia" w:ascii="黑体" w:hAnsi="黑体" w:eastAsia="黑体" w:cs="黑体"/>
                <w:sz w:val="30"/>
                <w:szCs w:val="30"/>
              </w:rPr>
              <w:t>落实资金</w:t>
            </w:r>
          </w:p>
        </w:tc>
        <w:tc>
          <w:tcPr>
            <w:tcW w:w="7290" w:type="dxa"/>
            <w:gridSpan w:val="3"/>
            <w:noWrap w:val="0"/>
            <w:vAlign w:val="center"/>
          </w:tcPr>
          <w:p>
            <w:pPr>
              <w:rPr>
                <w:rFonts w:ascii="仿宋_GB2312" w:hAnsi="仿宋_GB2312" w:cs="仿宋_GB2312"/>
                <w:sz w:val="30"/>
                <w:szCs w:val="30"/>
              </w:rPr>
            </w:pPr>
            <w:r>
              <w:rPr>
                <w:rFonts w:hint="eastAsia" w:ascii="仿宋_GB2312" w:hAnsi="仿宋_GB2312" w:cs="仿宋_GB2312"/>
                <w:sz w:val="30"/>
                <w:szCs w:val="3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697" w:type="dxa"/>
            <w:noWrap w:val="0"/>
            <w:vAlign w:val="center"/>
          </w:tcPr>
          <w:p>
            <w:pPr>
              <w:jc w:val="center"/>
              <w:rPr>
                <w:rFonts w:ascii="黑体" w:hAnsi="黑体" w:eastAsia="黑体" w:cs="黑体"/>
                <w:sz w:val="30"/>
                <w:szCs w:val="30"/>
              </w:rPr>
            </w:pPr>
            <w:r>
              <w:rPr>
                <w:rFonts w:hint="eastAsia" w:ascii="黑体" w:hAnsi="黑体" w:eastAsia="黑体" w:cs="黑体"/>
                <w:sz w:val="30"/>
                <w:szCs w:val="30"/>
              </w:rPr>
              <w:t>项目类型</w:t>
            </w:r>
          </w:p>
        </w:tc>
        <w:tc>
          <w:tcPr>
            <w:tcW w:w="2446" w:type="dxa"/>
            <w:noWrap w:val="0"/>
            <w:vAlign w:val="center"/>
          </w:tcPr>
          <w:p>
            <w:pPr>
              <w:rPr>
                <w:rFonts w:hint="eastAsia" w:ascii="仿宋_GB2312" w:hAnsi="仿宋_GB2312" w:cs="仿宋_GB2312"/>
                <w:sz w:val="30"/>
                <w:szCs w:val="30"/>
              </w:rPr>
            </w:pPr>
            <w:r>
              <w:rPr>
                <w:rFonts w:hint="eastAsia" w:ascii="仿宋_GB2312" w:hAnsi="仿宋_GB2312" w:cs="仿宋_GB2312"/>
                <w:sz w:val="30"/>
                <w:szCs w:val="30"/>
              </w:rPr>
              <w:t>□统采统签统付</w:t>
            </w:r>
          </w:p>
        </w:tc>
        <w:tc>
          <w:tcPr>
            <w:tcW w:w="2325" w:type="dxa"/>
            <w:noWrap w:val="0"/>
            <w:vAlign w:val="center"/>
          </w:tcPr>
          <w:p>
            <w:pPr>
              <w:rPr>
                <w:rFonts w:ascii="仿宋_GB2312" w:hAnsi="仿宋_GB2312" w:cs="仿宋_GB2312"/>
                <w:sz w:val="30"/>
                <w:szCs w:val="30"/>
              </w:rPr>
            </w:pPr>
            <w:r>
              <w:rPr>
                <w:rFonts w:hint="eastAsia" w:ascii="仿宋_GB2312" w:hAnsi="仿宋_GB2312" w:cs="仿宋_GB2312"/>
                <w:sz w:val="30"/>
                <w:szCs w:val="30"/>
              </w:rPr>
              <w:t>□统采统签分付</w:t>
            </w:r>
          </w:p>
        </w:tc>
        <w:tc>
          <w:tcPr>
            <w:tcW w:w="2519" w:type="dxa"/>
            <w:noWrap w:val="0"/>
            <w:vAlign w:val="center"/>
          </w:tcPr>
          <w:p>
            <w:pPr>
              <w:rPr>
                <w:rFonts w:ascii="仿宋_GB2312" w:hAnsi="仿宋_GB2312" w:cs="仿宋_GB2312"/>
                <w:sz w:val="30"/>
                <w:szCs w:val="30"/>
              </w:rPr>
            </w:pPr>
            <w:r>
              <w:rPr>
                <w:rFonts w:hint="eastAsia" w:ascii="仿宋_GB2312" w:hAnsi="仿宋_GB2312" w:cs="仿宋_GB2312"/>
                <w:sz w:val="30"/>
                <w:szCs w:val="30"/>
              </w:rPr>
              <w:t>□统采分签分付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5" w:hRule="atLeast"/>
          <w:jc w:val="center"/>
        </w:trPr>
        <w:tc>
          <w:tcPr>
            <w:tcW w:w="1697"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项目概况</w:t>
            </w:r>
          </w:p>
        </w:tc>
        <w:tc>
          <w:tcPr>
            <w:tcW w:w="7290" w:type="dxa"/>
            <w:gridSpan w:val="3"/>
            <w:noWrap w:val="0"/>
            <w:vAlign w:val="top"/>
          </w:tcPr>
          <w:p>
            <w:pPr>
              <w:rPr>
                <w:rFonts w:hint="eastAsia" w:ascii="仿宋_GB2312" w:hAnsi="仿宋_GB2312" w:cs="仿宋_GB2312"/>
                <w:sz w:val="30"/>
                <w:szCs w:val="30"/>
              </w:rPr>
            </w:pPr>
          </w:p>
          <w:p>
            <w:pPr>
              <w:rPr>
                <w:rFonts w:hint="eastAsia" w:ascii="仿宋_GB2312" w:hAnsi="仿宋_GB2312" w:cs="仿宋_GB2312"/>
                <w:sz w:val="30"/>
                <w:szCs w:val="30"/>
              </w:rPr>
            </w:pPr>
          </w:p>
          <w:p>
            <w:pPr>
              <w:rPr>
                <w:rFonts w:hint="eastAsia" w:ascii="仿宋_GB2312" w:hAnsi="仿宋_GB2312" w:cs="仿宋_GB2312"/>
                <w:sz w:val="30"/>
                <w:szCs w:val="30"/>
              </w:rPr>
            </w:pPr>
          </w:p>
          <w:p>
            <w:pPr>
              <w:rPr>
                <w:rFonts w:hint="eastAsia" w:ascii="仿宋_GB2312" w:hAnsi="仿宋_GB2312" w:cs="仿宋_GB2312"/>
                <w:sz w:val="30"/>
                <w:szCs w:val="30"/>
              </w:rPr>
            </w:pPr>
          </w:p>
          <w:p>
            <w:pPr>
              <w:rPr>
                <w:rFonts w:hint="eastAsia" w:ascii="仿宋_GB2312" w:hAnsi="仿宋_GB2312" w:cs="仿宋_GB2312"/>
                <w:sz w:val="30"/>
                <w:szCs w:val="30"/>
              </w:rPr>
            </w:pPr>
          </w:p>
        </w:tc>
      </w:tr>
    </w:tbl>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r>
        <w:rPr>
          <w:rFonts w:hint="eastAsia" w:ascii="黑体" w:hAnsi="黑体" w:eastAsia="黑体" w:cs="黑体"/>
          <w:szCs w:val="32"/>
        </w:rPr>
        <w:t>附件5</w:t>
      </w:r>
    </w:p>
    <w:p>
      <w:pPr>
        <w:spacing w:line="560" w:lineRule="exact"/>
        <w:jc w:val="center"/>
        <w:outlineLvl w:val="0"/>
        <w:rPr>
          <w:rFonts w:hint="eastAsia" w:ascii="方正小标宋简体" w:hAnsi="方正小标宋简体" w:eastAsia="方正小标宋简体" w:cs="方正小标宋简体"/>
          <w:sz w:val="44"/>
          <w:szCs w:val="44"/>
        </w:rPr>
      </w:pP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统一采购委托书</w:t>
      </w:r>
    </w:p>
    <w:p>
      <w:pPr>
        <w:spacing w:line="560" w:lineRule="exact"/>
        <w:jc w:val="center"/>
        <w:outlineLvl w:val="0"/>
        <w:rPr>
          <w:rFonts w:hint="eastAsia" w:ascii="方正小标宋简体" w:hAnsi="方正小标宋简体" w:eastAsia="方正小标宋简体" w:cs="方正小标宋简体"/>
          <w:sz w:val="44"/>
          <w:szCs w:val="44"/>
        </w:rPr>
      </w:pPr>
    </w:p>
    <w:p>
      <w:pPr>
        <w:spacing w:line="560" w:lineRule="exact"/>
        <w:ind w:firstLine="640"/>
        <w:outlineLvl w:val="0"/>
        <w:rPr>
          <w:rFonts w:hint="eastAsia" w:ascii="仿宋_GB2312" w:hAnsi="仿宋_GB2312" w:cs="仿宋_GB2312"/>
          <w:szCs w:val="32"/>
        </w:rPr>
      </w:pPr>
      <w:r>
        <w:rPr>
          <w:rFonts w:hint="eastAsia" w:ascii="仿宋_GB2312" w:hAnsi="仿宋_GB2312" w:cs="仿宋_GB2312"/>
          <w:szCs w:val="32"/>
        </w:rPr>
        <w:t>根据XXXX文件/XXX工作安排，现有XXXX项目拟采用统一采购方式开展采购活动。本项目为（统采统签统付/统采统签分付/统采分签分付）项目，总预算XXX万元，现委托XXX单位作为项目采购人组织采购活动。</w:t>
      </w:r>
    </w:p>
    <w:p>
      <w:pPr>
        <w:spacing w:line="560" w:lineRule="exact"/>
        <w:ind w:firstLine="640"/>
        <w:outlineLvl w:val="0"/>
        <w:rPr>
          <w:rFonts w:hint="eastAsia" w:ascii="仿宋_GB2312" w:hAnsi="仿宋_GB2312" w:cs="仿宋_GB2312"/>
          <w:szCs w:val="32"/>
        </w:rPr>
      </w:pPr>
      <w:r>
        <w:rPr>
          <w:rFonts w:hint="eastAsia" w:ascii="仿宋_GB2312" w:hAnsi="仿宋_GB2312" w:cs="仿宋_GB2312"/>
          <w:szCs w:val="32"/>
        </w:rPr>
        <w:t>我单位将按照《中华人民共和国政府采购法》有关规定配合采购人做好各项工作，履行相关权利义务，现已将落实预算XXX万元。项目采购完成后，由采购人/我单位负责签订合同、开展履约验收。</w:t>
      </w:r>
    </w:p>
    <w:p>
      <w:pPr>
        <w:rPr>
          <w:rFonts w:hint="eastAsia" w:ascii="仿宋_GB2312" w:hAnsi="仿宋_GB2312" w:cs="仿宋_GB2312"/>
          <w:szCs w:val="32"/>
        </w:rPr>
      </w:pPr>
    </w:p>
    <w:p>
      <w:pPr>
        <w:rPr>
          <w:rFonts w:hint="eastAsia" w:ascii="仿宋_GB2312" w:hAnsi="仿宋_GB2312" w:cs="仿宋_GB2312"/>
          <w:szCs w:val="32"/>
        </w:rPr>
      </w:pPr>
    </w:p>
    <w:p>
      <w:pPr>
        <w:rPr>
          <w:rFonts w:hint="eastAsia" w:ascii="仿宋_GB2312" w:hAnsi="仿宋_GB2312" w:cs="仿宋_GB2312"/>
          <w:szCs w:val="32"/>
        </w:rPr>
      </w:pPr>
      <w:r>
        <w:rPr>
          <w:rFonts w:hint="eastAsia" w:ascii="仿宋_GB2312" w:hAnsi="仿宋_GB2312" w:cs="仿宋_GB2312"/>
          <w:szCs w:val="32"/>
        </w:rPr>
        <w:t xml:space="preserve">                                XXX单位</w:t>
      </w:r>
    </w:p>
    <w:p>
      <w:pPr>
        <w:rPr>
          <w:rFonts w:hint="eastAsia" w:ascii="黑体" w:hAnsi="黑体" w:eastAsia="黑体" w:cs="黑体"/>
          <w:szCs w:val="32"/>
        </w:rPr>
      </w:pPr>
      <w:r>
        <w:rPr>
          <w:rFonts w:hint="eastAsia" w:ascii="仿宋_GB2312" w:hAnsi="仿宋_GB2312" w:cs="仿宋_GB2312"/>
          <w:szCs w:val="32"/>
        </w:rPr>
        <w:t xml:space="preserve">                              年   月   日</w:t>
      </w:r>
      <w:r>
        <w:rPr>
          <w:rFonts w:hint="eastAsia" w:ascii="黑体" w:hAnsi="黑体" w:eastAsia="黑体" w:cs="黑体"/>
          <w:szCs w:val="32"/>
        </w:rPr>
        <w:br w:type="page"/>
      </w:r>
      <w:r>
        <w:rPr>
          <w:rFonts w:hint="eastAsia" w:ascii="黑体" w:hAnsi="黑体" w:eastAsia="黑体" w:cs="黑体"/>
          <w:szCs w:val="32"/>
        </w:rPr>
        <w:t>附件6</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商城超标采购备案表</w:t>
      </w:r>
    </w:p>
    <w:tbl>
      <w:tblPr>
        <w:tblStyle w:val="4"/>
        <w:tblpPr w:leftFromText="180" w:rightFromText="180" w:vertAnchor="text" w:horzAnchor="page" w:tblpX="1552" w:tblpY="668"/>
        <w:tblOverlap w:val="never"/>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2716"/>
        <w:gridCol w:w="2631"/>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1"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采购单位</w:t>
            </w:r>
          </w:p>
        </w:tc>
        <w:tc>
          <w:tcPr>
            <w:tcW w:w="7435" w:type="dxa"/>
            <w:gridSpan w:val="3"/>
            <w:noWrap w:val="0"/>
            <w:vAlign w:val="top"/>
          </w:tcPr>
          <w:p>
            <w:pP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31"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采购品目</w:t>
            </w:r>
          </w:p>
        </w:tc>
        <w:tc>
          <w:tcPr>
            <w:tcW w:w="7435" w:type="dxa"/>
            <w:gridSpan w:val="3"/>
            <w:noWrap w:val="0"/>
            <w:vAlign w:val="top"/>
          </w:tcPr>
          <w:p>
            <w:pP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1"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预算单价</w:t>
            </w:r>
          </w:p>
        </w:tc>
        <w:tc>
          <w:tcPr>
            <w:tcW w:w="2716" w:type="dxa"/>
            <w:noWrap w:val="0"/>
            <w:vAlign w:val="top"/>
          </w:tcPr>
          <w:p>
            <w:pPr>
              <w:rPr>
                <w:rFonts w:hint="eastAsia" w:ascii="仿宋_GB2312" w:hAnsi="仿宋_GB2312" w:cs="仿宋_GB2312"/>
                <w:sz w:val="30"/>
                <w:szCs w:val="30"/>
              </w:rPr>
            </w:pPr>
            <w:r>
              <w:rPr>
                <w:rFonts w:hint="eastAsia" w:ascii="仿宋_GB2312" w:hAnsi="仿宋_GB2312" w:cs="仿宋_GB2312"/>
                <w:sz w:val="30"/>
                <w:szCs w:val="30"/>
              </w:rPr>
              <w:t xml:space="preserve">            元</w:t>
            </w:r>
          </w:p>
        </w:tc>
        <w:tc>
          <w:tcPr>
            <w:tcW w:w="2631" w:type="dxa"/>
            <w:noWrap w:val="0"/>
            <w:vAlign w:val="top"/>
          </w:tcPr>
          <w:p>
            <w:pPr>
              <w:jc w:val="center"/>
              <w:rPr>
                <w:rFonts w:hint="eastAsia" w:ascii="黑体" w:hAnsi="黑体" w:eastAsia="黑体" w:cs="黑体"/>
                <w:sz w:val="30"/>
                <w:szCs w:val="30"/>
              </w:rPr>
            </w:pPr>
            <w:r>
              <w:rPr>
                <w:rFonts w:hint="eastAsia" w:ascii="黑体" w:hAnsi="黑体" w:eastAsia="黑体" w:cs="黑体"/>
                <w:sz w:val="30"/>
                <w:szCs w:val="30"/>
              </w:rPr>
              <w:t>配置标准</w:t>
            </w:r>
          </w:p>
        </w:tc>
        <w:tc>
          <w:tcPr>
            <w:tcW w:w="2088" w:type="dxa"/>
            <w:noWrap w:val="0"/>
            <w:vAlign w:val="center"/>
          </w:tcPr>
          <w:p>
            <w:pPr>
              <w:jc w:val="right"/>
              <w:rPr>
                <w:rFonts w:hint="eastAsia" w:ascii="仿宋_GB2312" w:hAnsi="仿宋_GB2312" w:cs="仿宋_GB2312"/>
                <w:sz w:val="30"/>
                <w:szCs w:val="30"/>
              </w:rPr>
            </w:pPr>
            <w:r>
              <w:rPr>
                <w:rFonts w:hint="eastAsia" w:ascii="仿宋_GB2312" w:hAnsi="仿宋_GB2312" w:cs="仿宋_GB2312"/>
                <w:sz w:val="30"/>
                <w:szCs w:val="30"/>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1" w:type="dxa"/>
            <w:noWrap w:val="0"/>
            <w:vAlign w:val="center"/>
          </w:tcPr>
          <w:p>
            <w:pPr>
              <w:rPr>
                <w:rFonts w:hint="eastAsia" w:ascii="黑体" w:hAnsi="黑体" w:eastAsia="黑体" w:cs="黑体"/>
                <w:sz w:val="30"/>
                <w:szCs w:val="30"/>
              </w:rPr>
            </w:pPr>
            <w:r>
              <w:rPr>
                <w:rFonts w:hint="eastAsia" w:ascii="黑体" w:hAnsi="黑体" w:eastAsia="黑体" w:cs="黑体"/>
                <w:sz w:val="30"/>
                <w:szCs w:val="30"/>
              </w:rPr>
              <w:t xml:space="preserve"> 采购数量</w:t>
            </w:r>
          </w:p>
        </w:tc>
        <w:tc>
          <w:tcPr>
            <w:tcW w:w="2716" w:type="dxa"/>
            <w:noWrap w:val="0"/>
            <w:vAlign w:val="center"/>
          </w:tcPr>
          <w:p>
            <w:pPr>
              <w:rPr>
                <w:rFonts w:hint="eastAsia" w:ascii="仿宋_GB2312" w:hAnsi="仿宋_GB2312" w:cs="仿宋_GB2312"/>
                <w:sz w:val="30"/>
                <w:szCs w:val="30"/>
              </w:rPr>
            </w:pPr>
          </w:p>
        </w:tc>
        <w:tc>
          <w:tcPr>
            <w:tcW w:w="2631"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项目预算</w:t>
            </w:r>
          </w:p>
        </w:tc>
        <w:tc>
          <w:tcPr>
            <w:tcW w:w="2088" w:type="dxa"/>
            <w:noWrap w:val="0"/>
            <w:vAlign w:val="center"/>
          </w:tcPr>
          <w:p>
            <w:pPr>
              <w:jc w:val="right"/>
              <w:rPr>
                <w:rFonts w:hint="eastAsia" w:ascii="仿宋_GB2312" w:hAnsi="仿宋_GB2312" w:cs="仿宋_GB2312"/>
                <w:sz w:val="30"/>
                <w:szCs w:val="30"/>
              </w:rPr>
            </w:pPr>
            <w:r>
              <w:rPr>
                <w:rFonts w:hint="eastAsia" w:ascii="仿宋_GB2312" w:hAnsi="仿宋_GB2312" w:cs="仿宋_GB2312"/>
                <w:sz w:val="30"/>
                <w:szCs w:val="30"/>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31"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应用场景</w:t>
            </w:r>
          </w:p>
        </w:tc>
        <w:tc>
          <w:tcPr>
            <w:tcW w:w="7435" w:type="dxa"/>
            <w:gridSpan w:val="3"/>
            <w:noWrap w:val="0"/>
            <w:vAlign w:val="top"/>
          </w:tcPr>
          <w:p>
            <w:pP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731" w:type="dxa"/>
            <w:noWrap w:val="0"/>
            <w:vAlign w:val="center"/>
          </w:tcPr>
          <w:p>
            <w:pPr>
              <w:jc w:val="center"/>
              <w:rPr>
                <w:rFonts w:hint="eastAsia" w:ascii="黑体" w:hAnsi="黑体" w:eastAsia="黑体" w:cs="黑体"/>
                <w:sz w:val="30"/>
                <w:szCs w:val="30"/>
              </w:rPr>
            </w:pPr>
            <w:r>
              <w:rPr>
                <w:rFonts w:hint="eastAsia" w:ascii="黑体" w:hAnsi="黑体" w:eastAsia="黑体" w:cs="黑体"/>
                <w:sz w:val="30"/>
                <w:szCs w:val="30"/>
              </w:rPr>
              <w:t>超标采购</w:t>
            </w:r>
          </w:p>
          <w:p>
            <w:pPr>
              <w:jc w:val="center"/>
              <w:rPr>
                <w:rFonts w:hint="eastAsia" w:ascii="黑体" w:hAnsi="黑体" w:eastAsia="黑体" w:cs="黑体"/>
                <w:sz w:val="30"/>
                <w:szCs w:val="30"/>
              </w:rPr>
            </w:pPr>
            <w:r>
              <w:rPr>
                <w:rFonts w:hint="eastAsia" w:ascii="黑体" w:hAnsi="黑体" w:eastAsia="黑体" w:cs="黑体"/>
                <w:sz w:val="30"/>
                <w:szCs w:val="30"/>
              </w:rPr>
              <w:t>理    由</w:t>
            </w:r>
          </w:p>
        </w:tc>
        <w:tc>
          <w:tcPr>
            <w:tcW w:w="7435" w:type="dxa"/>
            <w:gridSpan w:val="3"/>
            <w:noWrap w:val="0"/>
            <w:vAlign w:val="center"/>
          </w:tcPr>
          <w:p>
            <w:pP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1731" w:type="dxa"/>
            <w:noWrap w:val="0"/>
            <w:vAlign w:val="center"/>
          </w:tcPr>
          <w:p>
            <w:pPr>
              <w:jc w:val="center"/>
              <w:rPr>
                <w:rFonts w:ascii="黑体" w:hAnsi="黑体" w:eastAsia="黑体" w:cs="黑体"/>
                <w:sz w:val="30"/>
                <w:szCs w:val="30"/>
              </w:rPr>
            </w:pPr>
            <w:r>
              <w:rPr>
                <w:rFonts w:hint="eastAsia" w:ascii="黑体" w:hAnsi="黑体" w:eastAsia="黑体" w:cs="黑体"/>
                <w:sz w:val="30"/>
                <w:szCs w:val="30"/>
              </w:rPr>
              <w:t>国有资产管理处（科、股）室意见</w:t>
            </w:r>
          </w:p>
        </w:tc>
        <w:tc>
          <w:tcPr>
            <w:tcW w:w="7435" w:type="dxa"/>
            <w:gridSpan w:val="3"/>
            <w:noWrap w:val="0"/>
            <w:vAlign w:val="center"/>
          </w:tcPr>
          <w:p>
            <w:pPr>
              <w:rPr>
                <w:rFonts w:hint="eastAsia" w:ascii="仿宋_GB2312" w:hAnsi="仿宋_GB2312" w:cs="仿宋_GB2312"/>
                <w:sz w:val="30"/>
                <w:szCs w:val="30"/>
              </w:rPr>
            </w:pPr>
          </w:p>
        </w:tc>
      </w:tr>
    </w:tbl>
    <w:p>
      <w:pPr>
        <w:spacing w:line="560" w:lineRule="exact"/>
        <w:outlineLvl w:val="0"/>
        <w:rPr>
          <w:rFonts w:hint="eastAsia" w:ascii="仿宋_GB2312" w:hAnsi="仿宋_GB2312" w:cs="仿宋_GB2312"/>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r>
        <w:rPr>
          <w:rFonts w:hint="eastAsia" w:ascii="黑体" w:hAnsi="黑体" w:eastAsia="黑体" w:cs="黑体"/>
          <w:szCs w:val="32"/>
        </w:rPr>
        <w:t>附件7</w:t>
      </w:r>
    </w:p>
    <w:p>
      <w:pPr>
        <w:spacing w:line="560" w:lineRule="exact"/>
        <w:outlineLvl w:val="0"/>
        <w:rPr>
          <w:rFonts w:hint="eastAsia" w:ascii="黑体" w:hAnsi="黑体" w:eastAsia="黑体" w:cs="黑体"/>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单一来源采购方式专业人员论证意见</w:t>
      </w:r>
    </w:p>
    <w:p>
      <w:pPr>
        <w:spacing w:line="560" w:lineRule="exact"/>
        <w:jc w:val="center"/>
        <w:rPr>
          <w:rFonts w:hint="eastAsia" w:ascii="方正小标宋简体" w:hAnsi="方正小标宋简体" w:eastAsia="方正小标宋简体" w:cs="方正小标宋简体"/>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3312"/>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vMerge w:val="restart"/>
            <w:noWrap w:val="0"/>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专业人员</w:t>
            </w:r>
          </w:p>
          <w:p>
            <w:pPr>
              <w:jc w:val="center"/>
              <w:rPr>
                <w:rFonts w:hint="eastAsia" w:ascii="黑体" w:hAnsi="黑体" w:eastAsia="黑体" w:cs="黑体"/>
                <w:kern w:val="0"/>
                <w:sz w:val="28"/>
                <w:szCs w:val="28"/>
              </w:rPr>
            </w:pPr>
            <w:r>
              <w:rPr>
                <w:rFonts w:hint="eastAsia" w:ascii="黑体" w:hAnsi="黑体" w:eastAsia="黑体" w:cs="黑体"/>
                <w:kern w:val="0"/>
                <w:sz w:val="28"/>
                <w:szCs w:val="28"/>
              </w:rPr>
              <w:t>信    息</w:t>
            </w:r>
          </w:p>
        </w:tc>
        <w:tc>
          <w:tcPr>
            <w:tcW w:w="6543" w:type="dxa"/>
            <w:gridSpan w:val="2"/>
            <w:noWrap w:val="0"/>
            <w:vAlign w:val="top"/>
          </w:tcPr>
          <w:p>
            <w:pPr>
              <w:rPr>
                <w:rFonts w:ascii="仿宋" w:hAnsi="仿宋" w:eastAsia="仿宋"/>
                <w:kern w:val="0"/>
                <w:sz w:val="28"/>
                <w:szCs w:val="28"/>
              </w:rPr>
            </w:pPr>
            <w:r>
              <w:rPr>
                <w:rFonts w:hint="eastAsia" w:ascii="仿宋" w:hAnsi="仿宋" w:eastAsia="仿宋"/>
                <w:kern w:val="0"/>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53" w:type="dxa"/>
            <w:vMerge w:val="continue"/>
            <w:noWrap w:val="0"/>
            <w:vAlign w:val="center"/>
          </w:tcPr>
          <w:p>
            <w:pPr>
              <w:jc w:val="center"/>
              <w:rPr>
                <w:rFonts w:hint="eastAsia" w:ascii="黑体" w:hAnsi="黑体" w:eastAsia="黑体" w:cs="黑体"/>
                <w:kern w:val="0"/>
                <w:sz w:val="28"/>
                <w:szCs w:val="28"/>
              </w:rPr>
            </w:pPr>
          </w:p>
        </w:tc>
        <w:tc>
          <w:tcPr>
            <w:tcW w:w="6543" w:type="dxa"/>
            <w:gridSpan w:val="2"/>
            <w:noWrap w:val="0"/>
            <w:vAlign w:val="top"/>
          </w:tcPr>
          <w:p>
            <w:pPr>
              <w:rPr>
                <w:rFonts w:ascii="仿宋" w:hAnsi="仿宋" w:eastAsia="仿宋"/>
                <w:kern w:val="0"/>
                <w:sz w:val="28"/>
                <w:szCs w:val="28"/>
              </w:rPr>
            </w:pPr>
            <w:r>
              <w:rPr>
                <w:rFonts w:hint="eastAsia" w:ascii="仿宋" w:hAnsi="仿宋" w:eastAsia="仿宋"/>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53" w:type="dxa"/>
            <w:vMerge w:val="continue"/>
            <w:noWrap w:val="0"/>
            <w:vAlign w:val="center"/>
          </w:tcPr>
          <w:p>
            <w:pPr>
              <w:jc w:val="center"/>
              <w:rPr>
                <w:rFonts w:hint="eastAsia" w:ascii="黑体" w:hAnsi="黑体" w:eastAsia="黑体" w:cs="黑体"/>
                <w:kern w:val="0"/>
                <w:sz w:val="28"/>
                <w:szCs w:val="28"/>
              </w:rPr>
            </w:pPr>
          </w:p>
        </w:tc>
        <w:tc>
          <w:tcPr>
            <w:tcW w:w="6543" w:type="dxa"/>
            <w:gridSpan w:val="2"/>
            <w:noWrap w:val="0"/>
            <w:vAlign w:val="top"/>
          </w:tcPr>
          <w:p>
            <w:pPr>
              <w:rPr>
                <w:rFonts w:ascii="仿宋" w:hAnsi="仿宋" w:eastAsia="仿宋"/>
                <w:kern w:val="0"/>
                <w:sz w:val="28"/>
                <w:szCs w:val="28"/>
              </w:rPr>
            </w:pPr>
            <w:r>
              <w:rPr>
                <w:rFonts w:hint="eastAsia" w:ascii="仿宋" w:hAnsi="仿宋" w:eastAsia="仿宋"/>
                <w:kern w:val="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vMerge w:val="restart"/>
            <w:noWrap w:val="0"/>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项目信息</w:t>
            </w:r>
          </w:p>
        </w:tc>
        <w:tc>
          <w:tcPr>
            <w:tcW w:w="6543" w:type="dxa"/>
            <w:gridSpan w:val="2"/>
            <w:noWrap w:val="0"/>
            <w:vAlign w:val="top"/>
          </w:tcPr>
          <w:p>
            <w:pPr>
              <w:rPr>
                <w:rFonts w:ascii="仿宋" w:hAnsi="仿宋" w:eastAsia="仿宋"/>
                <w:kern w:val="0"/>
                <w:sz w:val="28"/>
                <w:szCs w:val="28"/>
              </w:rPr>
            </w:pPr>
            <w:r>
              <w:rPr>
                <w:rFonts w:hint="eastAsia" w:ascii="仿宋" w:hAnsi="仿宋" w:eastAsia="仿宋"/>
                <w:kern w:val="0"/>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vMerge w:val="continue"/>
            <w:noWrap w:val="0"/>
            <w:vAlign w:val="center"/>
          </w:tcPr>
          <w:p>
            <w:pPr>
              <w:jc w:val="center"/>
              <w:rPr>
                <w:rFonts w:hint="eastAsia" w:ascii="黑体" w:hAnsi="黑体" w:eastAsia="黑体" w:cs="黑体"/>
                <w:kern w:val="0"/>
                <w:sz w:val="28"/>
                <w:szCs w:val="28"/>
              </w:rPr>
            </w:pPr>
          </w:p>
        </w:tc>
        <w:tc>
          <w:tcPr>
            <w:tcW w:w="6543" w:type="dxa"/>
            <w:gridSpan w:val="2"/>
            <w:noWrap w:val="0"/>
            <w:vAlign w:val="top"/>
          </w:tcPr>
          <w:p>
            <w:pPr>
              <w:rPr>
                <w:rFonts w:ascii="仿宋" w:hAnsi="仿宋" w:eastAsia="仿宋"/>
                <w:kern w:val="0"/>
                <w:sz w:val="28"/>
                <w:szCs w:val="28"/>
              </w:rPr>
            </w:pPr>
            <w:r>
              <w:rPr>
                <w:rFonts w:hint="eastAsia" w:ascii="仿宋" w:hAnsi="仿宋" w:eastAsia="仿宋"/>
                <w:kern w:val="0"/>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9" w:hRule="atLeast"/>
          <w:jc w:val="center"/>
        </w:trPr>
        <w:tc>
          <w:tcPr>
            <w:tcW w:w="1953" w:type="dxa"/>
            <w:noWrap w:val="0"/>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专业人员</w:t>
            </w:r>
          </w:p>
          <w:p>
            <w:pPr>
              <w:jc w:val="center"/>
              <w:rPr>
                <w:rFonts w:hint="eastAsia" w:ascii="黑体" w:hAnsi="黑体" w:eastAsia="黑体" w:cs="黑体"/>
                <w:kern w:val="0"/>
                <w:sz w:val="28"/>
                <w:szCs w:val="28"/>
              </w:rPr>
            </w:pPr>
            <w:r>
              <w:rPr>
                <w:rFonts w:hint="eastAsia" w:ascii="黑体" w:hAnsi="黑体" w:eastAsia="黑体" w:cs="黑体"/>
                <w:kern w:val="0"/>
                <w:sz w:val="28"/>
                <w:szCs w:val="28"/>
              </w:rPr>
              <w:t>论证意见</w:t>
            </w:r>
          </w:p>
        </w:tc>
        <w:tc>
          <w:tcPr>
            <w:tcW w:w="6543" w:type="dxa"/>
            <w:gridSpan w:val="2"/>
            <w:noWrap w:val="0"/>
            <w:vAlign w:val="top"/>
          </w:tcPr>
          <w:p>
            <w:pPr>
              <w:rPr>
                <w:rFonts w:ascii="仿宋" w:hAnsi="仿宋" w:eastAsia="仿宋"/>
                <w:kern w:val="0"/>
                <w:sz w:val="28"/>
                <w:szCs w:val="28"/>
                <w:u w:val="single"/>
              </w:rPr>
            </w:pPr>
            <w:r>
              <w:rPr>
                <w:rFonts w:hint="eastAsia" w:ascii="仿宋" w:hAnsi="仿宋" w:eastAsia="仿宋"/>
                <w:kern w:val="0"/>
                <w:sz w:val="28"/>
                <w:szCs w:val="28"/>
                <w:u w:val="single"/>
              </w:rPr>
              <w:t>(</w:t>
            </w:r>
            <w:r>
              <w:rPr>
                <w:rFonts w:hint="eastAsia" w:ascii="仿宋" w:hAnsi="仿宋" w:eastAsia="仿宋" w:cs="宋体"/>
                <w:i/>
                <w:iCs/>
                <w:kern w:val="0"/>
                <w:sz w:val="29"/>
                <w:szCs w:val="29"/>
                <w:u w:val="single"/>
              </w:rPr>
              <w:t>专业人员论证意见应当完整、清晰和明确的表达从唯一供应商处采购的理由</w:t>
            </w:r>
            <w:r>
              <w:rPr>
                <w:rFonts w:hint="eastAsia" w:ascii="仿宋" w:hAnsi="仿宋" w:eastAsia="仿宋"/>
                <w:kern w:val="0"/>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专业人员</w:t>
            </w:r>
          </w:p>
          <w:p>
            <w:pPr>
              <w:jc w:val="center"/>
              <w:rPr>
                <w:rFonts w:hint="eastAsia" w:ascii="黑体" w:hAnsi="黑体" w:eastAsia="黑体" w:cs="黑体"/>
                <w:kern w:val="0"/>
                <w:sz w:val="28"/>
                <w:szCs w:val="28"/>
              </w:rPr>
            </w:pPr>
            <w:r>
              <w:rPr>
                <w:rFonts w:hint="eastAsia" w:ascii="黑体" w:hAnsi="黑体" w:eastAsia="黑体" w:cs="黑体"/>
                <w:kern w:val="0"/>
                <w:sz w:val="28"/>
                <w:szCs w:val="28"/>
              </w:rPr>
              <w:t>签    字</w:t>
            </w:r>
          </w:p>
        </w:tc>
        <w:tc>
          <w:tcPr>
            <w:tcW w:w="3312" w:type="dxa"/>
            <w:noWrap w:val="0"/>
            <w:vAlign w:val="top"/>
          </w:tcPr>
          <w:p>
            <w:pPr>
              <w:rPr>
                <w:rFonts w:ascii="仿宋" w:hAnsi="仿宋" w:eastAsia="仿宋"/>
                <w:kern w:val="0"/>
                <w:sz w:val="28"/>
                <w:szCs w:val="28"/>
              </w:rPr>
            </w:pPr>
          </w:p>
        </w:tc>
        <w:tc>
          <w:tcPr>
            <w:tcW w:w="3231" w:type="dxa"/>
            <w:noWrap w:val="0"/>
            <w:vAlign w:val="center"/>
          </w:tcPr>
          <w:p>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年 月 日</w:t>
            </w:r>
          </w:p>
        </w:tc>
      </w:tr>
    </w:tbl>
    <w:p>
      <w:pPr>
        <w:rPr>
          <w:rFonts w:hint="eastAsia" w:ascii="黑体" w:hAnsi="黑体" w:eastAsia="黑体" w:cs="黑体"/>
          <w:szCs w:val="32"/>
        </w:rPr>
      </w:pPr>
      <w:r>
        <w:rPr>
          <w:rFonts w:hint="eastAsia" w:ascii="仿宋" w:hAnsi="仿宋" w:eastAsia="仿宋"/>
          <w:sz w:val="28"/>
          <w:szCs w:val="28"/>
        </w:rPr>
        <w:t>注：本表格中专业人员论证意见由专业人员手工填写。</w:t>
      </w:r>
      <w:r>
        <w:rPr>
          <w:rFonts w:hint="eastAsia" w:ascii="仿宋_GB2312" w:hAnsi="仿宋_GB2312" w:cs="仿宋_GB2312"/>
          <w:szCs w:val="32"/>
        </w:rPr>
        <w:br w:type="page"/>
      </w:r>
      <w:r>
        <w:rPr>
          <w:rFonts w:hint="eastAsia" w:ascii="黑体" w:hAnsi="黑体" w:eastAsia="黑体" w:cs="黑体"/>
          <w:szCs w:val="32"/>
        </w:rPr>
        <w:t>附件8</w:t>
      </w:r>
    </w:p>
    <w:p>
      <w:pPr>
        <w:outlineLvl w:val="0"/>
        <w:rPr>
          <w:rFonts w:hint="eastAsia" w:ascii="黑体" w:hAnsi="黑体" w:eastAsia="黑体" w:cs="黑体"/>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政府采购进口产品申请表</w:t>
      </w:r>
    </w:p>
    <w:p>
      <w:pPr>
        <w:spacing w:line="560" w:lineRule="exact"/>
        <w:jc w:val="center"/>
        <w:rPr>
          <w:rFonts w:hint="eastAsia" w:ascii="方正小标宋简体" w:hAnsi="方正小标宋简体" w:eastAsia="方正小标宋简体" w:cs="方正小标宋简体"/>
          <w:sz w:val="44"/>
          <w:szCs w:val="4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1"/>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41"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申请单位</w:t>
            </w:r>
          </w:p>
        </w:tc>
        <w:tc>
          <w:tcPr>
            <w:tcW w:w="5319" w:type="dxa"/>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41"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申请文件名称</w:t>
            </w:r>
          </w:p>
        </w:tc>
        <w:tc>
          <w:tcPr>
            <w:tcW w:w="5319" w:type="dxa"/>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41"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申请文号</w:t>
            </w:r>
          </w:p>
        </w:tc>
        <w:tc>
          <w:tcPr>
            <w:tcW w:w="5319" w:type="dxa"/>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41"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采购项目名称</w:t>
            </w:r>
          </w:p>
        </w:tc>
        <w:tc>
          <w:tcPr>
            <w:tcW w:w="5319" w:type="dxa"/>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41"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采购项目金额</w:t>
            </w:r>
          </w:p>
        </w:tc>
        <w:tc>
          <w:tcPr>
            <w:tcW w:w="5319" w:type="dxa"/>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41"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采购项目所属项目名称</w:t>
            </w:r>
          </w:p>
        </w:tc>
        <w:tc>
          <w:tcPr>
            <w:tcW w:w="5319" w:type="dxa"/>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41"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采购项目所属项目金额</w:t>
            </w:r>
          </w:p>
        </w:tc>
        <w:tc>
          <w:tcPr>
            <w:tcW w:w="5319"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41"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项目使用单位</w:t>
            </w:r>
          </w:p>
        </w:tc>
        <w:tc>
          <w:tcPr>
            <w:tcW w:w="5319"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41"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项目组织单位</w:t>
            </w:r>
          </w:p>
        </w:tc>
        <w:tc>
          <w:tcPr>
            <w:tcW w:w="5319"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3241" w:type="dxa"/>
            <w:vMerge w:val="restart"/>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申</w:t>
            </w: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请</w:t>
            </w: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理</w:t>
            </w:r>
          </w:p>
          <w:p>
            <w:pPr>
              <w:jc w:val="center"/>
              <w:rPr>
                <w:rFonts w:hint="eastAsia" w:ascii="黑体" w:hAnsi="黑体" w:eastAsia="黑体" w:cs="黑体"/>
                <w:sz w:val="28"/>
                <w:szCs w:val="28"/>
              </w:rPr>
            </w:pPr>
          </w:p>
          <w:p>
            <w:pPr>
              <w:jc w:val="center"/>
              <w:rPr>
                <w:rFonts w:hint="eastAsia" w:ascii="仿宋" w:hAnsi="仿宋" w:eastAsia="仿宋"/>
                <w:sz w:val="28"/>
                <w:szCs w:val="28"/>
              </w:rPr>
            </w:pPr>
            <w:r>
              <w:rPr>
                <w:rFonts w:hint="eastAsia" w:ascii="黑体" w:hAnsi="黑体" w:eastAsia="黑体" w:cs="黑体"/>
                <w:sz w:val="28"/>
                <w:szCs w:val="28"/>
              </w:rPr>
              <w:t>由</w:t>
            </w:r>
          </w:p>
        </w:tc>
        <w:tc>
          <w:tcPr>
            <w:tcW w:w="5319" w:type="dxa"/>
            <w:noWrap w:val="0"/>
            <w:vAlign w:val="top"/>
          </w:tcPr>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3241" w:type="dxa"/>
            <w:vMerge w:val="continue"/>
            <w:noWrap w:val="0"/>
            <w:vAlign w:val="center"/>
          </w:tcPr>
          <w:p>
            <w:pPr>
              <w:jc w:val="center"/>
              <w:rPr>
                <w:rFonts w:hint="eastAsia" w:ascii="黑体" w:hAnsi="黑体" w:eastAsia="黑体" w:cs="黑体"/>
                <w:sz w:val="28"/>
                <w:szCs w:val="28"/>
              </w:rPr>
            </w:pPr>
          </w:p>
        </w:tc>
        <w:tc>
          <w:tcPr>
            <w:tcW w:w="5319" w:type="dxa"/>
            <w:noWrap w:val="0"/>
            <w:vAlign w:val="center"/>
          </w:tcPr>
          <w:p>
            <w:pPr>
              <w:jc w:val="center"/>
              <w:rPr>
                <w:rFonts w:hint="eastAsia" w:ascii="仿宋" w:hAnsi="仿宋" w:eastAsia="仿宋"/>
                <w:sz w:val="28"/>
                <w:szCs w:val="28"/>
              </w:rPr>
            </w:pPr>
            <w:r>
              <w:rPr>
                <w:rFonts w:hint="eastAsia" w:ascii="仿宋" w:hAnsi="仿宋" w:eastAsia="仿宋"/>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241" w:type="dxa"/>
            <w:vMerge w:val="continue"/>
            <w:noWrap w:val="0"/>
            <w:vAlign w:val="center"/>
          </w:tcPr>
          <w:p>
            <w:pPr>
              <w:jc w:val="center"/>
              <w:rPr>
                <w:rFonts w:hint="eastAsia" w:ascii="黑体" w:hAnsi="黑体" w:eastAsia="黑体" w:cs="黑体"/>
                <w:sz w:val="28"/>
                <w:szCs w:val="28"/>
              </w:rPr>
            </w:pPr>
          </w:p>
        </w:tc>
        <w:tc>
          <w:tcPr>
            <w:tcW w:w="5319" w:type="dxa"/>
            <w:noWrap w:val="0"/>
            <w:vAlign w:val="center"/>
          </w:tcPr>
          <w:p>
            <w:pPr>
              <w:jc w:val="center"/>
              <w:rPr>
                <w:rFonts w:hint="eastAsia" w:ascii="仿宋" w:hAnsi="仿宋" w:eastAsia="仿宋"/>
                <w:sz w:val="28"/>
                <w:szCs w:val="28"/>
              </w:rPr>
            </w:pPr>
            <w:r>
              <w:rPr>
                <w:rFonts w:hint="eastAsia" w:ascii="仿宋" w:hAnsi="仿宋" w:eastAsia="仿宋"/>
                <w:sz w:val="28"/>
                <w:szCs w:val="28"/>
              </w:rPr>
              <w:t>年  月  日</w:t>
            </w:r>
          </w:p>
        </w:tc>
      </w:tr>
    </w:tbl>
    <w:p>
      <w:pPr>
        <w:widowControl/>
        <w:spacing w:line="560" w:lineRule="exact"/>
        <w:jc w:val="center"/>
        <w:rPr>
          <w:rFonts w:hint="eastAsia" w:ascii="方正小标宋简体" w:hAnsi="方正小标宋简体" w:eastAsia="方正小标宋简体" w:cs="方正小标宋简体"/>
          <w:b w:val="0"/>
          <w:bCs w:val="0"/>
          <w:kern w:val="0"/>
          <w:sz w:val="44"/>
          <w:szCs w:val="44"/>
        </w:rPr>
      </w:pP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p>
    <w:p>
      <w:pPr>
        <w:widowControl/>
        <w:spacing w:line="560" w:lineRule="exact"/>
        <w:jc w:val="center"/>
        <w:rPr>
          <w:rFonts w:hint="eastAsia" w:ascii="方正小标宋_GBK" w:hAnsi="方正小标宋_GBK" w:eastAsia="方正小标宋_GBK" w:cs="方正小标宋_GBK"/>
          <w:color w:val="000000"/>
          <w:kern w:val="0"/>
          <w:sz w:val="44"/>
          <w:szCs w:val="44"/>
        </w:rPr>
      </w:pPr>
      <w:r>
        <w:rPr>
          <w:rFonts w:hint="eastAsia" w:ascii="方正小标宋简体" w:hAnsi="方正小标宋简体" w:eastAsia="方正小标宋简体" w:cs="方正小标宋简体"/>
          <w:b w:val="0"/>
          <w:bCs w:val="0"/>
          <w:kern w:val="0"/>
          <w:sz w:val="44"/>
          <w:szCs w:val="44"/>
        </w:rPr>
        <w:t>政府采购进口产品所属行业主管部门意见</w:t>
      </w:r>
    </w:p>
    <w:p>
      <w:pPr>
        <w:widowControl/>
        <w:spacing w:line="560" w:lineRule="exact"/>
        <w:rPr>
          <w:rFonts w:hint="eastAsia" w:ascii="方正小标宋_GBK" w:hAnsi="方正小标宋_GBK" w:eastAsia="方正小标宋_GBK" w:cs="方正小标宋_GBK"/>
          <w:color w:val="000000"/>
          <w:kern w:val="0"/>
          <w:sz w:val="44"/>
          <w:szCs w:val="44"/>
        </w:rPr>
      </w:pPr>
    </w:p>
    <w:tbl>
      <w:tblPr>
        <w:tblStyle w:val="3"/>
        <w:tblW w:w="0" w:type="auto"/>
        <w:jc w:val="center"/>
        <w:tblLayout w:type="fixed"/>
        <w:tblCellMar>
          <w:top w:w="0" w:type="dxa"/>
          <w:left w:w="108" w:type="dxa"/>
          <w:bottom w:w="0" w:type="dxa"/>
          <w:right w:w="108" w:type="dxa"/>
        </w:tblCellMar>
      </w:tblPr>
      <w:tblGrid>
        <w:gridCol w:w="2845"/>
        <w:gridCol w:w="5274"/>
      </w:tblGrid>
      <w:tr>
        <w:tblPrEx>
          <w:tblCellMar>
            <w:top w:w="0" w:type="dxa"/>
            <w:left w:w="108" w:type="dxa"/>
            <w:bottom w:w="0" w:type="dxa"/>
            <w:right w:w="108" w:type="dxa"/>
          </w:tblCellMar>
        </w:tblPrEx>
        <w:trPr>
          <w:trHeight w:val="510" w:hRule="atLeast"/>
          <w:jc w:val="center"/>
        </w:trPr>
        <w:tc>
          <w:tcPr>
            <w:tcW w:w="8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kern w:val="0"/>
                <w:sz w:val="28"/>
                <w:szCs w:val="28"/>
              </w:rPr>
            </w:pPr>
            <w:r>
              <w:rPr>
                <w:rFonts w:hint="eastAsia" w:ascii="黑体" w:hAnsi="宋体" w:eastAsia="黑体" w:cs="宋体"/>
                <w:kern w:val="0"/>
                <w:sz w:val="28"/>
                <w:szCs w:val="28"/>
              </w:rPr>
              <w:t xml:space="preserve">一、基本情况 </w:t>
            </w:r>
          </w:p>
        </w:tc>
      </w:tr>
      <w:tr>
        <w:tblPrEx>
          <w:tblCellMar>
            <w:top w:w="0" w:type="dxa"/>
            <w:left w:w="108" w:type="dxa"/>
            <w:bottom w:w="0" w:type="dxa"/>
            <w:right w:w="108" w:type="dxa"/>
          </w:tblCellMar>
        </w:tblPrEx>
        <w:trPr>
          <w:trHeight w:val="390" w:hRule="atLeast"/>
          <w:jc w:val="center"/>
        </w:trPr>
        <w:tc>
          <w:tcPr>
            <w:tcW w:w="284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申请单位 </w:t>
            </w:r>
          </w:p>
        </w:tc>
        <w:tc>
          <w:tcPr>
            <w:tcW w:w="5274"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center"/>
              <w:rPr>
                <w:rFonts w:ascii="宋体" w:hAnsi="宋体"/>
                <w:kern w:val="0"/>
                <w:sz w:val="28"/>
                <w:szCs w:val="28"/>
              </w:rPr>
            </w:pPr>
            <w:r>
              <w:rPr>
                <w:rFonts w:ascii="仿宋_GB2312" w:hAnsi="仿宋_GB2312"/>
                <w:kern w:val="0"/>
                <w:sz w:val="28"/>
                <w:szCs w:val="28"/>
              </w:rPr>
              <w:t xml:space="preserve">  </w:t>
            </w:r>
          </w:p>
        </w:tc>
      </w:tr>
      <w:tr>
        <w:tblPrEx>
          <w:tblCellMar>
            <w:top w:w="0" w:type="dxa"/>
            <w:left w:w="108" w:type="dxa"/>
            <w:bottom w:w="0" w:type="dxa"/>
            <w:right w:w="108" w:type="dxa"/>
          </w:tblCellMar>
        </w:tblPrEx>
        <w:trPr>
          <w:trHeight w:val="390" w:hRule="atLeast"/>
          <w:jc w:val="center"/>
        </w:trPr>
        <w:tc>
          <w:tcPr>
            <w:tcW w:w="284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拟采购产品名称 </w:t>
            </w:r>
          </w:p>
        </w:tc>
        <w:tc>
          <w:tcPr>
            <w:tcW w:w="5274"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center"/>
              <w:rPr>
                <w:rFonts w:ascii="宋体" w:hAnsi="宋体"/>
                <w:kern w:val="0"/>
                <w:sz w:val="28"/>
                <w:szCs w:val="28"/>
              </w:rPr>
            </w:pPr>
            <w:r>
              <w:rPr>
                <w:rFonts w:ascii="仿宋_GB2312" w:hAnsi="仿宋_GB2312"/>
                <w:kern w:val="0"/>
                <w:sz w:val="28"/>
                <w:szCs w:val="28"/>
              </w:rPr>
              <w:t xml:space="preserve">  </w:t>
            </w:r>
          </w:p>
        </w:tc>
      </w:tr>
      <w:tr>
        <w:tblPrEx>
          <w:tblCellMar>
            <w:top w:w="0" w:type="dxa"/>
            <w:left w:w="108" w:type="dxa"/>
            <w:bottom w:w="0" w:type="dxa"/>
            <w:right w:w="108" w:type="dxa"/>
          </w:tblCellMar>
        </w:tblPrEx>
        <w:trPr>
          <w:trHeight w:val="390" w:hRule="atLeast"/>
          <w:jc w:val="center"/>
        </w:trPr>
        <w:tc>
          <w:tcPr>
            <w:tcW w:w="284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拟采购产品金额 </w:t>
            </w:r>
          </w:p>
        </w:tc>
        <w:tc>
          <w:tcPr>
            <w:tcW w:w="5274"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center"/>
              <w:rPr>
                <w:rFonts w:ascii="宋体" w:hAnsi="宋体"/>
                <w:kern w:val="0"/>
                <w:sz w:val="28"/>
                <w:szCs w:val="28"/>
              </w:rPr>
            </w:pPr>
            <w:r>
              <w:rPr>
                <w:rFonts w:ascii="仿宋_GB2312" w:hAnsi="仿宋_GB2312"/>
                <w:kern w:val="0"/>
                <w:sz w:val="28"/>
                <w:szCs w:val="28"/>
              </w:rPr>
              <w:t xml:space="preserve">  </w:t>
            </w:r>
          </w:p>
        </w:tc>
      </w:tr>
      <w:tr>
        <w:tblPrEx>
          <w:tblCellMar>
            <w:top w:w="0" w:type="dxa"/>
            <w:left w:w="108" w:type="dxa"/>
            <w:bottom w:w="0" w:type="dxa"/>
            <w:right w:w="108" w:type="dxa"/>
          </w:tblCellMar>
        </w:tblPrEx>
        <w:trPr>
          <w:trHeight w:val="390" w:hRule="atLeast"/>
          <w:jc w:val="center"/>
        </w:trPr>
        <w:tc>
          <w:tcPr>
            <w:tcW w:w="284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采购项目所属项目名称 </w:t>
            </w:r>
          </w:p>
        </w:tc>
        <w:tc>
          <w:tcPr>
            <w:tcW w:w="5274"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left"/>
              <w:rPr>
                <w:rFonts w:ascii="宋体" w:hAnsi="宋体"/>
                <w:kern w:val="0"/>
                <w:sz w:val="28"/>
                <w:szCs w:val="28"/>
              </w:rPr>
            </w:pPr>
            <w:r>
              <w:rPr>
                <w:rFonts w:ascii="仿宋_GB2312" w:hAnsi="仿宋_GB2312"/>
                <w:kern w:val="0"/>
                <w:sz w:val="28"/>
                <w:szCs w:val="28"/>
              </w:rPr>
              <w:t xml:space="preserve">  </w:t>
            </w:r>
          </w:p>
        </w:tc>
      </w:tr>
      <w:tr>
        <w:tblPrEx>
          <w:tblCellMar>
            <w:top w:w="0" w:type="dxa"/>
            <w:left w:w="108" w:type="dxa"/>
            <w:bottom w:w="0" w:type="dxa"/>
            <w:right w:w="108" w:type="dxa"/>
          </w:tblCellMar>
        </w:tblPrEx>
        <w:trPr>
          <w:trHeight w:val="390" w:hRule="atLeast"/>
          <w:jc w:val="center"/>
        </w:trPr>
        <w:tc>
          <w:tcPr>
            <w:tcW w:w="284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采购项目所属项目金额 </w:t>
            </w:r>
          </w:p>
        </w:tc>
        <w:tc>
          <w:tcPr>
            <w:tcW w:w="5274"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left"/>
              <w:rPr>
                <w:rFonts w:ascii="宋体" w:hAnsi="宋体"/>
                <w:kern w:val="0"/>
                <w:sz w:val="28"/>
                <w:szCs w:val="28"/>
              </w:rPr>
            </w:pPr>
            <w:r>
              <w:rPr>
                <w:rFonts w:ascii="仿宋_GB2312" w:hAnsi="仿宋_GB2312"/>
                <w:kern w:val="0"/>
                <w:sz w:val="28"/>
                <w:szCs w:val="28"/>
              </w:rPr>
              <w:t xml:space="preserve">  </w:t>
            </w:r>
          </w:p>
        </w:tc>
      </w:tr>
      <w:tr>
        <w:tblPrEx>
          <w:tblCellMar>
            <w:top w:w="0" w:type="dxa"/>
            <w:left w:w="108" w:type="dxa"/>
            <w:bottom w:w="0" w:type="dxa"/>
            <w:right w:w="108" w:type="dxa"/>
          </w:tblCellMar>
        </w:tblPrEx>
        <w:trPr>
          <w:trHeight w:val="510" w:hRule="atLeast"/>
          <w:jc w:val="center"/>
        </w:trPr>
        <w:tc>
          <w:tcPr>
            <w:tcW w:w="8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kern w:val="0"/>
                <w:sz w:val="28"/>
                <w:szCs w:val="28"/>
              </w:rPr>
            </w:pPr>
            <w:r>
              <w:rPr>
                <w:rFonts w:hint="eastAsia" w:ascii="黑体" w:hAnsi="宋体" w:eastAsia="黑体" w:cs="宋体"/>
                <w:kern w:val="0"/>
                <w:sz w:val="28"/>
                <w:szCs w:val="28"/>
              </w:rPr>
              <w:t xml:space="preserve">二、申请理由 </w:t>
            </w:r>
          </w:p>
        </w:tc>
      </w:tr>
      <w:tr>
        <w:tblPrEx>
          <w:tblCellMar>
            <w:top w:w="0" w:type="dxa"/>
            <w:left w:w="108" w:type="dxa"/>
            <w:bottom w:w="0" w:type="dxa"/>
            <w:right w:w="108" w:type="dxa"/>
          </w:tblCellMar>
        </w:tblPrEx>
        <w:trPr>
          <w:trHeight w:val="390" w:hRule="atLeast"/>
          <w:jc w:val="center"/>
        </w:trPr>
        <w:tc>
          <w:tcPr>
            <w:tcW w:w="8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□1.中国境内无法获取： </w:t>
            </w:r>
          </w:p>
        </w:tc>
      </w:tr>
      <w:tr>
        <w:tblPrEx>
          <w:tblCellMar>
            <w:top w:w="0" w:type="dxa"/>
            <w:left w:w="108" w:type="dxa"/>
            <w:bottom w:w="0" w:type="dxa"/>
            <w:right w:w="108" w:type="dxa"/>
          </w:tblCellMar>
        </w:tblPrEx>
        <w:trPr>
          <w:trHeight w:val="390" w:hRule="atLeast"/>
          <w:jc w:val="center"/>
        </w:trPr>
        <w:tc>
          <w:tcPr>
            <w:tcW w:w="8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□2.无法以合理的商业条件获取： </w:t>
            </w:r>
          </w:p>
        </w:tc>
      </w:tr>
      <w:tr>
        <w:tblPrEx>
          <w:tblCellMar>
            <w:top w:w="0" w:type="dxa"/>
            <w:left w:w="108" w:type="dxa"/>
            <w:bottom w:w="0" w:type="dxa"/>
            <w:right w:w="108" w:type="dxa"/>
          </w:tblCellMar>
        </w:tblPrEx>
        <w:trPr>
          <w:trHeight w:val="390" w:hRule="atLeast"/>
          <w:jc w:val="center"/>
        </w:trPr>
        <w:tc>
          <w:tcPr>
            <w:tcW w:w="8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□3.其他。 </w:t>
            </w:r>
          </w:p>
        </w:tc>
      </w:tr>
      <w:tr>
        <w:tblPrEx>
          <w:tblCellMar>
            <w:top w:w="0" w:type="dxa"/>
            <w:left w:w="108" w:type="dxa"/>
            <w:bottom w:w="0" w:type="dxa"/>
            <w:right w:w="108" w:type="dxa"/>
          </w:tblCellMar>
        </w:tblPrEx>
        <w:trPr>
          <w:trHeight w:val="1440" w:hRule="atLeast"/>
          <w:jc w:val="center"/>
        </w:trPr>
        <w:tc>
          <w:tcPr>
            <w:tcW w:w="8119" w:type="dxa"/>
            <w:gridSpan w:val="2"/>
            <w:vMerge w:val="restart"/>
            <w:tcBorders>
              <w:top w:val="nil"/>
              <w:left w:val="single" w:color="auto" w:sz="4" w:space="0"/>
              <w:bottom w:val="single" w:color="auto" w:sz="4" w:space="0"/>
              <w:right w:val="single" w:color="auto" w:sz="4" w:space="0"/>
            </w:tcBorders>
            <w:noWrap w:val="0"/>
            <w:vAlign w:val="top"/>
          </w:tcPr>
          <w:p>
            <w:pPr>
              <w:widowControl/>
              <w:spacing w:line="400" w:lineRule="exact"/>
              <w:jc w:val="left"/>
              <w:rPr>
                <w:rFonts w:ascii="宋体" w:hAnsi="宋体"/>
                <w:kern w:val="0"/>
                <w:sz w:val="28"/>
                <w:szCs w:val="28"/>
              </w:rPr>
            </w:pPr>
            <w:r>
              <w:rPr>
                <w:rFonts w:ascii="仿宋_GB2312" w:hAnsi="仿宋_GB2312"/>
                <w:b/>
                <w:bCs/>
                <w:kern w:val="0"/>
                <w:sz w:val="28"/>
                <w:szCs w:val="28"/>
              </w:rPr>
              <w:t xml:space="preserve">原因阐述： </w:t>
            </w:r>
          </w:p>
        </w:tc>
      </w:tr>
      <w:tr>
        <w:tblPrEx>
          <w:tblCellMar>
            <w:top w:w="0" w:type="dxa"/>
            <w:left w:w="108" w:type="dxa"/>
            <w:bottom w:w="0" w:type="dxa"/>
            <w:right w:w="108" w:type="dxa"/>
          </w:tblCellMar>
        </w:tblPrEx>
        <w:trPr>
          <w:trHeight w:val="1440" w:hRule="atLeast"/>
          <w:jc w:val="center"/>
        </w:trPr>
        <w:tc>
          <w:tcPr>
            <w:tcW w:w="811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560" w:firstLineChars="200"/>
              <w:jc w:val="left"/>
              <w:rPr>
                <w:rFonts w:ascii="宋体" w:hAnsi="宋体"/>
                <w:kern w:val="0"/>
                <w:sz w:val="28"/>
                <w:szCs w:val="28"/>
              </w:rPr>
            </w:pPr>
          </w:p>
        </w:tc>
      </w:tr>
      <w:tr>
        <w:tblPrEx>
          <w:tblCellMar>
            <w:top w:w="0" w:type="dxa"/>
            <w:left w:w="108" w:type="dxa"/>
            <w:bottom w:w="0" w:type="dxa"/>
            <w:right w:w="108" w:type="dxa"/>
          </w:tblCellMar>
        </w:tblPrEx>
        <w:trPr>
          <w:trHeight w:val="312" w:hRule="atLeast"/>
          <w:jc w:val="center"/>
        </w:trPr>
        <w:tc>
          <w:tcPr>
            <w:tcW w:w="811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560" w:firstLineChars="200"/>
              <w:jc w:val="left"/>
              <w:rPr>
                <w:rFonts w:ascii="宋体" w:hAnsi="宋体"/>
                <w:kern w:val="0"/>
                <w:sz w:val="28"/>
                <w:szCs w:val="28"/>
              </w:rPr>
            </w:pPr>
          </w:p>
        </w:tc>
      </w:tr>
      <w:tr>
        <w:tblPrEx>
          <w:tblCellMar>
            <w:top w:w="0" w:type="dxa"/>
            <w:left w:w="108" w:type="dxa"/>
            <w:bottom w:w="0" w:type="dxa"/>
            <w:right w:w="108" w:type="dxa"/>
          </w:tblCellMar>
        </w:tblPrEx>
        <w:trPr>
          <w:trHeight w:val="525" w:hRule="atLeast"/>
          <w:jc w:val="center"/>
        </w:trPr>
        <w:tc>
          <w:tcPr>
            <w:tcW w:w="8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kern w:val="0"/>
                <w:sz w:val="28"/>
                <w:szCs w:val="28"/>
              </w:rPr>
            </w:pPr>
            <w:r>
              <w:rPr>
                <w:rFonts w:hint="eastAsia" w:ascii="黑体" w:hAnsi="宋体" w:eastAsia="黑体" w:cs="宋体"/>
                <w:kern w:val="0"/>
                <w:sz w:val="28"/>
                <w:szCs w:val="28"/>
              </w:rPr>
              <w:t xml:space="preserve">三、进口产品所属行业主管部门意见 </w:t>
            </w:r>
          </w:p>
        </w:tc>
      </w:tr>
      <w:tr>
        <w:tblPrEx>
          <w:tblCellMar>
            <w:top w:w="0" w:type="dxa"/>
            <w:left w:w="108" w:type="dxa"/>
            <w:bottom w:w="0" w:type="dxa"/>
            <w:right w:w="108" w:type="dxa"/>
          </w:tblCellMar>
        </w:tblPrEx>
        <w:trPr>
          <w:trHeight w:val="2086" w:hRule="atLeast"/>
          <w:jc w:val="center"/>
        </w:trPr>
        <w:tc>
          <w:tcPr>
            <w:tcW w:w="8119"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400" w:lineRule="exact"/>
              <w:jc w:val="both"/>
              <w:rPr>
                <w:rFonts w:ascii="宋体" w:hAnsi="宋体"/>
                <w:kern w:val="0"/>
                <w:sz w:val="28"/>
                <w:szCs w:val="28"/>
              </w:rPr>
            </w:pPr>
            <w:r>
              <w:rPr>
                <w:rFonts w:ascii="仿宋_GB2312" w:hAnsi="宋体" w:cs="宋体"/>
                <w:kern w:val="0"/>
                <w:sz w:val="28"/>
                <w:szCs w:val="28"/>
              </w:rPr>
              <w:t xml:space="preserve">             </w:t>
            </w:r>
            <w:r>
              <w:rPr>
                <w:rFonts w:hint="eastAsia" w:ascii="仿宋_GB2312" w:hAnsi="宋体" w:cs="宋体"/>
                <w:kern w:val="0"/>
                <w:sz w:val="28"/>
                <w:szCs w:val="28"/>
                <w:lang w:val="en-US" w:eastAsia="zh-CN"/>
              </w:rPr>
              <w:t xml:space="preserve">                   </w:t>
            </w:r>
            <w:r>
              <w:rPr>
                <w:rFonts w:ascii="仿宋_GB2312" w:hAnsi="宋体" w:cs="宋体"/>
                <w:kern w:val="0"/>
                <w:sz w:val="28"/>
                <w:szCs w:val="28"/>
              </w:rPr>
              <w:t xml:space="preserve">盖   章 </w:t>
            </w:r>
          </w:p>
        </w:tc>
      </w:tr>
      <w:tr>
        <w:tblPrEx>
          <w:tblCellMar>
            <w:top w:w="0" w:type="dxa"/>
            <w:left w:w="108" w:type="dxa"/>
            <w:bottom w:w="0" w:type="dxa"/>
            <w:right w:w="108" w:type="dxa"/>
          </w:tblCellMar>
        </w:tblPrEx>
        <w:trPr>
          <w:trHeight w:val="430" w:hRule="atLeast"/>
          <w:jc w:val="center"/>
        </w:trPr>
        <w:tc>
          <w:tcPr>
            <w:tcW w:w="8119"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ind w:firstLine="560" w:firstLineChars="200"/>
              <w:jc w:val="center"/>
              <w:rPr>
                <w:rFonts w:ascii="宋体" w:hAnsi="宋体"/>
                <w:kern w:val="0"/>
                <w:sz w:val="28"/>
                <w:szCs w:val="28"/>
              </w:rPr>
            </w:pPr>
            <w:r>
              <w:rPr>
                <w:rFonts w:ascii="仿宋_GB2312" w:hAnsi="宋体" w:cs="宋体"/>
                <w:kern w:val="0"/>
                <w:sz w:val="28"/>
                <w:szCs w:val="28"/>
              </w:rPr>
              <w:t xml:space="preserve">                         年    月    日 </w:t>
            </w:r>
          </w:p>
        </w:tc>
      </w:tr>
    </w:tbl>
    <w:p>
      <w:pPr>
        <w:widowControl/>
        <w:spacing w:line="560" w:lineRule="exact"/>
        <w:rPr>
          <w:rFonts w:hint="eastAsia" w:ascii="方正小标宋_GBK" w:hAnsi="方正小标宋_GBK" w:eastAsia="方正小标宋_GBK" w:cs="方正小标宋_GBK"/>
          <w:color w:val="000000"/>
          <w:kern w:val="0"/>
          <w:sz w:val="44"/>
          <w:szCs w:val="44"/>
        </w:rPr>
      </w:pPr>
    </w:p>
    <w:p>
      <w:pPr>
        <w:widowControl/>
        <w:spacing w:line="560" w:lineRule="exact"/>
        <w:jc w:val="center"/>
        <w:rPr>
          <w:rFonts w:hint="eastAsia" w:ascii="方正小标宋简体" w:hAnsi="方正小标宋简体" w:eastAsia="方正小标宋简体" w:cs="方正小标宋简体"/>
          <w:color w:val="000000"/>
          <w:kern w:val="0"/>
          <w:sz w:val="44"/>
          <w:szCs w:val="44"/>
        </w:rPr>
      </w:pPr>
    </w:p>
    <w:p>
      <w:pPr>
        <w:widowControl/>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政府采购进口产品专家论证意见</w:t>
      </w:r>
    </w:p>
    <w:p>
      <w:pPr>
        <w:widowControl/>
        <w:spacing w:line="560" w:lineRule="exact"/>
        <w:jc w:val="center"/>
        <w:rPr>
          <w:rFonts w:hint="eastAsia" w:ascii="方正小标宋_GBK" w:hAnsi="方正小标宋_GBK" w:eastAsia="方正小标宋_GBK" w:cs="方正小标宋_GBK"/>
          <w:color w:val="000000"/>
          <w:kern w:val="0"/>
          <w:sz w:val="44"/>
          <w:szCs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8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cs="宋体"/>
                <w:color w:val="000000"/>
                <w:kern w:val="0"/>
                <w:sz w:val="24"/>
              </w:rPr>
            </w:pPr>
            <w:r>
              <w:rPr>
                <w:rFonts w:hint="eastAsia" w:ascii="黑体" w:hAnsi="宋体" w:eastAsia="黑体" w:cs="宋体"/>
                <w:color w:val="000000"/>
                <w:kern w:val="0"/>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092" w:type="dxa"/>
            <w:tcBorders>
              <w:top w:val="single" w:color="auto" w:sz="4" w:space="0"/>
              <w:left w:val="single" w:color="auto" w:sz="4" w:space="0"/>
              <w:bottom w:val="single" w:color="auto" w:sz="4" w:space="0"/>
              <w:right w:val="single" w:color="auto" w:sz="4" w:space="0"/>
            </w:tcBorders>
            <w:noWrap w:val="0"/>
            <w:vAlign w:val="center"/>
          </w:tcPr>
          <w:p>
            <w:pPr>
              <w:widowControl/>
              <w:spacing w:line="315" w:lineRule="atLeas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申请单位</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left"/>
              <w:rPr>
                <w:rFonts w:hint="eastAsia"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092" w:type="dxa"/>
            <w:tcBorders>
              <w:top w:val="single" w:color="auto" w:sz="4" w:space="0"/>
              <w:left w:val="single" w:color="auto" w:sz="4" w:space="0"/>
              <w:bottom w:val="single" w:color="auto" w:sz="4" w:space="0"/>
              <w:right w:val="single" w:color="auto" w:sz="4" w:space="0"/>
            </w:tcBorders>
            <w:noWrap w:val="0"/>
            <w:vAlign w:val="center"/>
          </w:tcPr>
          <w:p>
            <w:pPr>
              <w:widowControl/>
              <w:spacing w:line="315" w:lineRule="atLeas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拟采购产品名称</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left"/>
              <w:rPr>
                <w:rFonts w:hint="eastAsia"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2" w:type="dxa"/>
            <w:tcBorders>
              <w:top w:val="single" w:color="auto" w:sz="4" w:space="0"/>
              <w:left w:val="single" w:color="auto" w:sz="4" w:space="0"/>
              <w:bottom w:val="single" w:color="auto" w:sz="4" w:space="0"/>
              <w:right w:val="single" w:color="auto" w:sz="4" w:space="0"/>
            </w:tcBorders>
            <w:noWrap w:val="0"/>
            <w:vAlign w:val="center"/>
          </w:tcPr>
          <w:p>
            <w:pPr>
              <w:widowControl/>
              <w:spacing w:line="315" w:lineRule="atLeas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拟采购产品金额</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left"/>
              <w:rPr>
                <w:rFonts w:hint="eastAsia"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092" w:type="dxa"/>
            <w:tcBorders>
              <w:top w:val="single" w:color="auto" w:sz="4" w:space="0"/>
              <w:left w:val="single" w:color="auto" w:sz="4" w:space="0"/>
              <w:bottom w:val="single" w:color="auto" w:sz="4" w:space="0"/>
              <w:right w:val="single" w:color="auto" w:sz="4" w:space="0"/>
            </w:tcBorders>
            <w:noWrap w:val="0"/>
            <w:vAlign w:val="center"/>
          </w:tcPr>
          <w:p>
            <w:pPr>
              <w:widowControl/>
              <w:spacing w:line="315" w:lineRule="atLeas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采购项目所属项目名称</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left"/>
              <w:rPr>
                <w:rFonts w:hint="eastAsia"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092" w:type="dxa"/>
            <w:tcBorders>
              <w:top w:val="single" w:color="auto" w:sz="4" w:space="0"/>
              <w:left w:val="single" w:color="auto" w:sz="4" w:space="0"/>
              <w:bottom w:val="single" w:color="auto" w:sz="4" w:space="0"/>
              <w:right w:val="single" w:color="auto" w:sz="4" w:space="0"/>
            </w:tcBorders>
            <w:noWrap w:val="0"/>
            <w:vAlign w:val="center"/>
          </w:tcPr>
          <w:p>
            <w:pPr>
              <w:widowControl/>
              <w:spacing w:line="315" w:lineRule="atLeas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采购项目所属项目金额</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left"/>
              <w:rPr>
                <w:rFonts w:hint="eastAsia"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cs="宋体"/>
                <w:color w:val="000000"/>
                <w:kern w:val="0"/>
                <w:sz w:val="24"/>
              </w:rPr>
            </w:pPr>
            <w:r>
              <w:rPr>
                <w:rFonts w:hint="eastAsia" w:ascii="黑体" w:hAnsi="宋体" w:eastAsia="黑体" w:cs="宋体"/>
                <w:color w:val="000000"/>
                <w:kern w:val="0"/>
                <w:sz w:val="28"/>
                <w:szCs w:val="28"/>
              </w:rPr>
              <w:t>二、申请理由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8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15" w:lineRule="atLeas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□1.中国境内无法获取：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15" w:lineRule="atLeas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□2.无法以合理的商业条件获取：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8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15" w:lineRule="atLeas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8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left"/>
              <w:rPr>
                <w:rFonts w:hint="eastAsia" w:ascii="仿宋_GB2312" w:hAnsi="宋体" w:cs="宋体"/>
                <w:color w:val="000000"/>
                <w:kern w:val="0"/>
                <w:sz w:val="24"/>
              </w:rPr>
            </w:pPr>
            <w:r>
              <w:rPr>
                <w:rFonts w:hint="eastAsia" w:ascii="仿宋" w:hAnsi="仿宋" w:eastAsia="仿宋" w:cs="仿宋"/>
                <w:color w:val="000000"/>
                <w:kern w:val="0"/>
                <w:sz w:val="28"/>
                <w:szCs w:val="28"/>
              </w:rPr>
              <w:t>原因阐述：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8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仿宋_GB2312" w:hAnsi="仿宋_GB2312" w:cs="仿宋_GB2312"/>
                <w:color w:val="000000"/>
                <w:kern w:val="0"/>
                <w:sz w:val="24"/>
              </w:rPr>
            </w:pPr>
            <w:r>
              <w:rPr>
                <w:rFonts w:hint="eastAsia" w:ascii="黑体" w:hAnsi="宋体" w:eastAsia="黑体" w:cs="宋体"/>
                <w:color w:val="000000"/>
                <w:kern w:val="0"/>
                <w:sz w:val="28"/>
                <w:szCs w:val="28"/>
              </w:rPr>
              <w:t>三、专家论证意见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8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right="96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专家签字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firstLine="6440" w:firstLineChars="23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年    月    日</w:t>
            </w:r>
          </w:p>
        </w:tc>
      </w:tr>
    </w:tbl>
    <w:p>
      <w:pPr>
        <w:rPr>
          <w:rFonts w:hint="eastAsia" w:ascii="黑体" w:hAnsi="黑体" w:eastAsia="黑体" w:cs="黑体"/>
          <w:szCs w:val="32"/>
        </w:rPr>
      </w:pPr>
      <w:r>
        <w:rPr>
          <w:rFonts w:hint="eastAsia" w:ascii="仿宋" w:hAnsi="仿宋" w:eastAsia="仿宋"/>
          <w:sz w:val="28"/>
          <w:szCs w:val="28"/>
        </w:rPr>
        <w:br w:type="page"/>
      </w:r>
      <w:r>
        <w:rPr>
          <w:rFonts w:hint="eastAsia" w:ascii="黑体" w:hAnsi="黑体" w:eastAsia="黑体" w:cs="黑体"/>
          <w:szCs w:val="32"/>
        </w:rPr>
        <w:t>附件9</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政府采购变更采购方式申请表</w:t>
      </w:r>
    </w:p>
    <w:p>
      <w:pPr>
        <w:spacing w:line="560" w:lineRule="exact"/>
        <w:jc w:val="center"/>
        <w:rPr>
          <w:rFonts w:hint="eastAsia" w:ascii="方正小标宋简体" w:hAnsi="方正小标宋简体" w:eastAsia="方正小标宋简体" w:cs="方正小标宋简体"/>
          <w:sz w:val="44"/>
          <w:szCs w:val="4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62"/>
        <w:gridCol w:w="1868"/>
        <w:gridCol w:w="1732"/>
        <w:gridCol w:w="169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申请单位</w:t>
            </w:r>
          </w:p>
        </w:tc>
        <w:tc>
          <w:tcPr>
            <w:tcW w:w="6736" w:type="dxa"/>
            <w:gridSpan w:val="4"/>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6736" w:type="dxa"/>
            <w:gridSpan w:val="4"/>
            <w:noWrap w:val="0"/>
            <w:vAlign w:val="top"/>
          </w:tcPr>
          <w:p>
            <w:pPr>
              <w:rPr>
                <w:rFonts w:hint="eastAsia" w:ascii="仿宋" w:hAnsi="仿宋" w:eastAsia="仿宋"/>
                <w:sz w:val="28"/>
                <w:szCs w:val="28"/>
              </w:rPr>
            </w:pP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预算金额</w:t>
            </w:r>
          </w:p>
        </w:tc>
        <w:tc>
          <w:tcPr>
            <w:tcW w:w="6736" w:type="dxa"/>
            <w:gridSpan w:val="4"/>
            <w:noWrap w:val="0"/>
            <w:vAlign w:val="top"/>
          </w:tcPr>
          <w:p>
            <w:pPr>
              <w:rPr>
                <w:rFonts w:hint="eastAsia" w:ascii="仿宋" w:hAnsi="仿宋" w:eastAsia="仿宋"/>
                <w:sz w:val="28"/>
                <w:szCs w:val="28"/>
              </w:rPr>
            </w:pPr>
            <w:r>
              <w:rPr>
                <w:rFonts w:hint="eastAsia" w:ascii="仿宋" w:hAnsi="仿宋" w:eastAsia="仿宋"/>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86" w:type="dxa"/>
            <w:gridSpan w:val="2"/>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采购内容</w:t>
            </w:r>
          </w:p>
        </w:tc>
        <w:tc>
          <w:tcPr>
            <w:tcW w:w="6736" w:type="dxa"/>
            <w:gridSpan w:val="4"/>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86" w:type="dxa"/>
            <w:gridSpan w:val="2"/>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拟 采 用</w:t>
            </w:r>
          </w:p>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采购方式</w:t>
            </w:r>
          </w:p>
        </w:tc>
        <w:tc>
          <w:tcPr>
            <w:tcW w:w="6736" w:type="dxa"/>
            <w:gridSpan w:val="4"/>
            <w:noWrap w:val="0"/>
            <w:vAlign w:val="top"/>
          </w:tcPr>
          <w:p>
            <w:pPr>
              <w:rPr>
                <w:rFonts w:hint="eastAsia" w:ascii="仿宋" w:hAnsi="仿宋" w:eastAsia="仿宋"/>
                <w:sz w:val="28"/>
                <w:szCs w:val="28"/>
              </w:rPr>
            </w:pPr>
            <w:r>
              <w:rPr>
                <w:rFonts w:hint="eastAsia" w:ascii="仿宋" w:hAnsi="仿宋" w:eastAsia="仿宋"/>
                <w:sz w:val="28"/>
                <w:szCs w:val="28"/>
              </w:rPr>
              <w:t>□邀请招标     □竞争性谈判</w:t>
            </w:r>
          </w:p>
          <w:p>
            <w:pPr>
              <w:rPr>
                <w:rFonts w:hint="eastAsia" w:ascii="仿宋" w:hAnsi="仿宋" w:eastAsia="仿宋"/>
                <w:sz w:val="28"/>
                <w:szCs w:val="28"/>
              </w:rPr>
            </w:pPr>
            <w:r>
              <w:rPr>
                <w:rFonts w:hint="eastAsia" w:ascii="仿宋" w:hAnsi="仿宋" w:eastAsia="仿宋"/>
                <w:sz w:val="28"/>
                <w:szCs w:val="28"/>
              </w:rPr>
              <w:t>□竞争性磋商   □询价      □单一来源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86" w:type="dxa"/>
            <w:gridSpan w:val="2"/>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供应商名</w:t>
            </w:r>
          </w:p>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称及地址</w:t>
            </w:r>
          </w:p>
        </w:tc>
        <w:tc>
          <w:tcPr>
            <w:tcW w:w="6736" w:type="dxa"/>
            <w:gridSpan w:val="4"/>
            <w:noWrap w:val="0"/>
            <w:vAlign w:val="center"/>
          </w:tcPr>
          <w:p>
            <w:pPr>
              <w:rPr>
                <w:rFonts w:hint="eastAsia" w:ascii="仿宋" w:hAnsi="仿宋" w:eastAsia="仿宋"/>
                <w:sz w:val="28"/>
                <w:szCs w:val="28"/>
              </w:rPr>
            </w:pPr>
            <w:r>
              <w:rPr>
                <w:rFonts w:hint="eastAsia" w:ascii="仿宋" w:hAnsi="仿宋" w:eastAsia="仿宋"/>
                <w:sz w:val="28"/>
                <w:szCs w:val="28"/>
              </w:rPr>
              <w:t>（仅单一来源采购方式填写）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gridSpan w:val="2"/>
            <w:noWrap w:val="0"/>
            <w:vAlign w:val="center"/>
          </w:tcPr>
          <w:p>
            <w:pPr>
              <w:jc w:val="center"/>
              <w:rPr>
                <w:rFonts w:hint="eastAsia" w:ascii="仿宋" w:hAnsi="仿宋" w:eastAsia="仿宋"/>
                <w:sz w:val="28"/>
                <w:szCs w:val="28"/>
              </w:rPr>
            </w:pPr>
            <w:r>
              <w:rPr>
                <w:rFonts w:hint="eastAsia" w:ascii="黑体" w:hAnsi="黑体" w:eastAsia="黑体" w:cs="黑体"/>
                <w:sz w:val="28"/>
                <w:szCs w:val="28"/>
              </w:rPr>
              <w:t>申请理由</w:t>
            </w:r>
          </w:p>
        </w:tc>
        <w:tc>
          <w:tcPr>
            <w:tcW w:w="6736" w:type="dxa"/>
            <w:gridSpan w:val="4"/>
            <w:noWrap w:val="0"/>
            <w:vAlign w:val="top"/>
          </w:tcPr>
          <w:p>
            <w:pPr>
              <w:rPr>
                <w:rFonts w:hint="eastAsia" w:ascii="仿宋" w:hAnsi="仿宋" w:eastAsia="仿宋"/>
                <w:i/>
                <w:iCs/>
                <w:sz w:val="28"/>
                <w:szCs w:val="28"/>
                <w:u w:val="single"/>
              </w:rPr>
            </w:pPr>
            <w:r>
              <w:rPr>
                <w:rFonts w:hint="eastAsia" w:ascii="仿宋" w:hAnsi="仿宋" w:eastAsia="仿宋"/>
                <w:i/>
                <w:iCs/>
                <w:sz w:val="28"/>
                <w:szCs w:val="28"/>
                <w:u w:val="single"/>
              </w:rPr>
              <w:t>（紧急采购需另附紧急说明材料）</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jc w:val="right"/>
              <w:rPr>
                <w:rFonts w:hint="eastAsia" w:ascii="仿宋" w:hAnsi="仿宋" w:eastAsia="仿宋"/>
                <w:sz w:val="28"/>
                <w:szCs w:val="28"/>
              </w:rPr>
            </w:pP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jc w:val="left"/>
              <w:rPr>
                <w:rFonts w:hint="eastAsia" w:ascii="仿宋" w:hAnsi="仿宋" w:eastAsia="仿宋"/>
                <w:sz w:val="28"/>
                <w:szCs w:val="28"/>
              </w:rPr>
            </w:pPr>
            <w:r>
              <w:rPr>
                <w:rFonts w:hint="eastAsia" w:ascii="黑体" w:hAnsi="黑体" w:eastAsia="黑体" w:cs="黑体"/>
                <w:sz w:val="28"/>
                <w:szCs w:val="28"/>
              </w:rPr>
              <w:t>单位内部会商意见：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4" w:hRule="atLeast"/>
        </w:trPr>
        <w:tc>
          <w:tcPr>
            <w:tcW w:w="8522" w:type="dxa"/>
            <w:gridSpan w:val="6"/>
            <w:noWrap w:val="0"/>
            <w:vAlign w:val="top"/>
          </w:tcPr>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根据要求，我单位对</w:t>
            </w:r>
            <w:r>
              <w:rPr>
                <w:rFonts w:hint="eastAsia" w:ascii="仿宋_GB2312" w:hAnsi="仿宋_GB2312" w:cs="仿宋_GB2312"/>
                <w:szCs w:val="32"/>
                <w:u w:val="single"/>
              </w:rPr>
              <w:t xml:space="preserve">                       </w:t>
            </w:r>
            <w:r>
              <w:rPr>
                <w:rFonts w:hint="eastAsia" w:ascii="仿宋_GB2312" w:hAnsi="仿宋_GB2312" w:cs="仿宋_GB2312"/>
                <w:szCs w:val="32"/>
              </w:rPr>
              <w:t>项目拟采用</w:t>
            </w:r>
            <w:r>
              <w:rPr>
                <w:rFonts w:hint="eastAsia" w:ascii="仿宋_GB2312" w:hAnsi="仿宋_GB2312" w:cs="仿宋_GB2312"/>
                <w:szCs w:val="32"/>
                <w:u w:val="single"/>
              </w:rPr>
              <w:t xml:space="preserve">                  </w:t>
            </w:r>
            <w:r>
              <w:rPr>
                <w:rFonts w:hint="eastAsia" w:ascii="仿宋_GB2312" w:hAnsi="仿宋_GB2312" w:cs="仿宋_GB2312"/>
                <w:szCs w:val="32"/>
              </w:rPr>
              <w:t>方式采购进行内部会商。会商意见如下：</w:t>
            </w:r>
          </w:p>
          <w:p>
            <w:pPr>
              <w:jc w:val="righ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22" w:type="dxa"/>
            <w:gridSpan w:val="6"/>
            <w:noWrap w:val="0"/>
            <w:vAlign w:val="center"/>
          </w:tcPr>
          <w:p>
            <w:pPr>
              <w:rPr>
                <w:rFonts w:hint="eastAsia" w:ascii="仿宋" w:hAnsi="仿宋" w:eastAsia="仿宋"/>
                <w:sz w:val="28"/>
                <w:szCs w:val="28"/>
              </w:rPr>
            </w:pPr>
            <w:r>
              <w:rPr>
                <w:rFonts w:hint="eastAsia" w:ascii="黑体" w:hAnsi="黑体" w:eastAsia="黑体" w:cs="黑体"/>
                <w:sz w:val="28"/>
                <w:szCs w:val="28"/>
              </w:rPr>
              <w:t>会商人员签字</w:t>
            </w:r>
            <w:r>
              <w:rPr>
                <w:rFonts w:hint="eastAsia" w:ascii="仿宋" w:hAnsi="仿宋" w:eastAsia="仿宋"/>
                <w:sz w:val="28"/>
                <w:szCs w:val="28"/>
              </w:rPr>
              <w:t>（不少于3人，财务、业务、内控等必须参加）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24"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姓  名</w:t>
            </w:r>
          </w:p>
        </w:tc>
        <w:tc>
          <w:tcPr>
            <w:tcW w:w="2130"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处（科、股）室</w:t>
            </w:r>
          </w:p>
        </w:tc>
        <w:tc>
          <w:tcPr>
            <w:tcW w:w="1732"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职称或职务</w:t>
            </w:r>
          </w:p>
        </w:tc>
        <w:tc>
          <w:tcPr>
            <w:tcW w:w="1695"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身份证号码</w:t>
            </w:r>
          </w:p>
        </w:tc>
        <w:tc>
          <w:tcPr>
            <w:tcW w:w="1441"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 w:type="dxa"/>
            <w:noWrap w:val="0"/>
            <w:vAlign w:val="top"/>
          </w:tcPr>
          <w:p>
            <w:pPr>
              <w:jc w:val="right"/>
              <w:rPr>
                <w:rFonts w:hint="eastAsia" w:ascii="仿宋" w:hAnsi="仿宋" w:eastAsia="仿宋"/>
                <w:sz w:val="28"/>
                <w:szCs w:val="28"/>
              </w:rPr>
            </w:pPr>
          </w:p>
        </w:tc>
        <w:tc>
          <w:tcPr>
            <w:tcW w:w="2130" w:type="dxa"/>
            <w:gridSpan w:val="2"/>
            <w:noWrap w:val="0"/>
            <w:vAlign w:val="top"/>
          </w:tcPr>
          <w:p>
            <w:pPr>
              <w:jc w:val="center"/>
              <w:rPr>
                <w:rFonts w:hint="eastAsia" w:ascii="仿宋" w:hAnsi="仿宋" w:eastAsia="仿宋"/>
                <w:sz w:val="28"/>
                <w:szCs w:val="28"/>
              </w:rPr>
            </w:pPr>
          </w:p>
        </w:tc>
        <w:tc>
          <w:tcPr>
            <w:tcW w:w="1732" w:type="dxa"/>
            <w:noWrap w:val="0"/>
            <w:vAlign w:val="top"/>
          </w:tcPr>
          <w:p>
            <w:pPr>
              <w:jc w:val="right"/>
              <w:rPr>
                <w:rFonts w:hint="eastAsia" w:ascii="仿宋" w:hAnsi="仿宋" w:eastAsia="仿宋"/>
                <w:sz w:val="28"/>
                <w:szCs w:val="28"/>
              </w:rPr>
            </w:pPr>
          </w:p>
        </w:tc>
        <w:tc>
          <w:tcPr>
            <w:tcW w:w="1695" w:type="dxa"/>
            <w:noWrap w:val="0"/>
            <w:vAlign w:val="top"/>
          </w:tcPr>
          <w:p>
            <w:pPr>
              <w:jc w:val="right"/>
              <w:rPr>
                <w:rFonts w:hint="eastAsia" w:ascii="仿宋" w:hAnsi="仿宋" w:eastAsia="仿宋"/>
                <w:sz w:val="28"/>
                <w:szCs w:val="28"/>
              </w:rPr>
            </w:pPr>
          </w:p>
        </w:tc>
        <w:tc>
          <w:tcPr>
            <w:tcW w:w="1441" w:type="dxa"/>
            <w:noWrap w:val="0"/>
            <w:vAlign w:val="top"/>
          </w:tcPr>
          <w:p>
            <w:pPr>
              <w:jc w:val="righ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24" w:type="dxa"/>
            <w:noWrap w:val="0"/>
            <w:vAlign w:val="top"/>
          </w:tcPr>
          <w:p>
            <w:pPr>
              <w:jc w:val="right"/>
              <w:rPr>
                <w:rFonts w:hint="eastAsia" w:ascii="仿宋" w:hAnsi="仿宋" w:eastAsia="仿宋"/>
                <w:sz w:val="28"/>
                <w:szCs w:val="28"/>
              </w:rPr>
            </w:pPr>
          </w:p>
        </w:tc>
        <w:tc>
          <w:tcPr>
            <w:tcW w:w="2130" w:type="dxa"/>
            <w:gridSpan w:val="2"/>
            <w:noWrap w:val="0"/>
            <w:vAlign w:val="top"/>
          </w:tcPr>
          <w:p>
            <w:pPr>
              <w:jc w:val="center"/>
              <w:rPr>
                <w:rFonts w:hint="eastAsia" w:ascii="仿宋" w:hAnsi="仿宋" w:eastAsia="仿宋"/>
                <w:sz w:val="28"/>
                <w:szCs w:val="28"/>
              </w:rPr>
            </w:pPr>
          </w:p>
        </w:tc>
        <w:tc>
          <w:tcPr>
            <w:tcW w:w="1732" w:type="dxa"/>
            <w:noWrap w:val="0"/>
            <w:vAlign w:val="top"/>
          </w:tcPr>
          <w:p>
            <w:pPr>
              <w:jc w:val="right"/>
              <w:rPr>
                <w:rFonts w:hint="eastAsia" w:ascii="仿宋" w:hAnsi="仿宋" w:eastAsia="仿宋"/>
                <w:sz w:val="28"/>
                <w:szCs w:val="28"/>
              </w:rPr>
            </w:pPr>
          </w:p>
        </w:tc>
        <w:tc>
          <w:tcPr>
            <w:tcW w:w="1695" w:type="dxa"/>
            <w:noWrap w:val="0"/>
            <w:vAlign w:val="top"/>
          </w:tcPr>
          <w:p>
            <w:pPr>
              <w:jc w:val="right"/>
              <w:rPr>
                <w:rFonts w:hint="eastAsia" w:ascii="仿宋" w:hAnsi="仿宋" w:eastAsia="仿宋"/>
                <w:sz w:val="28"/>
                <w:szCs w:val="28"/>
              </w:rPr>
            </w:pPr>
          </w:p>
        </w:tc>
        <w:tc>
          <w:tcPr>
            <w:tcW w:w="1441" w:type="dxa"/>
            <w:noWrap w:val="0"/>
            <w:vAlign w:val="top"/>
          </w:tcPr>
          <w:p>
            <w:pPr>
              <w:jc w:val="righ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24" w:type="dxa"/>
            <w:noWrap w:val="0"/>
            <w:vAlign w:val="top"/>
          </w:tcPr>
          <w:p>
            <w:pPr>
              <w:jc w:val="right"/>
              <w:rPr>
                <w:rFonts w:hint="eastAsia" w:ascii="仿宋" w:hAnsi="仿宋" w:eastAsia="仿宋"/>
                <w:sz w:val="28"/>
                <w:szCs w:val="28"/>
              </w:rPr>
            </w:pPr>
          </w:p>
        </w:tc>
        <w:tc>
          <w:tcPr>
            <w:tcW w:w="2130" w:type="dxa"/>
            <w:gridSpan w:val="2"/>
            <w:noWrap w:val="0"/>
            <w:vAlign w:val="top"/>
          </w:tcPr>
          <w:p>
            <w:pPr>
              <w:jc w:val="center"/>
              <w:rPr>
                <w:rFonts w:hint="eastAsia" w:ascii="仿宋" w:hAnsi="仿宋" w:eastAsia="仿宋"/>
                <w:sz w:val="28"/>
                <w:szCs w:val="28"/>
              </w:rPr>
            </w:pPr>
          </w:p>
        </w:tc>
        <w:tc>
          <w:tcPr>
            <w:tcW w:w="1732" w:type="dxa"/>
            <w:noWrap w:val="0"/>
            <w:vAlign w:val="top"/>
          </w:tcPr>
          <w:p>
            <w:pPr>
              <w:jc w:val="right"/>
              <w:rPr>
                <w:rFonts w:hint="eastAsia" w:ascii="仿宋" w:hAnsi="仿宋" w:eastAsia="仿宋"/>
                <w:sz w:val="28"/>
                <w:szCs w:val="28"/>
              </w:rPr>
            </w:pPr>
          </w:p>
        </w:tc>
        <w:tc>
          <w:tcPr>
            <w:tcW w:w="1695" w:type="dxa"/>
            <w:noWrap w:val="0"/>
            <w:vAlign w:val="top"/>
          </w:tcPr>
          <w:p>
            <w:pPr>
              <w:jc w:val="right"/>
              <w:rPr>
                <w:rFonts w:hint="eastAsia" w:ascii="仿宋" w:hAnsi="仿宋" w:eastAsia="仿宋"/>
                <w:sz w:val="28"/>
                <w:szCs w:val="28"/>
              </w:rPr>
            </w:pPr>
          </w:p>
        </w:tc>
        <w:tc>
          <w:tcPr>
            <w:tcW w:w="1441" w:type="dxa"/>
            <w:noWrap w:val="0"/>
            <w:vAlign w:val="top"/>
          </w:tcPr>
          <w:p>
            <w:pPr>
              <w:jc w:val="righ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24" w:type="dxa"/>
            <w:noWrap w:val="0"/>
            <w:vAlign w:val="top"/>
          </w:tcPr>
          <w:p>
            <w:pPr>
              <w:jc w:val="right"/>
              <w:rPr>
                <w:rFonts w:hint="eastAsia" w:ascii="仿宋" w:hAnsi="仿宋" w:eastAsia="仿宋"/>
                <w:sz w:val="28"/>
                <w:szCs w:val="28"/>
              </w:rPr>
            </w:pPr>
          </w:p>
        </w:tc>
        <w:tc>
          <w:tcPr>
            <w:tcW w:w="2130" w:type="dxa"/>
            <w:gridSpan w:val="2"/>
            <w:noWrap w:val="0"/>
            <w:vAlign w:val="top"/>
          </w:tcPr>
          <w:p>
            <w:pPr>
              <w:jc w:val="center"/>
              <w:rPr>
                <w:rFonts w:hint="eastAsia" w:ascii="仿宋" w:hAnsi="仿宋" w:eastAsia="仿宋"/>
                <w:sz w:val="28"/>
                <w:szCs w:val="28"/>
              </w:rPr>
            </w:pPr>
          </w:p>
        </w:tc>
        <w:tc>
          <w:tcPr>
            <w:tcW w:w="1732" w:type="dxa"/>
            <w:noWrap w:val="0"/>
            <w:vAlign w:val="top"/>
          </w:tcPr>
          <w:p>
            <w:pPr>
              <w:jc w:val="right"/>
              <w:rPr>
                <w:rFonts w:hint="eastAsia" w:ascii="仿宋" w:hAnsi="仿宋" w:eastAsia="仿宋"/>
                <w:sz w:val="28"/>
                <w:szCs w:val="28"/>
              </w:rPr>
            </w:pPr>
          </w:p>
        </w:tc>
        <w:tc>
          <w:tcPr>
            <w:tcW w:w="1695" w:type="dxa"/>
            <w:noWrap w:val="0"/>
            <w:vAlign w:val="top"/>
          </w:tcPr>
          <w:p>
            <w:pPr>
              <w:jc w:val="right"/>
              <w:rPr>
                <w:rFonts w:hint="eastAsia" w:ascii="仿宋" w:hAnsi="仿宋" w:eastAsia="仿宋"/>
                <w:sz w:val="28"/>
                <w:szCs w:val="28"/>
              </w:rPr>
            </w:pPr>
          </w:p>
        </w:tc>
        <w:tc>
          <w:tcPr>
            <w:tcW w:w="1441" w:type="dxa"/>
            <w:noWrap w:val="0"/>
            <w:vAlign w:val="top"/>
          </w:tcPr>
          <w:p>
            <w:pPr>
              <w:jc w:val="righ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24" w:type="dxa"/>
            <w:noWrap w:val="0"/>
            <w:vAlign w:val="top"/>
          </w:tcPr>
          <w:p>
            <w:pPr>
              <w:jc w:val="right"/>
              <w:rPr>
                <w:rFonts w:hint="eastAsia" w:ascii="仿宋" w:hAnsi="仿宋" w:eastAsia="仿宋"/>
                <w:sz w:val="28"/>
                <w:szCs w:val="28"/>
              </w:rPr>
            </w:pPr>
          </w:p>
        </w:tc>
        <w:tc>
          <w:tcPr>
            <w:tcW w:w="2130" w:type="dxa"/>
            <w:gridSpan w:val="2"/>
            <w:noWrap w:val="0"/>
            <w:vAlign w:val="top"/>
          </w:tcPr>
          <w:p>
            <w:pPr>
              <w:jc w:val="right"/>
              <w:rPr>
                <w:rFonts w:hint="eastAsia" w:ascii="仿宋" w:hAnsi="仿宋" w:eastAsia="仿宋"/>
                <w:sz w:val="28"/>
                <w:szCs w:val="28"/>
              </w:rPr>
            </w:pPr>
          </w:p>
        </w:tc>
        <w:tc>
          <w:tcPr>
            <w:tcW w:w="1732" w:type="dxa"/>
            <w:noWrap w:val="0"/>
            <w:vAlign w:val="top"/>
          </w:tcPr>
          <w:p>
            <w:pPr>
              <w:jc w:val="right"/>
              <w:rPr>
                <w:rFonts w:hint="eastAsia" w:ascii="仿宋" w:hAnsi="仿宋" w:eastAsia="仿宋"/>
                <w:sz w:val="28"/>
                <w:szCs w:val="28"/>
              </w:rPr>
            </w:pPr>
          </w:p>
        </w:tc>
        <w:tc>
          <w:tcPr>
            <w:tcW w:w="1695" w:type="dxa"/>
            <w:noWrap w:val="0"/>
            <w:vAlign w:val="top"/>
          </w:tcPr>
          <w:p>
            <w:pPr>
              <w:jc w:val="right"/>
              <w:rPr>
                <w:rFonts w:hint="eastAsia" w:ascii="仿宋" w:hAnsi="仿宋" w:eastAsia="仿宋"/>
                <w:sz w:val="28"/>
                <w:szCs w:val="28"/>
              </w:rPr>
            </w:pPr>
          </w:p>
        </w:tc>
        <w:tc>
          <w:tcPr>
            <w:tcW w:w="1441" w:type="dxa"/>
            <w:noWrap w:val="0"/>
            <w:vAlign w:val="top"/>
          </w:tcPr>
          <w:p>
            <w:pPr>
              <w:jc w:val="right"/>
              <w:rPr>
                <w:rFonts w:hint="eastAsia" w:ascii="仿宋" w:hAnsi="仿宋" w:eastAsia="仿宋"/>
                <w:sz w:val="28"/>
                <w:szCs w:val="28"/>
              </w:rPr>
            </w:pPr>
          </w:p>
        </w:tc>
      </w:tr>
    </w:tbl>
    <w:p>
      <w:pPr>
        <w:rPr>
          <w:rFonts w:ascii="黑体" w:hAnsi="黑体" w:eastAsia="黑体" w:cs="黑体"/>
          <w:szCs w:val="32"/>
        </w:rPr>
      </w:pPr>
      <w:r>
        <w:rPr>
          <w:rFonts w:hint="eastAsia" w:ascii="仿宋_GB2312" w:hAnsi="仿宋_GB2312" w:cs="仿宋_GB2312"/>
          <w:szCs w:val="32"/>
        </w:rPr>
        <w:br w:type="page"/>
      </w:r>
      <w:r>
        <w:rPr>
          <w:rFonts w:hint="eastAsia" w:ascii="黑体" w:hAnsi="黑体" w:eastAsia="黑体" w:cs="黑体"/>
          <w:szCs w:val="32"/>
        </w:rPr>
        <w:t>附件10</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需求调查（审查）表</w:t>
      </w:r>
    </w:p>
    <w:p>
      <w:pPr>
        <w:spacing w:line="560" w:lineRule="exact"/>
        <w:jc w:val="center"/>
        <w:outlineLvl w:val="0"/>
        <w:rPr>
          <w:rFonts w:hint="eastAsia" w:ascii="方正小标宋简体" w:hAnsi="方正小标宋简体" w:eastAsia="方正小标宋简体" w:cs="方正小标宋简体"/>
          <w:sz w:val="44"/>
          <w:szCs w:val="4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93"/>
        <w:gridCol w:w="924"/>
        <w:gridCol w:w="1217"/>
        <w:gridCol w:w="529"/>
        <w:gridCol w:w="688"/>
        <w:gridCol w:w="1217"/>
        <w:gridCol w:w="99"/>
        <w:gridCol w:w="111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10" w:type="dxa"/>
            <w:gridSpan w:val="2"/>
            <w:noWrap w:val="0"/>
            <w:vAlign w:val="top"/>
          </w:tcPr>
          <w:p>
            <w:pPr>
              <w:spacing w:line="320" w:lineRule="exact"/>
              <w:jc w:val="center"/>
              <w:outlineLvl w:val="0"/>
              <w:rPr>
                <w:rFonts w:hint="eastAsia" w:ascii="黑体" w:hAnsi="黑体" w:eastAsia="黑体" w:cs="黑体"/>
                <w:sz w:val="28"/>
                <w:szCs w:val="28"/>
              </w:rPr>
            </w:pPr>
            <w:r>
              <w:rPr>
                <w:rFonts w:hint="eastAsia" w:ascii="黑体" w:hAnsi="黑体" w:eastAsia="黑体" w:cs="黑体"/>
                <w:sz w:val="28"/>
                <w:szCs w:val="28"/>
              </w:rPr>
              <w:t>采购单位</w:t>
            </w:r>
          </w:p>
        </w:tc>
        <w:tc>
          <w:tcPr>
            <w:tcW w:w="2670" w:type="dxa"/>
            <w:gridSpan w:val="3"/>
            <w:noWrap w:val="0"/>
            <w:vAlign w:val="top"/>
          </w:tcPr>
          <w:p>
            <w:pPr>
              <w:spacing w:line="320" w:lineRule="exact"/>
              <w:jc w:val="center"/>
              <w:outlineLvl w:val="0"/>
              <w:rPr>
                <w:rFonts w:hint="eastAsia" w:ascii="黑体" w:hAnsi="黑体" w:eastAsia="黑体" w:cs="黑体"/>
                <w:sz w:val="28"/>
                <w:szCs w:val="28"/>
              </w:rPr>
            </w:pPr>
          </w:p>
        </w:tc>
        <w:tc>
          <w:tcPr>
            <w:tcW w:w="2004" w:type="dxa"/>
            <w:gridSpan w:val="3"/>
            <w:noWrap w:val="0"/>
            <w:vAlign w:val="top"/>
          </w:tcPr>
          <w:p>
            <w:pPr>
              <w:spacing w:line="320" w:lineRule="exact"/>
              <w:jc w:val="center"/>
              <w:outlineLvl w:val="0"/>
              <w:rPr>
                <w:rFonts w:hint="eastAsia" w:ascii="黑体" w:hAnsi="黑体" w:eastAsia="黑体" w:cs="黑体"/>
                <w:sz w:val="28"/>
                <w:szCs w:val="28"/>
              </w:rPr>
            </w:pPr>
            <w:r>
              <w:rPr>
                <w:rFonts w:hint="eastAsia" w:ascii="黑体" w:hAnsi="黑体" w:eastAsia="黑体" w:cs="黑体"/>
                <w:sz w:val="28"/>
                <w:szCs w:val="28"/>
              </w:rPr>
              <w:t>项目名称</w:t>
            </w:r>
          </w:p>
        </w:tc>
        <w:tc>
          <w:tcPr>
            <w:tcW w:w="2338" w:type="dxa"/>
            <w:gridSpan w:val="2"/>
            <w:noWrap w:val="0"/>
            <w:vAlign w:val="top"/>
          </w:tcPr>
          <w:p>
            <w:pPr>
              <w:spacing w:line="320" w:lineRule="exact"/>
              <w:outlineLvl w:val="0"/>
              <w:rPr>
                <w:rFonts w:hint="eastAsia" w:ascii="黑体" w:hAnsi="黑体" w:eastAsia="黑体" w:cs="黑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10" w:type="dxa"/>
            <w:gridSpan w:val="2"/>
            <w:noWrap w:val="0"/>
            <w:vAlign w:val="top"/>
          </w:tcPr>
          <w:p>
            <w:pPr>
              <w:spacing w:line="320" w:lineRule="exact"/>
              <w:jc w:val="center"/>
              <w:outlineLvl w:val="0"/>
              <w:rPr>
                <w:rFonts w:hint="eastAsia" w:ascii="黑体" w:hAnsi="黑体" w:eastAsia="黑体" w:cs="黑体"/>
                <w:sz w:val="28"/>
                <w:szCs w:val="28"/>
              </w:rPr>
            </w:pPr>
            <w:r>
              <w:rPr>
                <w:rFonts w:hint="eastAsia" w:ascii="黑体" w:hAnsi="黑体" w:eastAsia="黑体" w:cs="黑体"/>
                <w:sz w:val="28"/>
                <w:szCs w:val="28"/>
              </w:rPr>
              <w:t>编制单位</w:t>
            </w:r>
          </w:p>
        </w:tc>
        <w:tc>
          <w:tcPr>
            <w:tcW w:w="2670" w:type="dxa"/>
            <w:gridSpan w:val="3"/>
            <w:noWrap w:val="0"/>
            <w:vAlign w:val="top"/>
          </w:tcPr>
          <w:p>
            <w:pPr>
              <w:spacing w:line="320" w:lineRule="exact"/>
              <w:jc w:val="center"/>
              <w:outlineLvl w:val="0"/>
              <w:rPr>
                <w:rFonts w:hint="eastAsia" w:ascii="黑体" w:hAnsi="黑体" w:eastAsia="黑体" w:cs="黑体"/>
                <w:sz w:val="28"/>
                <w:szCs w:val="28"/>
              </w:rPr>
            </w:pPr>
          </w:p>
        </w:tc>
        <w:tc>
          <w:tcPr>
            <w:tcW w:w="2004" w:type="dxa"/>
            <w:gridSpan w:val="3"/>
            <w:noWrap w:val="0"/>
            <w:vAlign w:val="top"/>
          </w:tcPr>
          <w:p>
            <w:pPr>
              <w:spacing w:line="320" w:lineRule="exact"/>
              <w:jc w:val="center"/>
              <w:outlineLvl w:val="0"/>
              <w:rPr>
                <w:rFonts w:hint="eastAsia" w:ascii="黑体" w:hAnsi="黑体" w:eastAsia="黑体" w:cs="黑体"/>
                <w:sz w:val="28"/>
                <w:szCs w:val="28"/>
              </w:rPr>
            </w:pPr>
            <w:r>
              <w:rPr>
                <w:rFonts w:hint="eastAsia" w:ascii="黑体" w:hAnsi="黑体" w:eastAsia="黑体" w:cs="黑体"/>
                <w:sz w:val="28"/>
                <w:szCs w:val="28"/>
              </w:rPr>
              <w:t>编制时间</w:t>
            </w:r>
          </w:p>
        </w:tc>
        <w:tc>
          <w:tcPr>
            <w:tcW w:w="2338" w:type="dxa"/>
            <w:gridSpan w:val="2"/>
            <w:noWrap w:val="0"/>
            <w:vAlign w:val="top"/>
          </w:tcPr>
          <w:p>
            <w:pPr>
              <w:spacing w:line="320" w:lineRule="exact"/>
              <w:outlineLvl w:val="0"/>
              <w:rPr>
                <w:rFonts w:hint="eastAsia" w:ascii="黑体" w:hAnsi="黑体" w:eastAsia="黑体" w:cs="黑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10" w:type="dxa"/>
            <w:gridSpan w:val="2"/>
            <w:noWrap w:val="0"/>
            <w:vAlign w:val="top"/>
          </w:tcPr>
          <w:p>
            <w:pPr>
              <w:spacing w:line="320" w:lineRule="exact"/>
              <w:jc w:val="center"/>
              <w:outlineLvl w:val="0"/>
              <w:rPr>
                <w:rFonts w:hint="eastAsia" w:ascii="黑体" w:hAnsi="黑体" w:eastAsia="黑体" w:cs="黑体"/>
                <w:sz w:val="28"/>
                <w:szCs w:val="28"/>
              </w:rPr>
            </w:pPr>
            <w:r>
              <w:rPr>
                <w:rFonts w:hint="eastAsia" w:ascii="黑体" w:hAnsi="黑体" w:eastAsia="黑体" w:cs="黑体"/>
                <w:sz w:val="28"/>
                <w:szCs w:val="28"/>
              </w:rPr>
              <w:t>项目预算</w:t>
            </w:r>
          </w:p>
        </w:tc>
        <w:tc>
          <w:tcPr>
            <w:tcW w:w="2670" w:type="dxa"/>
            <w:gridSpan w:val="3"/>
            <w:noWrap w:val="0"/>
            <w:vAlign w:val="top"/>
          </w:tcPr>
          <w:p>
            <w:pPr>
              <w:spacing w:line="320" w:lineRule="exact"/>
              <w:outlineLvl w:val="0"/>
              <w:rPr>
                <w:rFonts w:ascii="黑体" w:hAnsi="黑体" w:eastAsia="黑体" w:cs="黑体"/>
                <w:szCs w:val="32"/>
              </w:rPr>
            </w:pPr>
            <w:r>
              <w:rPr>
                <w:rFonts w:hint="eastAsia" w:ascii="黑体" w:hAnsi="黑体" w:eastAsia="黑体" w:cs="黑体"/>
                <w:szCs w:val="32"/>
              </w:rPr>
              <w:t xml:space="preserve">         </w:t>
            </w:r>
            <w:r>
              <w:rPr>
                <w:rFonts w:hint="eastAsia" w:ascii="仿宋_GB2312" w:hAnsi="仿宋_GB2312" w:cs="仿宋_GB2312"/>
                <w:szCs w:val="32"/>
              </w:rPr>
              <w:t>万元</w:t>
            </w:r>
          </w:p>
        </w:tc>
        <w:tc>
          <w:tcPr>
            <w:tcW w:w="2004" w:type="dxa"/>
            <w:gridSpan w:val="3"/>
            <w:noWrap w:val="0"/>
            <w:vAlign w:val="top"/>
          </w:tcPr>
          <w:p>
            <w:pPr>
              <w:spacing w:line="320" w:lineRule="exact"/>
              <w:jc w:val="center"/>
              <w:outlineLvl w:val="0"/>
              <w:rPr>
                <w:rFonts w:hint="eastAsia" w:ascii="黑体" w:hAnsi="黑体" w:eastAsia="黑体" w:cs="黑体"/>
                <w:szCs w:val="32"/>
              </w:rPr>
            </w:pPr>
            <w:r>
              <w:rPr>
                <w:rFonts w:hint="eastAsia" w:ascii="黑体" w:hAnsi="黑体" w:eastAsia="黑体" w:cs="黑体"/>
                <w:sz w:val="28"/>
                <w:szCs w:val="28"/>
              </w:rPr>
              <w:t>是否进口产品</w:t>
            </w:r>
          </w:p>
        </w:tc>
        <w:tc>
          <w:tcPr>
            <w:tcW w:w="2338" w:type="dxa"/>
            <w:gridSpan w:val="2"/>
            <w:noWrap w:val="0"/>
            <w:vAlign w:val="top"/>
          </w:tcPr>
          <w:p>
            <w:pPr>
              <w:spacing w:line="320" w:lineRule="exact"/>
              <w:jc w:val="left"/>
              <w:rPr>
                <w:rFonts w:hint="eastAsia" w:ascii="仿宋_GB2312" w:hAnsi="仿宋_GB2312" w:cs="仿宋_GB2312"/>
                <w:szCs w:val="32"/>
              </w:rPr>
            </w:pPr>
            <w:r>
              <w:rPr>
                <w:rFonts w:hint="eastAsia" w:ascii="仿宋_GB2312" w:hAnsi="仿宋_GB2312" w:cs="仿宋_GB2312"/>
                <w:sz w:val="30"/>
                <w:szCs w:val="30"/>
              </w:rPr>
              <w:t>□</w:t>
            </w:r>
            <w:r>
              <w:rPr>
                <w:rFonts w:hint="eastAsia" w:ascii="仿宋_GB2312" w:hAnsi="仿宋_GB2312" w:cs="仿宋_GB2312"/>
                <w:szCs w:val="32"/>
              </w:rPr>
              <w:t xml:space="preserve">进口 </w:t>
            </w:r>
          </w:p>
          <w:p>
            <w:pPr>
              <w:spacing w:line="320" w:lineRule="exact"/>
              <w:jc w:val="left"/>
              <w:rPr>
                <w:rFonts w:hint="eastAsia" w:ascii="黑体" w:hAnsi="黑体" w:eastAsia="黑体" w:cs="黑体"/>
                <w:szCs w:val="32"/>
              </w:rPr>
            </w:pPr>
            <w:r>
              <w:rPr>
                <w:rFonts w:hint="eastAsia" w:ascii="仿宋_GB2312" w:hAnsi="仿宋_GB2312" w:cs="仿宋_GB2312"/>
                <w:sz w:val="30"/>
                <w:szCs w:val="30"/>
              </w:rPr>
              <w:t>□</w:t>
            </w:r>
            <w:r>
              <w:rPr>
                <w:rFonts w:hint="eastAsia" w:ascii="仿宋_GB2312" w:hAnsi="仿宋_GB2312" w:cs="仿宋_GB2312"/>
                <w:szCs w:val="3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510" w:type="dxa"/>
            <w:gridSpan w:val="2"/>
            <w:noWrap w:val="0"/>
            <w:vAlign w:val="top"/>
          </w:tcPr>
          <w:p>
            <w:pPr>
              <w:spacing w:line="320" w:lineRule="exact"/>
              <w:jc w:val="center"/>
              <w:outlineLvl w:val="0"/>
              <w:rPr>
                <w:rFonts w:hint="eastAsia" w:ascii="黑体" w:hAnsi="黑体" w:eastAsia="黑体" w:cs="黑体"/>
                <w:sz w:val="28"/>
                <w:szCs w:val="28"/>
              </w:rPr>
            </w:pPr>
          </w:p>
          <w:p>
            <w:pPr>
              <w:spacing w:line="320" w:lineRule="exact"/>
              <w:jc w:val="center"/>
              <w:outlineLvl w:val="0"/>
              <w:rPr>
                <w:rFonts w:hint="eastAsia" w:ascii="黑体" w:hAnsi="黑体" w:eastAsia="黑体" w:cs="黑体"/>
                <w:sz w:val="28"/>
                <w:szCs w:val="28"/>
              </w:rPr>
            </w:pPr>
          </w:p>
          <w:p>
            <w:pPr>
              <w:spacing w:line="320" w:lineRule="exact"/>
              <w:jc w:val="center"/>
              <w:outlineLvl w:val="0"/>
              <w:rPr>
                <w:rFonts w:ascii="黑体" w:hAnsi="黑体" w:eastAsia="黑体" w:cs="黑体"/>
                <w:sz w:val="28"/>
                <w:szCs w:val="28"/>
              </w:rPr>
            </w:pPr>
            <w:r>
              <w:rPr>
                <w:rFonts w:hint="eastAsia" w:ascii="黑体" w:hAnsi="黑体" w:eastAsia="黑体" w:cs="黑体"/>
                <w:sz w:val="28"/>
                <w:szCs w:val="28"/>
              </w:rPr>
              <w:t>项目概况</w:t>
            </w:r>
          </w:p>
        </w:tc>
        <w:tc>
          <w:tcPr>
            <w:tcW w:w="7012" w:type="dxa"/>
            <w:gridSpan w:val="8"/>
            <w:noWrap w:val="0"/>
            <w:vAlign w:val="top"/>
          </w:tcPr>
          <w:p>
            <w:pPr>
              <w:spacing w:line="320" w:lineRule="exact"/>
              <w:jc w:val="left"/>
              <w:rPr>
                <w:rFonts w:hint="eastAsia" w:ascii="仿宋_GB2312"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1510" w:type="dxa"/>
            <w:gridSpan w:val="2"/>
            <w:noWrap w:val="0"/>
            <w:vAlign w:val="top"/>
          </w:tcPr>
          <w:p>
            <w:pPr>
              <w:spacing w:line="320" w:lineRule="exact"/>
              <w:jc w:val="center"/>
              <w:outlineLvl w:val="0"/>
              <w:rPr>
                <w:rFonts w:hint="eastAsia" w:ascii="黑体" w:hAnsi="黑体" w:eastAsia="黑体" w:cs="黑体"/>
                <w:sz w:val="28"/>
                <w:szCs w:val="28"/>
              </w:rPr>
            </w:pPr>
          </w:p>
          <w:p>
            <w:pPr>
              <w:spacing w:line="320" w:lineRule="exact"/>
              <w:jc w:val="center"/>
              <w:outlineLvl w:val="0"/>
              <w:rPr>
                <w:rFonts w:hint="eastAsia" w:ascii="黑体" w:hAnsi="黑体" w:eastAsia="黑体" w:cs="黑体"/>
                <w:sz w:val="28"/>
                <w:szCs w:val="28"/>
              </w:rPr>
            </w:pPr>
          </w:p>
          <w:p>
            <w:pPr>
              <w:spacing w:line="320" w:lineRule="exact"/>
              <w:jc w:val="center"/>
              <w:outlineLvl w:val="0"/>
              <w:rPr>
                <w:rFonts w:hint="eastAsia" w:ascii="黑体" w:hAnsi="黑体" w:eastAsia="黑体" w:cs="黑体"/>
                <w:sz w:val="28"/>
                <w:szCs w:val="28"/>
              </w:rPr>
            </w:pPr>
          </w:p>
          <w:p>
            <w:pPr>
              <w:spacing w:line="320" w:lineRule="exact"/>
              <w:jc w:val="center"/>
              <w:outlineLvl w:val="0"/>
              <w:rPr>
                <w:rFonts w:hint="eastAsia" w:ascii="黑体" w:hAnsi="黑体" w:eastAsia="黑体" w:cs="黑体"/>
                <w:sz w:val="28"/>
                <w:szCs w:val="28"/>
              </w:rPr>
            </w:pPr>
          </w:p>
          <w:p>
            <w:pPr>
              <w:spacing w:line="320" w:lineRule="exact"/>
              <w:jc w:val="center"/>
              <w:outlineLvl w:val="0"/>
              <w:rPr>
                <w:rFonts w:ascii="宋体" w:hAnsi="宋体" w:cs="仿宋_GB2312"/>
                <w:sz w:val="24"/>
              </w:rPr>
            </w:pPr>
            <w:r>
              <w:rPr>
                <w:rFonts w:hint="eastAsia" w:ascii="黑体" w:hAnsi="黑体" w:eastAsia="黑体" w:cs="黑体"/>
                <w:sz w:val="28"/>
                <w:szCs w:val="28"/>
              </w:rPr>
              <w:t>落实政府采购政策</w:t>
            </w:r>
          </w:p>
        </w:tc>
        <w:tc>
          <w:tcPr>
            <w:tcW w:w="7012" w:type="dxa"/>
            <w:gridSpan w:val="8"/>
            <w:noWrap w:val="0"/>
            <w:vAlign w:val="top"/>
          </w:tcPr>
          <w:p>
            <w:pPr>
              <w:spacing w:line="320" w:lineRule="exact"/>
              <w:ind w:firstLine="420"/>
              <w:jc w:val="left"/>
              <w:rPr>
                <w:rFonts w:hint="eastAsia" w:ascii="仿宋_GB2312" w:hAnsi="仿宋_GB2312" w:cs="仿宋_GB2312"/>
                <w:szCs w:val="32"/>
              </w:rPr>
            </w:pPr>
          </w:p>
          <w:p>
            <w:pPr>
              <w:spacing w:line="320" w:lineRule="exact"/>
              <w:ind w:firstLine="420"/>
              <w:jc w:val="left"/>
              <w:rPr>
                <w:rFonts w:hint="eastAsia" w:ascii="仿宋_GB2312" w:hAnsi="仿宋_GB2312" w:cs="仿宋_GB2312"/>
                <w:szCs w:val="32"/>
              </w:rPr>
            </w:pPr>
            <w:r>
              <w:rPr>
                <w:rFonts w:hint="eastAsia" w:ascii="仿宋_GB2312" w:hAnsi="仿宋_GB2312" w:cs="仿宋_GB2312"/>
                <w:sz w:val="30"/>
                <w:szCs w:val="30"/>
              </w:rPr>
              <w:t>□</w:t>
            </w:r>
            <w:r>
              <w:rPr>
                <w:rFonts w:hint="eastAsia" w:ascii="仿宋_GB2312" w:hAnsi="仿宋_GB2312" w:cs="仿宋_GB2312"/>
                <w:szCs w:val="32"/>
              </w:rPr>
              <w:t>扶持中小企业</w:t>
            </w:r>
          </w:p>
          <w:p>
            <w:pPr>
              <w:spacing w:line="320" w:lineRule="exact"/>
              <w:ind w:firstLine="420"/>
              <w:jc w:val="left"/>
              <w:rPr>
                <w:rFonts w:hint="eastAsia" w:ascii="仿宋_GB2312" w:hAnsi="仿宋_GB2312" w:cs="仿宋_GB2312"/>
                <w:szCs w:val="32"/>
              </w:rPr>
            </w:pPr>
            <w:r>
              <w:rPr>
                <w:rFonts w:hint="eastAsia" w:ascii="仿宋_GB2312" w:hAnsi="仿宋_GB2312" w:cs="仿宋_GB2312"/>
                <w:sz w:val="30"/>
                <w:szCs w:val="30"/>
              </w:rPr>
              <w:t>□</w:t>
            </w:r>
            <w:r>
              <w:rPr>
                <w:rFonts w:hint="eastAsia" w:ascii="仿宋_GB2312" w:hAnsi="仿宋_GB2312" w:cs="仿宋_GB2312"/>
                <w:szCs w:val="32"/>
              </w:rPr>
              <w:t xml:space="preserve">节能环保 </w:t>
            </w:r>
          </w:p>
          <w:p>
            <w:pPr>
              <w:spacing w:line="320" w:lineRule="exact"/>
              <w:ind w:firstLine="420"/>
              <w:jc w:val="left"/>
              <w:rPr>
                <w:rFonts w:hint="eastAsia" w:ascii="黑体" w:hAnsi="黑体" w:eastAsia="黑体" w:cs="黑体"/>
                <w:szCs w:val="32"/>
              </w:rPr>
            </w:pPr>
            <w:r>
              <w:rPr>
                <w:rFonts w:hint="eastAsia" w:ascii="仿宋_GB2312" w:hAnsi="仿宋_GB2312" w:cs="仿宋_GB2312"/>
                <w:sz w:val="30"/>
                <w:szCs w:val="30"/>
              </w:rPr>
              <w:t>□</w:t>
            </w:r>
            <w:r>
              <w:rPr>
                <w:rFonts w:hint="eastAsia" w:ascii="仿宋_GB2312" w:hAnsi="仿宋_GB2312" w:cs="仿宋_GB2312"/>
                <w:szCs w:val="32"/>
              </w:rPr>
              <w:t>其他（</w:t>
            </w:r>
            <w:r>
              <w:rPr>
                <w:rFonts w:hint="eastAsia" w:ascii="仿宋_GB2312" w:hAnsi="仿宋_GB2312" w:cs="仿宋_GB2312"/>
                <w:szCs w:val="32"/>
                <w:u w:val="single"/>
              </w:rPr>
              <w:t xml:space="preserve">            </w:t>
            </w:r>
            <w:r>
              <w:rPr>
                <w:rFonts w:hint="eastAsia" w:ascii="仿宋_GB2312" w:hAnsi="仿宋_GB2312" w:cs="仿宋_GB231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510" w:type="dxa"/>
            <w:gridSpan w:val="2"/>
            <w:noWrap w:val="0"/>
            <w:vAlign w:val="top"/>
          </w:tcPr>
          <w:p>
            <w:pPr>
              <w:spacing w:line="320" w:lineRule="exact"/>
              <w:rPr>
                <w:rFonts w:hint="eastAsia" w:ascii="黑体" w:hAnsi="黑体" w:eastAsia="黑体" w:cs="黑体"/>
                <w:sz w:val="28"/>
                <w:szCs w:val="28"/>
              </w:rPr>
            </w:pPr>
          </w:p>
          <w:p>
            <w:pPr>
              <w:spacing w:line="320" w:lineRule="exact"/>
              <w:jc w:val="center"/>
              <w:rPr>
                <w:rFonts w:hint="eastAsia" w:ascii="黑体" w:hAnsi="黑体" w:eastAsia="黑体" w:cs="黑体"/>
                <w:sz w:val="28"/>
                <w:szCs w:val="28"/>
              </w:rPr>
            </w:pPr>
          </w:p>
          <w:p>
            <w:pPr>
              <w:spacing w:line="320" w:lineRule="exact"/>
              <w:jc w:val="center"/>
              <w:rPr>
                <w:rFonts w:ascii="宋体" w:hAnsi="宋体" w:cs="仿宋_GB2312"/>
                <w:sz w:val="28"/>
                <w:szCs w:val="28"/>
              </w:rPr>
            </w:pPr>
            <w:r>
              <w:rPr>
                <w:rFonts w:hint="eastAsia" w:ascii="黑体" w:hAnsi="黑体" w:eastAsia="黑体" w:cs="黑体"/>
                <w:sz w:val="28"/>
                <w:szCs w:val="28"/>
              </w:rPr>
              <w:t>标的技术要求</w:t>
            </w:r>
          </w:p>
          <w:p>
            <w:pPr>
              <w:spacing w:line="320" w:lineRule="exact"/>
              <w:jc w:val="center"/>
              <w:outlineLvl w:val="0"/>
              <w:rPr>
                <w:rFonts w:hint="eastAsia" w:ascii="宋体" w:hAnsi="宋体" w:cs="仿宋_GB2312"/>
                <w:sz w:val="24"/>
              </w:rPr>
            </w:pPr>
          </w:p>
        </w:tc>
        <w:tc>
          <w:tcPr>
            <w:tcW w:w="7012" w:type="dxa"/>
            <w:gridSpan w:val="8"/>
            <w:noWrap w:val="0"/>
            <w:vAlign w:val="top"/>
          </w:tcPr>
          <w:p>
            <w:pPr>
              <w:spacing w:line="320" w:lineRule="exact"/>
              <w:outlineLvl w:val="0"/>
              <w:rPr>
                <w:rFonts w:ascii="黑体" w:hAnsi="黑体" w:eastAsia="黑体" w:cs="黑体"/>
                <w:szCs w:val="32"/>
              </w:rPr>
            </w:pPr>
            <w:r>
              <w:rPr>
                <w:rFonts w:hint="eastAsia" w:ascii="仿宋_GB2312" w:hAnsi="仿宋_GB2312" w:cs="仿宋_GB2312"/>
                <w:i/>
                <w:iCs/>
                <w:szCs w:val="32"/>
                <w:u w:val="single"/>
              </w:rPr>
              <w:t>（采购标的的数量；需实现的功能或目标；采购项目交付或者实施的时间和地点；需满足的服务标准、期限、效率；需满足的质量、安全、技术规格、物理特性；验收标准等）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510" w:type="dxa"/>
            <w:gridSpan w:val="2"/>
            <w:noWrap w:val="0"/>
            <w:vAlign w:val="top"/>
          </w:tcPr>
          <w:p>
            <w:pPr>
              <w:spacing w:line="320" w:lineRule="exact"/>
              <w:jc w:val="center"/>
              <w:rPr>
                <w:rFonts w:hint="eastAsia" w:ascii="黑体" w:hAnsi="黑体" w:eastAsia="黑体" w:cs="黑体"/>
                <w:sz w:val="28"/>
                <w:szCs w:val="28"/>
              </w:rPr>
            </w:pPr>
          </w:p>
          <w:p>
            <w:pPr>
              <w:spacing w:line="320" w:lineRule="exact"/>
              <w:jc w:val="center"/>
              <w:rPr>
                <w:rFonts w:hint="eastAsia" w:ascii="黑体" w:hAnsi="黑体" w:eastAsia="黑体" w:cs="黑体"/>
                <w:sz w:val="28"/>
                <w:szCs w:val="28"/>
              </w:rPr>
            </w:pPr>
          </w:p>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调查方式</w:t>
            </w:r>
          </w:p>
        </w:tc>
        <w:tc>
          <w:tcPr>
            <w:tcW w:w="7012" w:type="dxa"/>
            <w:gridSpan w:val="8"/>
            <w:noWrap w:val="0"/>
            <w:vAlign w:val="top"/>
          </w:tcPr>
          <w:p>
            <w:pPr>
              <w:spacing w:line="320" w:lineRule="exact"/>
              <w:outlineLvl w:val="0"/>
              <w:rPr>
                <w:rFonts w:hint="eastAsia" w:ascii="仿宋_GB2312" w:hAnsi="仿宋_GB2312" w:cs="仿宋_GB2312"/>
                <w:szCs w:val="32"/>
              </w:rPr>
            </w:pPr>
            <w:r>
              <w:rPr>
                <w:rFonts w:hint="eastAsia" w:ascii="仿宋_GB2312" w:hAnsi="仿宋_GB2312" w:cs="仿宋_GB2312"/>
                <w:sz w:val="30"/>
                <w:szCs w:val="30"/>
              </w:rPr>
              <w:t>□</w:t>
            </w:r>
            <w:r>
              <w:rPr>
                <w:rFonts w:hint="eastAsia" w:ascii="仿宋_GB2312" w:hAnsi="仿宋_GB2312" w:cs="仿宋_GB2312"/>
                <w:szCs w:val="32"/>
              </w:rPr>
              <w:t xml:space="preserve">咨询            </w:t>
            </w:r>
            <w:r>
              <w:rPr>
                <w:rFonts w:hint="eastAsia" w:ascii="仿宋_GB2312" w:hAnsi="仿宋_GB2312" w:cs="仿宋_GB2312"/>
                <w:sz w:val="30"/>
                <w:szCs w:val="30"/>
              </w:rPr>
              <w:t>□</w:t>
            </w:r>
            <w:r>
              <w:rPr>
                <w:rFonts w:hint="eastAsia" w:ascii="仿宋_GB2312" w:hAnsi="仿宋_GB2312" w:cs="仿宋_GB2312"/>
                <w:szCs w:val="32"/>
              </w:rPr>
              <w:t>论证</w:t>
            </w:r>
          </w:p>
          <w:p>
            <w:pPr>
              <w:spacing w:line="320" w:lineRule="exact"/>
              <w:outlineLvl w:val="0"/>
              <w:rPr>
                <w:rFonts w:hint="eastAsia" w:ascii="黑体" w:hAnsi="黑体" w:eastAsia="黑体" w:cs="黑体"/>
                <w:szCs w:val="32"/>
              </w:rPr>
            </w:pPr>
            <w:r>
              <w:rPr>
                <w:rFonts w:hint="eastAsia" w:ascii="仿宋_GB2312" w:hAnsi="仿宋_GB2312" w:cs="仿宋_GB2312"/>
                <w:sz w:val="30"/>
                <w:szCs w:val="30"/>
              </w:rPr>
              <w:t>□</w:t>
            </w:r>
            <w:r>
              <w:rPr>
                <w:rFonts w:hint="eastAsia" w:ascii="仿宋_GB2312" w:hAnsi="仿宋_GB2312" w:cs="仿宋_GB2312"/>
                <w:szCs w:val="32"/>
              </w:rPr>
              <w:t xml:space="preserve">问卷调查        </w:t>
            </w:r>
            <w:r>
              <w:rPr>
                <w:rFonts w:hint="eastAsia" w:ascii="仿宋_GB2312" w:hAnsi="仿宋_GB2312" w:cs="仿宋_GB2312"/>
                <w:sz w:val="30"/>
                <w:szCs w:val="30"/>
              </w:rPr>
              <w:t>□</w:t>
            </w:r>
            <w:r>
              <w:rPr>
                <w:rFonts w:hint="eastAsia" w:ascii="仿宋_GB2312" w:hAnsi="仿宋_GB2312" w:cs="仿宋_GB2312"/>
                <w:szCs w:val="32"/>
              </w:rPr>
              <w:t>其他方式：</w:t>
            </w:r>
            <w:r>
              <w:rPr>
                <w:rFonts w:hint="eastAsia" w:ascii="仿宋_GB2312" w:hAnsi="仿宋_GB2312" w:cs="仿宋_GB231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510" w:type="dxa"/>
            <w:gridSpan w:val="2"/>
            <w:noWrap w:val="0"/>
            <w:vAlign w:val="top"/>
          </w:tcPr>
          <w:p>
            <w:pPr>
              <w:spacing w:line="320" w:lineRule="exact"/>
              <w:jc w:val="center"/>
              <w:rPr>
                <w:rFonts w:hint="eastAsia" w:ascii="黑体" w:hAnsi="黑体" w:eastAsia="黑体" w:cs="黑体"/>
                <w:sz w:val="28"/>
                <w:szCs w:val="28"/>
              </w:rPr>
            </w:pPr>
          </w:p>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调查对象</w:t>
            </w:r>
          </w:p>
        </w:tc>
        <w:tc>
          <w:tcPr>
            <w:tcW w:w="7012" w:type="dxa"/>
            <w:gridSpan w:val="8"/>
            <w:noWrap w:val="0"/>
            <w:vAlign w:val="top"/>
          </w:tcPr>
          <w:p>
            <w:pPr>
              <w:spacing w:line="320" w:lineRule="exact"/>
              <w:outlineLvl w:val="0"/>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510" w:type="dxa"/>
            <w:gridSpan w:val="2"/>
            <w:noWrap w:val="0"/>
            <w:vAlign w:val="top"/>
          </w:tcPr>
          <w:p>
            <w:pPr>
              <w:spacing w:line="720" w:lineRule="auto"/>
              <w:jc w:val="center"/>
              <w:rPr>
                <w:rFonts w:hint="eastAsia" w:ascii="黑体" w:hAnsi="黑体" w:eastAsia="黑体" w:cs="黑体"/>
                <w:sz w:val="28"/>
                <w:szCs w:val="28"/>
              </w:rPr>
            </w:pPr>
            <w:r>
              <w:rPr>
                <w:rFonts w:hint="eastAsia" w:ascii="黑体" w:hAnsi="黑体" w:eastAsia="黑体" w:cs="黑体"/>
                <w:sz w:val="28"/>
                <w:szCs w:val="28"/>
              </w:rPr>
              <w:t>调查结果</w:t>
            </w:r>
          </w:p>
        </w:tc>
        <w:tc>
          <w:tcPr>
            <w:tcW w:w="7012" w:type="dxa"/>
            <w:gridSpan w:val="8"/>
            <w:noWrap w:val="0"/>
            <w:vAlign w:val="top"/>
          </w:tcPr>
          <w:p>
            <w:pPr>
              <w:spacing w:line="560" w:lineRule="exact"/>
              <w:outlineLvl w:val="0"/>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510" w:type="dxa"/>
            <w:gridSpan w:val="2"/>
            <w:noWrap w:val="0"/>
            <w:vAlign w:val="top"/>
          </w:tcPr>
          <w:p>
            <w:pPr>
              <w:jc w:val="center"/>
              <w:rPr>
                <w:rFonts w:hint="eastAsia" w:ascii="黑体" w:hAnsi="黑体" w:eastAsia="黑体" w:cs="黑体"/>
                <w:sz w:val="28"/>
                <w:szCs w:val="28"/>
              </w:rPr>
            </w:pPr>
            <w:r>
              <w:rPr>
                <w:rFonts w:hint="eastAsia" w:ascii="黑体" w:hAnsi="黑体" w:eastAsia="黑体" w:cs="黑体"/>
                <w:sz w:val="28"/>
                <w:szCs w:val="28"/>
              </w:rPr>
              <w:t>一般性</w:t>
            </w:r>
          </w:p>
          <w:p>
            <w:pPr>
              <w:jc w:val="center"/>
              <w:rPr>
                <w:rFonts w:ascii="黑体" w:hAnsi="黑体" w:eastAsia="黑体" w:cs="黑体"/>
                <w:sz w:val="28"/>
                <w:szCs w:val="28"/>
              </w:rPr>
            </w:pPr>
            <w:r>
              <w:rPr>
                <w:rFonts w:hint="eastAsia" w:ascii="黑体" w:hAnsi="黑体" w:eastAsia="黑体" w:cs="黑体"/>
                <w:sz w:val="28"/>
                <w:szCs w:val="28"/>
              </w:rPr>
              <w:t>审查意见</w:t>
            </w:r>
          </w:p>
        </w:tc>
        <w:tc>
          <w:tcPr>
            <w:tcW w:w="7012" w:type="dxa"/>
            <w:gridSpan w:val="8"/>
            <w:noWrap w:val="0"/>
            <w:vAlign w:val="top"/>
          </w:tcPr>
          <w:p>
            <w:pPr>
              <w:spacing w:line="560" w:lineRule="exact"/>
              <w:outlineLvl w:val="0"/>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510" w:type="dxa"/>
            <w:gridSpan w:val="2"/>
            <w:noWrap w:val="0"/>
            <w:vAlign w:val="top"/>
          </w:tcPr>
          <w:p>
            <w:pPr>
              <w:jc w:val="center"/>
              <w:rPr>
                <w:rFonts w:ascii="黑体" w:hAnsi="黑体" w:eastAsia="黑体" w:cs="黑体"/>
                <w:sz w:val="28"/>
                <w:szCs w:val="28"/>
              </w:rPr>
            </w:pPr>
            <w:r>
              <w:rPr>
                <w:rFonts w:hint="eastAsia" w:ascii="黑体" w:hAnsi="黑体" w:eastAsia="黑体" w:cs="黑体"/>
                <w:sz w:val="28"/>
                <w:szCs w:val="28"/>
              </w:rPr>
              <w:t>重点审查意见</w:t>
            </w:r>
          </w:p>
        </w:tc>
        <w:tc>
          <w:tcPr>
            <w:tcW w:w="7012" w:type="dxa"/>
            <w:gridSpan w:val="8"/>
            <w:noWrap w:val="0"/>
            <w:vAlign w:val="top"/>
          </w:tcPr>
          <w:p>
            <w:pPr>
              <w:spacing w:line="560" w:lineRule="exact"/>
              <w:outlineLvl w:val="0"/>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522" w:type="dxa"/>
            <w:gridSpan w:val="10"/>
            <w:noWrap w:val="0"/>
            <w:vAlign w:val="top"/>
          </w:tcPr>
          <w:p>
            <w:pPr>
              <w:spacing w:before="579" w:beforeLines="100" w:line="15" w:lineRule="auto"/>
              <w:jc w:val="left"/>
              <w:rPr>
                <w:rFonts w:hint="eastAsia" w:ascii="宋体" w:hAnsi="宋体" w:cs="仿宋_GB2312"/>
                <w:sz w:val="24"/>
              </w:rPr>
            </w:pPr>
            <w:r>
              <w:rPr>
                <w:rFonts w:hint="eastAsia" w:ascii="宋体" w:hAnsi="宋体"/>
                <w:b/>
                <w:sz w:val="28"/>
                <w:szCs w:val="28"/>
              </w:rPr>
              <w:t>参与审查人员名单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7" w:type="dxa"/>
            <w:noWrap w:val="0"/>
            <w:vAlign w:val="center"/>
          </w:tcPr>
          <w:p>
            <w:pPr>
              <w:spacing w:line="320" w:lineRule="exact"/>
              <w:jc w:val="center"/>
              <w:rPr>
                <w:rFonts w:hint="eastAsia" w:ascii="宋体" w:hAnsi="宋体"/>
                <w:b/>
                <w:bCs/>
                <w:sz w:val="24"/>
              </w:rPr>
            </w:pPr>
            <w:r>
              <w:rPr>
                <w:rFonts w:hint="eastAsia" w:ascii="宋体" w:hAnsi="宋体"/>
                <w:b/>
                <w:bCs/>
                <w:sz w:val="24"/>
              </w:rPr>
              <w:t>序号</w:t>
            </w:r>
          </w:p>
        </w:tc>
        <w:tc>
          <w:tcPr>
            <w:tcW w:w="1217" w:type="dxa"/>
            <w:gridSpan w:val="2"/>
            <w:noWrap w:val="0"/>
            <w:vAlign w:val="center"/>
          </w:tcPr>
          <w:p>
            <w:pPr>
              <w:spacing w:line="320" w:lineRule="exact"/>
              <w:jc w:val="center"/>
              <w:rPr>
                <w:rFonts w:hint="eastAsia" w:ascii="宋体" w:hAnsi="宋体"/>
                <w:b/>
                <w:bCs/>
                <w:sz w:val="24"/>
              </w:rPr>
            </w:pPr>
            <w:r>
              <w:rPr>
                <w:rFonts w:ascii="宋体" w:hAnsi="宋体"/>
                <w:b/>
                <w:bCs/>
                <w:sz w:val="24"/>
              </w:rPr>
              <w:t>姓名</w:t>
            </w:r>
          </w:p>
        </w:tc>
        <w:tc>
          <w:tcPr>
            <w:tcW w:w="1217" w:type="dxa"/>
            <w:noWrap w:val="0"/>
            <w:vAlign w:val="center"/>
          </w:tcPr>
          <w:p>
            <w:pPr>
              <w:spacing w:line="320" w:lineRule="exact"/>
              <w:jc w:val="center"/>
              <w:rPr>
                <w:rFonts w:hint="eastAsia" w:ascii="宋体" w:hAnsi="宋体"/>
                <w:b/>
                <w:bCs/>
                <w:sz w:val="24"/>
              </w:rPr>
            </w:pPr>
            <w:r>
              <w:rPr>
                <w:rFonts w:hint="eastAsia" w:ascii="宋体" w:hAnsi="宋体"/>
                <w:b/>
                <w:bCs/>
                <w:sz w:val="24"/>
              </w:rPr>
              <w:t>单位</w:t>
            </w:r>
          </w:p>
        </w:tc>
        <w:tc>
          <w:tcPr>
            <w:tcW w:w="1217" w:type="dxa"/>
            <w:gridSpan w:val="2"/>
            <w:noWrap w:val="0"/>
            <w:vAlign w:val="center"/>
          </w:tcPr>
          <w:p>
            <w:pPr>
              <w:spacing w:line="320" w:lineRule="exact"/>
              <w:jc w:val="center"/>
              <w:rPr>
                <w:rFonts w:hint="eastAsia" w:ascii="宋体" w:hAnsi="宋体"/>
                <w:b/>
                <w:bCs/>
                <w:sz w:val="24"/>
              </w:rPr>
            </w:pPr>
            <w:r>
              <w:rPr>
                <w:rFonts w:hint="eastAsia" w:ascii="宋体" w:hAnsi="宋体"/>
                <w:b/>
                <w:bCs/>
                <w:sz w:val="24"/>
              </w:rPr>
              <w:t>内部处室</w:t>
            </w:r>
          </w:p>
        </w:tc>
        <w:tc>
          <w:tcPr>
            <w:tcW w:w="1217" w:type="dxa"/>
            <w:noWrap w:val="0"/>
            <w:vAlign w:val="center"/>
          </w:tcPr>
          <w:p>
            <w:pPr>
              <w:spacing w:line="320" w:lineRule="exact"/>
              <w:jc w:val="center"/>
              <w:rPr>
                <w:rFonts w:hint="eastAsia" w:ascii="宋体" w:hAnsi="宋体"/>
                <w:b/>
                <w:bCs/>
                <w:sz w:val="24"/>
              </w:rPr>
            </w:pPr>
            <w:r>
              <w:rPr>
                <w:rFonts w:hint="eastAsia" w:ascii="宋体" w:hAnsi="宋体"/>
                <w:b/>
                <w:bCs/>
                <w:sz w:val="24"/>
              </w:rPr>
              <w:t>职务/</w:t>
            </w:r>
          </w:p>
          <w:p>
            <w:pPr>
              <w:spacing w:line="320" w:lineRule="exact"/>
              <w:jc w:val="center"/>
              <w:rPr>
                <w:rFonts w:hint="eastAsia" w:ascii="宋体" w:hAnsi="宋体"/>
                <w:b/>
                <w:bCs/>
                <w:sz w:val="24"/>
              </w:rPr>
            </w:pPr>
            <w:r>
              <w:rPr>
                <w:rFonts w:hint="eastAsia" w:ascii="宋体" w:hAnsi="宋体"/>
                <w:b/>
                <w:bCs/>
                <w:sz w:val="24"/>
              </w:rPr>
              <w:t>职称</w:t>
            </w:r>
          </w:p>
        </w:tc>
        <w:tc>
          <w:tcPr>
            <w:tcW w:w="1217" w:type="dxa"/>
            <w:gridSpan w:val="2"/>
            <w:noWrap w:val="0"/>
            <w:vAlign w:val="center"/>
          </w:tcPr>
          <w:p>
            <w:pPr>
              <w:spacing w:line="320" w:lineRule="exact"/>
              <w:jc w:val="center"/>
              <w:rPr>
                <w:rFonts w:hint="eastAsia" w:ascii="宋体" w:hAnsi="宋体"/>
                <w:b/>
                <w:bCs/>
                <w:sz w:val="24"/>
              </w:rPr>
            </w:pPr>
            <w:r>
              <w:rPr>
                <w:rFonts w:hint="eastAsia" w:ascii="宋体" w:hAnsi="宋体"/>
                <w:b/>
                <w:bCs/>
                <w:sz w:val="24"/>
              </w:rPr>
              <w:t>联系方式</w:t>
            </w:r>
          </w:p>
        </w:tc>
        <w:tc>
          <w:tcPr>
            <w:tcW w:w="1220" w:type="dxa"/>
            <w:noWrap w:val="0"/>
            <w:vAlign w:val="center"/>
          </w:tcPr>
          <w:p>
            <w:pPr>
              <w:spacing w:line="320" w:lineRule="exact"/>
              <w:jc w:val="center"/>
              <w:rPr>
                <w:rFonts w:hint="eastAsia"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20" w:type="dxa"/>
            <w:noWrap w:val="0"/>
            <w:vAlign w:val="top"/>
          </w:tcPr>
          <w:p>
            <w:pPr>
              <w:spacing w:before="579" w:beforeLines="100" w:line="320" w:lineRule="exact"/>
              <w:jc w:val="lef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20" w:type="dxa"/>
            <w:noWrap w:val="0"/>
            <w:vAlign w:val="top"/>
          </w:tcPr>
          <w:p>
            <w:pPr>
              <w:spacing w:before="579" w:beforeLines="100" w:line="320" w:lineRule="exact"/>
              <w:jc w:val="lef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20" w:type="dxa"/>
            <w:noWrap w:val="0"/>
            <w:vAlign w:val="top"/>
          </w:tcPr>
          <w:p>
            <w:pPr>
              <w:spacing w:before="579" w:beforeLines="100" w:line="320" w:lineRule="exact"/>
              <w:jc w:val="lef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17" w:type="dxa"/>
            <w:noWrap w:val="0"/>
            <w:vAlign w:val="top"/>
          </w:tcPr>
          <w:p>
            <w:pPr>
              <w:spacing w:before="579" w:beforeLines="100" w:line="320" w:lineRule="exact"/>
              <w:jc w:val="left"/>
              <w:rPr>
                <w:rFonts w:hint="eastAsia" w:ascii="宋体" w:hAnsi="宋体"/>
                <w:b/>
                <w:sz w:val="28"/>
                <w:szCs w:val="28"/>
              </w:rPr>
            </w:pPr>
          </w:p>
        </w:tc>
        <w:tc>
          <w:tcPr>
            <w:tcW w:w="1217" w:type="dxa"/>
            <w:gridSpan w:val="2"/>
            <w:noWrap w:val="0"/>
            <w:vAlign w:val="top"/>
          </w:tcPr>
          <w:p>
            <w:pPr>
              <w:spacing w:before="579" w:beforeLines="100" w:line="320" w:lineRule="exact"/>
              <w:jc w:val="left"/>
              <w:rPr>
                <w:rFonts w:hint="eastAsia" w:ascii="宋体" w:hAnsi="宋体"/>
                <w:b/>
                <w:sz w:val="28"/>
                <w:szCs w:val="28"/>
              </w:rPr>
            </w:pPr>
          </w:p>
        </w:tc>
        <w:tc>
          <w:tcPr>
            <w:tcW w:w="1220" w:type="dxa"/>
            <w:noWrap w:val="0"/>
            <w:vAlign w:val="top"/>
          </w:tcPr>
          <w:p>
            <w:pPr>
              <w:spacing w:before="579" w:beforeLines="100" w:line="320" w:lineRule="exact"/>
              <w:jc w:val="lef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top"/>
          </w:tcPr>
          <w:p>
            <w:pPr>
              <w:spacing w:line="360" w:lineRule="auto"/>
              <w:jc w:val="center"/>
              <w:rPr>
                <w:rFonts w:hint="eastAsia" w:ascii="黑体" w:hAnsi="黑体" w:eastAsia="黑体" w:cs="黑体"/>
                <w:b w:val="0"/>
                <w:bCs/>
                <w:sz w:val="28"/>
                <w:szCs w:val="28"/>
              </w:rPr>
            </w:pPr>
            <w:r>
              <w:rPr>
                <w:rFonts w:hint="eastAsia" w:ascii="黑体" w:hAnsi="黑体" w:eastAsia="黑体" w:cs="黑体"/>
                <w:b w:val="0"/>
                <w:bCs/>
                <w:sz w:val="28"/>
                <w:szCs w:val="28"/>
              </w:rPr>
              <w:t>审查</w:t>
            </w:r>
          </w:p>
          <w:p>
            <w:pPr>
              <w:spacing w:line="360" w:lineRule="auto"/>
              <w:jc w:val="center"/>
              <w:rPr>
                <w:rFonts w:hint="eastAsia" w:ascii="宋体" w:hAnsi="宋体"/>
                <w:b/>
                <w:sz w:val="28"/>
                <w:szCs w:val="28"/>
              </w:rPr>
            </w:pPr>
            <w:r>
              <w:rPr>
                <w:rFonts w:hint="eastAsia" w:ascii="黑体" w:hAnsi="黑体" w:eastAsia="黑体" w:cs="黑体"/>
                <w:b w:val="0"/>
                <w:bCs/>
                <w:sz w:val="28"/>
                <w:szCs w:val="28"/>
              </w:rPr>
              <w:t>结果</w:t>
            </w:r>
          </w:p>
        </w:tc>
        <w:tc>
          <w:tcPr>
            <w:tcW w:w="7305" w:type="dxa"/>
            <w:gridSpan w:val="9"/>
            <w:noWrap w:val="0"/>
            <w:vAlign w:val="top"/>
          </w:tcPr>
          <w:p>
            <w:pPr>
              <w:spacing w:line="360" w:lineRule="auto"/>
              <w:jc w:val="left"/>
              <w:rPr>
                <w:rFonts w:hint="eastAsia" w:ascii="仿宋_GB2312" w:hAnsi="仿宋_GB2312" w:cs="仿宋_GB2312"/>
                <w:bCs/>
                <w:szCs w:val="32"/>
              </w:rPr>
            </w:pPr>
            <w:r>
              <w:rPr>
                <w:rFonts w:hint="eastAsia" w:ascii="仿宋_GB2312" w:hAnsi="仿宋_GB2312" w:cs="仿宋_GB2312"/>
                <w:b/>
                <w:szCs w:val="32"/>
              </w:rPr>
              <w:t xml:space="preserve">  </w:t>
            </w:r>
            <w:r>
              <w:rPr>
                <w:rFonts w:hint="eastAsia" w:ascii="仿宋_GB2312" w:hAnsi="仿宋_GB2312" w:cs="仿宋_GB2312"/>
                <w:sz w:val="30"/>
                <w:szCs w:val="30"/>
              </w:rPr>
              <w:t>□</w:t>
            </w:r>
            <w:r>
              <w:rPr>
                <w:rFonts w:hint="eastAsia" w:ascii="仿宋_GB2312" w:hAnsi="仿宋_GB2312" w:cs="仿宋_GB2312"/>
                <w:bCs/>
                <w:szCs w:val="32"/>
              </w:rPr>
              <w:t xml:space="preserve">通过            </w:t>
            </w:r>
            <w:r>
              <w:rPr>
                <w:rFonts w:hint="eastAsia" w:ascii="仿宋_GB2312" w:hAnsi="仿宋_GB2312" w:cs="仿宋_GB2312"/>
                <w:sz w:val="30"/>
                <w:szCs w:val="30"/>
              </w:rPr>
              <w:t>□</w:t>
            </w:r>
            <w:r>
              <w:rPr>
                <w:rFonts w:hint="eastAsia" w:ascii="仿宋_GB2312" w:hAnsi="仿宋_GB2312" w:cs="仿宋_GB2312"/>
                <w:bCs/>
                <w:szCs w:val="32"/>
              </w:rPr>
              <w:t>不通过</w:t>
            </w:r>
          </w:p>
          <w:p>
            <w:pPr>
              <w:spacing w:line="360" w:lineRule="auto"/>
              <w:ind w:firstLine="320" w:firstLineChars="100"/>
              <w:jc w:val="left"/>
              <w:rPr>
                <w:rFonts w:hint="eastAsia" w:ascii="仿宋_GB2312" w:hAnsi="仿宋_GB2312" w:cs="仿宋_GB2312"/>
                <w:bCs/>
                <w:szCs w:val="32"/>
              </w:rPr>
            </w:pPr>
            <w:r>
              <w:rPr>
                <w:rFonts w:hint="eastAsia" w:ascii="仿宋_GB2312" w:hAnsi="仿宋_GB2312" w:cs="仿宋_GB2312"/>
                <w:bCs/>
                <w:szCs w:val="32"/>
              </w:rPr>
              <w:t>签字：</w:t>
            </w:r>
          </w:p>
        </w:tc>
      </w:tr>
    </w:tbl>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hint="eastAsia" w:ascii="黑体" w:hAnsi="黑体" w:eastAsia="黑体" w:cs="黑体"/>
          <w:szCs w:val="32"/>
        </w:rPr>
      </w:pPr>
    </w:p>
    <w:p>
      <w:pPr>
        <w:spacing w:line="560" w:lineRule="exact"/>
        <w:outlineLvl w:val="0"/>
        <w:rPr>
          <w:rFonts w:ascii="黑体" w:hAnsi="黑体" w:eastAsia="黑体" w:cs="黑体"/>
          <w:szCs w:val="32"/>
        </w:rPr>
      </w:pPr>
      <w:r>
        <w:rPr>
          <w:rFonts w:hint="eastAsia" w:ascii="黑体" w:hAnsi="黑体" w:eastAsia="黑体" w:cs="黑体"/>
          <w:szCs w:val="32"/>
        </w:rPr>
        <w:t>附件11</w:t>
      </w:r>
    </w:p>
    <w:p>
      <w:pPr>
        <w:spacing w:line="560" w:lineRule="exact"/>
        <w:outlineLvl w:val="0"/>
        <w:rPr>
          <w:rFonts w:hint="eastAsia" w:ascii="黑体" w:hAnsi="黑体" w:eastAsia="黑体" w:cs="黑体"/>
          <w:szCs w:val="32"/>
        </w:rPr>
      </w:pP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非面向中小企业采购说明</w:t>
      </w:r>
    </w:p>
    <w:p>
      <w:pPr>
        <w:spacing w:line="560" w:lineRule="exact"/>
        <w:outlineLvl w:val="0"/>
        <w:rPr>
          <w:rFonts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44"/>
          <w:szCs w:val="44"/>
        </w:rPr>
        <w:t xml:space="preserve">    </w:t>
      </w:r>
    </w:p>
    <w:p>
      <w:pPr>
        <w:spacing w:line="560" w:lineRule="exact"/>
        <w:ind w:firstLine="640" w:firstLineChars="200"/>
        <w:rPr>
          <w:rFonts w:hint="eastAsia" w:ascii="仿宋_GB2312" w:hAnsi="仿宋_GB2312" w:eastAsia="仿宋_GB2312" w:cs="仿宋_GB2312"/>
          <w:color w:val="000000"/>
          <w:szCs w:val="32"/>
          <w:lang w:eastAsia="zh-CN"/>
        </w:rPr>
      </w:pPr>
      <w:r>
        <w:rPr>
          <w:rFonts w:hint="eastAsia" w:ascii="仿宋_GB2312" w:hAnsi="仿宋_GB2312" w:cs="仿宋_GB2312"/>
          <w:color w:val="000000"/>
          <w:szCs w:val="32"/>
        </w:rPr>
        <w:t>兹有我单位XXXX 项目，预算金额XXXX万元，经充分的采购需求调研，符合《政府采购促进中小企业发展管理办法》第六条第X款之规定（法律法规和国家有关政策明确规定优先或者应当面向事业单位、社会组织等非企业主体采购的/因确需使用不可替代的专利、专有技术，基础设施限制，或者提供特定公共服务等原因，只能从中小企业之外的供应商处采购的/按照本办法规定预留采购份额无法确保充分供应、充分竞争，或者存在可能影响政府采购目标实现的情形/框架协议采购项目），不专门面向中小企业预留采购份额。具体原因如下：（需结合项目情况详述不予预留的原因，例如：XXXX项目生产方都是大型企业，如</w:t>
      </w:r>
      <w:r>
        <w:rPr>
          <w:rFonts w:hint="eastAsia" w:ascii="仿宋_GB2312" w:hAnsi="仿宋_GB2312" w:cs="仿宋_GB2312"/>
          <w:color w:val="000000"/>
          <w:szCs w:val="32"/>
          <w:u w:val="single"/>
        </w:rPr>
        <w:t xml:space="preserve">          </w:t>
      </w:r>
      <w:r>
        <w:rPr>
          <w:rFonts w:hint="eastAsia" w:ascii="仿宋_GB2312" w:hAnsi="仿宋_GB2312" w:cs="仿宋_GB2312"/>
          <w:color w:val="000000"/>
          <w:szCs w:val="32"/>
        </w:rPr>
        <w:t>公司和</w:t>
      </w:r>
      <w:r>
        <w:rPr>
          <w:rFonts w:hint="eastAsia" w:ascii="仿宋_GB2312" w:hAnsi="仿宋_GB2312" w:cs="仿宋_GB2312"/>
          <w:color w:val="000000"/>
          <w:szCs w:val="32"/>
          <w:u w:val="single"/>
        </w:rPr>
        <w:t xml:space="preserve">         </w:t>
      </w:r>
      <w:r>
        <w:rPr>
          <w:rFonts w:hint="eastAsia" w:ascii="仿宋_GB2312" w:hAnsi="仿宋_GB2312" w:cs="仿宋_GB2312"/>
          <w:color w:val="000000"/>
          <w:szCs w:val="32"/>
        </w:rPr>
        <w:t>公司。所以我单位采购的</w:t>
      </w:r>
      <w:r>
        <w:rPr>
          <w:rFonts w:hint="eastAsia" w:ascii="仿宋_GB2312" w:hAnsi="仿宋_GB2312" w:cs="仿宋_GB2312"/>
          <w:color w:val="000000"/>
          <w:szCs w:val="32"/>
          <w:u w:val="single"/>
        </w:rPr>
        <w:t xml:space="preserve">       </w:t>
      </w:r>
      <w:r>
        <w:rPr>
          <w:rFonts w:hint="eastAsia" w:ascii="仿宋_GB2312" w:hAnsi="仿宋_GB2312" w:cs="仿宋_GB2312"/>
          <w:color w:val="000000"/>
          <w:szCs w:val="32"/>
        </w:rPr>
        <w:t>都是中小企业无法提供或很难提供的，故申请XXXX项目不专门面向中小企业采购）</w:t>
      </w:r>
      <w:r>
        <w:rPr>
          <w:rFonts w:hint="eastAsia" w:ascii="仿宋_GB2312" w:hAnsi="仿宋_GB2312" w:cs="仿宋_GB2312"/>
          <w:color w:val="000000"/>
          <w:szCs w:val="32"/>
          <w:lang w:eastAsia="zh-CN"/>
        </w:rPr>
        <w:t>。</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特此说明</w:t>
      </w:r>
    </w:p>
    <w:p>
      <w:pPr>
        <w:spacing w:line="560" w:lineRule="exact"/>
        <w:rPr>
          <w:rFonts w:hint="eastAsia" w:ascii="仿宋_GB2312" w:hAnsi="仿宋_GB2312" w:cs="仿宋_GB2312"/>
          <w:color w:val="000000"/>
          <w:szCs w:val="32"/>
        </w:rPr>
      </w:pP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color w:val="000000"/>
          <w:szCs w:val="32"/>
          <w:lang w:val="en-US" w:eastAsia="zh-CN"/>
        </w:rPr>
        <w:t xml:space="preserve">     </w:t>
      </w:r>
      <w:r>
        <w:rPr>
          <w:rFonts w:hint="eastAsia" w:ascii="仿宋_GB2312" w:hAnsi="仿宋_GB2312" w:cs="仿宋_GB2312"/>
          <w:color w:val="000000"/>
          <w:szCs w:val="32"/>
        </w:rPr>
        <w:t>XXX单位（签章）</w:t>
      </w:r>
    </w:p>
    <w:p>
      <w:pPr>
        <w:spacing w:line="560" w:lineRule="exact"/>
        <w:ind w:firstLine="640" w:firstLineChars="200"/>
        <w:rPr>
          <w:rFonts w:hint="eastAsia" w:ascii="黑体" w:hAnsi="宋体"/>
          <w:sz w:val="28"/>
          <w:szCs w:val="28"/>
        </w:rPr>
      </w:pPr>
      <w:r>
        <w:rPr>
          <w:rFonts w:hint="eastAsia" w:ascii="仿宋_GB2312" w:hAnsi="仿宋_GB2312" w:cs="仿宋_GB2312"/>
          <w:color w:val="000000"/>
          <w:szCs w:val="32"/>
        </w:rPr>
        <w:t xml:space="preserve">                        </w:t>
      </w:r>
      <w:r>
        <w:rPr>
          <w:rFonts w:hint="eastAsia" w:ascii="仿宋_GB2312" w:hAnsi="仿宋_GB2312" w:cs="仿宋_GB2312"/>
          <w:color w:val="000000"/>
          <w:szCs w:val="32"/>
          <w:lang w:val="en-US" w:eastAsia="zh-CN"/>
        </w:rPr>
        <w:t xml:space="preserve">    </w:t>
      </w:r>
      <w:r>
        <w:rPr>
          <w:rFonts w:hint="eastAsia" w:ascii="仿宋_GB2312" w:hAnsi="仿宋_GB2312" w:cs="仿宋_GB2312"/>
          <w:color w:val="000000"/>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79E75"/>
    <w:multiLevelType w:val="singleLevel"/>
    <w:tmpl w:val="8E479E75"/>
    <w:lvl w:ilvl="0" w:tentative="0">
      <w:start w:val="1"/>
      <w:numFmt w:val="chineseCounting"/>
      <w:suff w:val="nothing"/>
      <w:lvlText w:val="（%1）"/>
      <w:lvlJc w:val="left"/>
      <w:rPr>
        <w:rFonts w:hint="eastAsia"/>
      </w:rPr>
    </w:lvl>
  </w:abstractNum>
  <w:abstractNum w:abstractNumId="1">
    <w:nsid w:val="BA477715"/>
    <w:multiLevelType w:val="singleLevel"/>
    <w:tmpl w:val="BA477715"/>
    <w:lvl w:ilvl="0" w:tentative="0">
      <w:start w:val="1"/>
      <w:numFmt w:val="chineseCounting"/>
      <w:suff w:val="nothing"/>
      <w:lvlText w:val="（%1）"/>
      <w:lvlJc w:val="left"/>
      <w:rPr>
        <w:rFonts w:hint="eastAsia"/>
      </w:rPr>
    </w:lvl>
  </w:abstractNum>
  <w:abstractNum w:abstractNumId="2">
    <w:nsid w:val="CD6BEF24"/>
    <w:multiLevelType w:val="singleLevel"/>
    <w:tmpl w:val="CD6BEF24"/>
    <w:lvl w:ilvl="0" w:tentative="0">
      <w:start w:val="1"/>
      <w:numFmt w:val="chineseCounting"/>
      <w:suff w:val="nothing"/>
      <w:lvlText w:val="（%1）"/>
      <w:lvlJc w:val="left"/>
      <w:rPr>
        <w:rFonts w:hint="eastAsia"/>
      </w:rPr>
    </w:lvl>
  </w:abstractNum>
  <w:abstractNum w:abstractNumId="3">
    <w:nsid w:val="E61F8CB5"/>
    <w:multiLevelType w:val="singleLevel"/>
    <w:tmpl w:val="E61F8CB5"/>
    <w:lvl w:ilvl="0" w:tentative="0">
      <w:start w:val="2"/>
      <w:numFmt w:val="chineseCounting"/>
      <w:suff w:val="nothing"/>
      <w:lvlText w:val="（%1）"/>
      <w:lvlJc w:val="left"/>
      <w:rPr>
        <w:rFonts w:hint="eastAsia"/>
      </w:rPr>
    </w:lvl>
  </w:abstractNum>
  <w:abstractNum w:abstractNumId="4">
    <w:nsid w:val="70530627"/>
    <w:multiLevelType w:val="singleLevel"/>
    <w:tmpl w:val="70530627"/>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Y2NhZGI5Zjk2MmFkNWJiNWIxZTljNjMyZDliOWIifQ=="/>
  </w:docVars>
  <w:rsids>
    <w:rsidRoot w:val="1C1B2917"/>
    <w:rsid w:val="1C1B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eastAsia="宋体"/>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rFonts w:cs="Times New Roman"/>
      <w:color w:val="333333"/>
      <w:u w:val="none"/>
    </w:rPr>
  </w:style>
  <w:style w:type="paragraph" w:customStyle="1" w:styleId="7">
    <w:name w:val=" Char Char2 Char Char Char Char Char Char Char Char Char Char Char Char"/>
    <w:basedOn w:val="1"/>
    <w:qFormat/>
    <w:uiPriority w:val="0"/>
    <w:pPr>
      <w:widowControl/>
      <w:ind w:firstLine="617" w:firstLineChars="257"/>
      <w:jc w:val="left"/>
    </w:pPr>
    <w:rPr>
      <w:rFonts w:ascii="仿宋_GB2312" w:hAnsi="Tahoma" w:cs="Arial"/>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2022-06-29T07:29:00Z</dcterms:created>
  <dc:creator>武月</dc:creator>
  <cp:lastModifiedBy>武月</cp:lastModifiedBy>
  <dcterms:modified xsi:type="dcterms:W3CDTF">2022-06-29T07:30:47Z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578CA9B5496A4A259C2A7F92BAF95918</vt:lpwstr>
  </property>
</Properties>
</file>