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kern w:val="0"/>
          <w:sz w:val="44"/>
          <w:szCs w:val="44"/>
        </w:rPr>
      </w:pPr>
      <w:r>
        <w:rPr>
          <w:rFonts w:hint="eastAsia" w:eastAsia="方正小标宋简体"/>
          <w:kern w:val="0"/>
          <w:sz w:val="44"/>
          <w:szCs w:val="44"/>
        </w:rPr>
        <w:t>固镇县</w:t>
      </w:r>
      <w:r>
        <w:rPr>
          <w:rFonts w:eastAsia="方正小标宋简体"/>
          <w:kern w:val="0"/>
          <w:sz w:val="44"/>
          <w:szCs w:val="44"/>
        </w:rPr>
        <w:t>法治政府建设实施方案（</w:t>
      </w:r>
      <w:r>
        <w:rPr>
          <w:rFonts w:hint="default" w:ascii="Times New Roman" w:hAnsi="Times New Roman" w:eastAsia="方正小标宋简体" w:cs="Times New Roman"/>
          <w:kern w:val="0"/>
          <w:sz w:val="44"/>
          <w:szCs w:val="44"/>
        </w:rPr>
        <w:t>2021-2025</w:t>
      </w:r>
      <w:r>
        <w:rPr>
          <w:rFonts w:eastAsia="方正小标宋简体"/>
          <w:kern w:val="0"/>
          <w:sz w:val="44"/>
          <w:szCs w:val="44"/>
        </w:rPr>
        <w:t>年）主要任务分解表</w:t>
      </w:r>
    </w:p>
    <w:p>
      <w:pPr>
        <w:spacing w:line="300" w:lineRule="exact"/>
        <w:jc w:val="left"/>
        <w:rPr>
          <w:rFonts w:ascii="黑体" w:hAnsi="黑体" w:eastAsia="黑体"/>
          <w:sz w:val="32"/>
          <w:szCs w:val="32"/>
        </w:rPr>
      </w:pPr>
    </w:p>
    <w:tbl>
      <w:tblPr>
        <w:tblStyle w:val="3"/>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49"/>
        <w:gridCol w:w="875"/>
        <w:gridCol w:w="490"/>
        <w:gridCol w:w="6303"/>
        <w:gridCol w:w="2967"/>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blHeader/>
          <w:jc w:val="center"/>
        </w:trPr>
        <w:tc>
          <w:tcPr>
            <w:tcW w:w="850" w:type="dxa"/>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类别</w:t>
            </w:r>
          </w:p>
        </w:tc>
        <w:tc>
          <w:tcPr>
            <w:tcW w:w="875" w:type="dxa"/>
            <w:noWrap w:val="0"/>
            <w:vAlign w:val="center"/>
          </w:tcPr>
          <w:p>
            <w:pPr>
              <w:widowControl/>
              <w:spacing w:line="360" w:lineRule="exact"/>
              <w:jc w:val="center"/>
              <w:textAlignment w:val="center"/>
              <w:rPr>
                <w:rFonts w:ascii="黑体" w:hAnsi="黑体" w:eastAsia="黑体" w:cs="黑体"/>
                <w:kern w:val="0"/>
                <w:sz w:val="24"/>
              </w:rPr>
            </w:pPr>
            <w:r>
              <w:rPr>
                <w:rFonts w:hint="eastAsia" w:ascii="黑体" w:hAnsi="黑体" w:eastAsia="黑体" w:cs="黑体"/>
                <w:kern w:val="0"/>
                <w:sz w:val="24"/>
              </w:rPr>
              <w:t>主要</w:t>
            </w:r>
          </w:p>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任务</w:t>
            </w:r>
          </w:p>
        </w:tc>
        <w:tc>
          <w:tcPr>
            <w:tcW w:w="490" w:type="dxa"/>
            <w:noWrap w:val="0"/>
            <w:vAlign w:val="center"/>
          </w:tcPr>
          <w:p>
            <w:pPr>
              <w:spacing w:line="360" w:lineRule="exact"/>
              <w:jc w:val="center"/>
              <w:rPr>
                <w:rFonts w:ascii="黑体" w:hAnsi="黑体" w:eastAsia="黑体" w:cs="仿宋"/>
                <w:sz w:val="24"/>
              </w:rPr>
            </w:pPr>
            <w:r>
              <w:rPr>
                <w:rFonts w:hint="eastAsia" w:ascii="黑体" w:hAnsi="黑体" w:eastAsia="黑体" w:cs="仿宋"/>
                <w:sz w:val="24"/>
              </w:rPr>
              <w:t>序</w:t>
            </w:r>
          </w:p>
          <w:p>
            <w:pPr>
              <w:spacing w:line="360" w:lineRule="exact"/>
              <w:jc w:val="center"/>
              <w:rPr>
                <w:rFonts w:ascii="黑体" w:hAnsi="黑体" w:eastAsia="黑体" w:cs="仿宋"/>
                <w:sz w:val="24"/>
              </w:rPr>
            </w:pPr>
            <w:r>
              <w:rPr>
                <w:rFonts w:hint="eastAsia" w:ascii="黑体" w:hAnsi="黑体" w:eastAsia="黑体" w:cs="仿宋"/>
                <w:sz w:val="24"/>
              </w:rPr>
              <w:t>号</w:t>
            </w:r>
          </w:p>
        </w:tc>
        <w:tc>
          <w:tcPr>
            <w:tcW w:w="6303" w:type="dxa"/>
            <w:noWrap w:val="0"/>
            <w:vAlign w:val="center"/>
          </w:tcPr>
          <w:p>
            <w:pPr>
              <w:widowControl/>
              <w:spacing w:line="360" w:lineRule="exact"/>
              <w:jc w:val="center"/>
              <w:textAlignment w:val="center"/>
              <w:rPr>
                <w:rFonts w:ascii="黑体" w:hAnsi="黑体" w:eastAsia="黑体" w:cs="仿宋"/>
                <w:sz w:val="24"/>
              </w:rPr>
            </w:pPr>
            <w:r>
              <w:rPr>
                <w:rFonts w:hint="eastAsia" w:ascii="黑体" w:hAnsi="黑体" w:eastAsia="黑体" w:cs="黑体"/>
                <w:kern w:val="0"/>
                <w:sz w:val="24"/>
              </w:rPr>
              <w:t>具体举措</w:t>
            </w:r>
          </w:p>
        </w:tc>
        <w:tc>
          <w:tcPr>
            <w:tcW w:w="2967" w:type="dxa"/>
            <w:noWrap w:val="0"/>
            <w:vAlign w:val="center"/>
          </w:tcPr>
          <w:p>
            <w:pPr>
              <w:spacing w:line="360" w:lineRule="exact"/>
              <w:jc w:val="center"/>
              <w:rPr>
                <w:rFonts w:ascii="黑体" w:hAnsi="黑体" w:eastAsia="黑体"/>
                <w:bCs/>
                <w:sz w:val="24"/>
              </w:rPr>
            </w:pPr>
            <w:r>
              <w:rPr>
                <w:rFonts w:hint="eastAsia" w:ascii="黑体" w:hAnsi="黑体" w:eastAsia="黑体"/>
                <w:bCs/>
                <w:sz w:val="24"/>
              </w:rPr>
              <w:t>牵头单位</w:t>
            </w:r>
          </w:p>
        </w:tc>
        <w:tc>
          <w:tcPr>
            <w:tcW w:w="2431" w:type="dxa"/>
            <w:noWrap w:val="0"/>
            <w:vAlign w:val="center"/>
          </w:tcPr>
          <w:p>
            <w:pPr>
              <w:spacing w:line="360" w:lineRule="exact"/>
              <w:jc w:val="center"/>
              <w:rPr>
                <w:rFonts w:ascii="黑体" w:hAnsi="黑体" w:eastAsia="黑体"/>
                <w:bCs/>
                <w:sz w:val="24"/>
              </w:rPr>
            </w:pPr>
            <w:r>
              <w:rPr>
                <w:rFonts w:hint="eastAsia" w:ascii="黑体" w:hAnsi="黑体" w:eastAsia="黑体"/>
                <w:bCs/>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20" w:hRule="atLeast"/>
          <w:jc w:val="center"/>
        </w:trPr>
        <w:tc>
          <w:tcPr>
            <w:tcW w:w="850" w:type="dxa"/>
            <w:vMerge w:val="restart"/>
            <w:noWrap w:val="0"/>
            <w:vAlign w:val="center"/>
          </w:tcPr>
          <w:p>
            <w:pPr>
              <w:widowControl/>
              <w:spacing w:line="360" w:lineRule="exact"/>
              <w:jc w:val="left"/>
              <w:textAlignment w:val="top"/>
              <w:rPr>
                <w:rFonts w:ascii="黑体" w:hAnsi="黑体" w:eastAsia="黑体" w:cs="黑体"/>
                <w:sz w:val="24"/>
              </w:rPr>
            </w:pPr>
            <w:r>
              <w:rPr>
                <w:rFonts w:hint="eastAsia" w:ascii="黑体" w:hAnsi="黑体" w:eastAsia="黑体" w:cs="黑体"/>
                <w:kern w:val="0"/>
                <w:sz w:val="24"/>
              </w:rPr>
              <w:t>一、健全政府机构职能体系全面提升政府依法履职能力</w:t>
            </w:r>
          </w:p>
        </w:tc>
        <w:tc>
          <w:tcPr>
            <w:tcW w:w="875" w:type="dxa"/>
            <w:vMerge w:val="restart"/>
            <w:noWrap w:val="0"/>
            <w:vAlign w:val="center"/>
          </w:tcPr>
          <w:p>
            <w:pPr>
              <w:widowControl/>
              <w:spacing w:line="360" w:lineRule="exact"/>
              <w:textAlignment w:val="top"/>
              <w:rPr>
                <w:rFonts w:ascii="楷体_GB2312" w:hAnsi="楷体_GB2312" w:eastAsia="楷体_GB2312" w:cs="楷体_GB2312"/>
                <w:sz w:val="24"/>
              </w:rPr>
            </w:pPr>
            <w:r>
              <w:rPr>
                <w:rFonts w:hint="eastAsia" w:ascii="楷体_GB2312" w:hAnsi="楷体_GB2312" w:eastAsia="楷体_GB2312" w:cs="楷体_GB2312"/>
                <w:kern w:val="0"/>
                <w:sz w:val="24"/>
              </w:rPr>
              <w:t>持续推进政府机构职能优化协同高效</w:t>
            </w: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1</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坚持优化政府组织结构与促进政府职能转变、理顺部门职责关系统筹结合，使机构设置更加科学、职能更加优化、权责更加协同。厘清政府和市场、政府和社会关系，推动有效市场和有为政府更好结合。</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县委编办</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县政府办公室</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71" w:hRule="atLeast"/>
          <w:jc w:val="center"/>
        </w:trPr>
        <w:tc>
          <w:tcPr>
            <w:tcW w:w="850" w:type="dxa"/>
            <w:vMerge w:val="continue"/>
            <w:noWrap w:val="0"/>
            <w:vAlign w:val="center"/>
          </w:tcPr>
          <w:p>
            <w:pPr>
              <w:spacing w:line="360" w:lineRule="exact"/>
              <w:jc w:val="lef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_GB2312" w:eastAsia="仿宋_GB2312" w:cs="楷体_GB2312"/>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6303" w:type="dxa"/>
            <w:noWrap w:val="0"/>
            <w:vAlign w:val="center"/>
          </w:tcPr>
          <w:p>
            <w:pPr>
              <w:spacing w:line="360" w:lineRule="exact"/>
              <w:rPr>
                <w:rFonts w:ascii="仿宋_GB2312" w:hAnsi="仿宋" w:eastAsia="仿宋_GB2312" w:cs="仿宋"/>
                <w:kern w:val="0"/>
                <w:sz w:val="24"/>
              </w:rPr>
            </w:pPr>
            <w:r>
              <w:rPr>
                <w:rFonts w:hint="eastAsia" w:ascii="仿宋_GB2312" w:hAnsi="仿宋" w:eastAsia="仿宋_GB2312" w:cs="仿宋"/>
                <w:kern w:val="0"/>
                <w:sz w:val="24"/>
              </w:rPr>
              <w:t>强化制定实施发展战略、规划、政策、标准等职能，更加注重运用法律和制度遏制不当干预微观经济活动的行为。健全部门、区域协调配合机</w:t>
            </w:r>
            <w:bookmarkStart w:id="0" w:name="_GoBack"/>
            <w:bookmarkEnd w:id="0"/>
            <w:r>
              <w:rPr>
                <w:rFonts w:hint="eastAsia" w:ascii="仿宋_GB2312" w:hAnsi="仿宋" w:eastAsia="仿宋_GB2312" w:cs="仿宋"/>
                <w:kern w:val="0"/>
                <w:sz w:val="24"/>
              </w:rPr>
              <w:t>制，加强重大问题统筹会商，形成信息共享、密切配合、相互支持的联动机制。</w:t>
            </w:r>
          </w:p>
        </w:tc>
        <w:tc>
          <w:tcPr>
            <w:tcW w:w="2967" w:type="dxa"/>
            <w:noWrap w:val="0"/>
            <w:vAlign w:val="center"/>
          </w:tcPr>
          <w:p>
            <w:pPr>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县政府各部门</w:t>
            </w:r>
          </w:p>
        </w:tc>
        <w:tc>
          <w:tcPr>
            <w:tcW w:w="2431" w:type="dxa"/>
            <w:noWrap w:val="0"/>
            <w:vAlign w:val="center"/>
          </w:tcPr>
          <w:p>
            <w:pPr>
              <w:spacing w:line="360" w:lineRule="exact"/>
              <w:jc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23" w:hRule="atLeast"/>
          <w:jc w:val="center"/>
        </w:trPr>
        <w:tc>
          <w:tcPr>
            <w:tcW w:w="850" w:type="dxa"/>
            <w:vMerge w:val="continue"/>
            <w:noWrap w:val="0"/>
            <w:vAlign w:val="center"/>
          </w:tcPr>
          <w:p>
            <w:pPr>
              <w:spacing w:line="360" w:lineRule="exact"/>
              <w:jc w:val="lef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_GB2312" w:eastAsia="仿宋_GB2312" w:cs="楷体_GB2312"/>
                <w:sz w:val="24"/>
              </w:rPr>
            </w:pPr>
          </w:p>
        </w:tc>
        <w:tc>
          <w:tcPr>
            <w:tcW w:w="490" w:type="dxa"/>
            <w:noWrap w:val="0"/>
            <w:vAlign w:val="center"/>
          </w:tcPr>
          <w:p>
            <w:pPr>
              <w:widowControl/>
              <w:spacing w:line="36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3</w:t>
            </w:r>
          </w:p>
        </w:tc>
        <w:tc>
          <w:tcPr>
            <w:tcW w:w="6303" w:type="dxa"/>
            <w:noWrap w:val="0"/>
            <w:vAlign w:val="center"/>
          </w:tcPr>
          <w:p>
            <w:pPr>
              <w:spacing w:line="360" w:lineRule="exact"/>
              <w:rPr>
                <w:rFonts w:ascii="仿宋_GB2312" w:hAnsi="仿宋" w:eastAsia="仿宋_GB2312" w:cs="仿宋"/>
                <w:kern w:val="0"/>
                <w:sz w:val="24"/>
              </w:rPr>
            </w:pPr>
            <w:r>
              <w:rPr>
                <w:rFonts w:hint="eastAsia" w:ascii="仿宋_GB2312" w:hAnsi="仿宋" w:eastAsia="仿宋_GB2312" w:cs="仿宋"/>
                <w:kern w:val="0"/>
                <w:sz w:val="24"/>
              </w:rPr>
              <w:t>深入推进经济发达镇行政管理体制改革，推进基层整合审批服务执法力量，构建简约高效的基层管理体制，推动乡镇行政工作重心转到公共服务、公共管理、公共安全上来。推进编制资源向基层倾斜，鼓励、支持从上往下跨层级调剂使用行政和事业编制，创新基层人员编制管理，统筹使用各类编制资源。</w:t>
            </w:r>
          </w:p>
        </w:tc>
        <w:tc>
          <w:tcPr>
            <w:tcW w:w="2967" w:type="dxa"/>
            <w:noWrap w:val="0"/>
            <w:vAlign w:val="center"/>
          </w:tcPr>
          <w:p>
            <w:pPr>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县委编办</w:t>
            </w:r>
          </w:p>
        </w:tc>
        <w:tc>
          <w:tcPr>
            <w:tcW w:w="2431" w:type="dxa"/>
            <w:noWrap w:val="0"/>
            <w:vAlign w:val="center"/>
          </w:tcPr>
          <w:p>
            <w:pPr>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restart"/>
            <w:noWrap w:val="0"/>
            <w:vAlign w:val="center"/>
          </w:tcPr>
          <w:p>
            <w:pPr>
              <w:spacing w:line="340" w:lineRule="exact"/>
              <w:jc w:val="left"/>
              <w:textAlignment w:val="top"/>
              <w:rPr>
                <w:rFonts w:ascii="黑体" w:hAnsi="黑体" w:eastAsia="黑体" w:cs="黑体"/>
                <w:sz w:val="24"/>
              </w:rPr>
            </w:pPr>
            <w:r>
              <w:rPr>
                <w:rFonts w:hint="eastAsia" w:ascii="黑体" w:hAnsi="黑体" w:eastAsia="黑体" w:cs="黑体"/>
                <w:kern w:val="0"/>
                <w:sz w:val="24"/>
              </w:rPr>
              <w:t>一、健全政府机构职能体系全面提升政府依法履职能力</w:t>
            </w:r>
          </w:p>
        </w:tc>
        <w:tc>
          <w:tcPr>
            <w:tcW w:w="875" w:type="dxa"/>
            <w:vMerge w:val="restart"/>
            <w:noWrap w:val="0"/>
            <w:vAlign w:val="center"/>
          </w:tcPr>
          <w:p>
            <w:pPr>
              <w:widowControl/>
              <w:spacing w:line="340" w:lineRule="exact"/>
              <w:textAlignment w:val="top"/>
              <w:rPr>
                <w:rFonts w:ascii="楷体_GB2312" w:hAnsi="楷体_GB2312" w:eastAsia="楷体_GB2312" w:cs="楷体_GB2312"/>
                <w:sz w:val="24"/>
              </w:rPr>
            </w:pPr>
            <w:r>
              <w:rPr>
                <w:rFonts w:hint="eastAsia" w:ascii="楷体_GB2312" w:hAnsi="楷体_GB2312" w:eastAsia="楷体_GB2312" w:cs="楷体_GB2312"/>
                <w:kern w:val="0"/>
                <w:sz w:val="24"/>
              </w:rPr>
              <w:t>持续推进政府机构职能优化协同高效</w:t>
            </w:r>
          </w:p>
        </w:tc>
        <w:tc>
          <w:tcPr>
            <w:tcW w:w="490" w:type="dxa"/>
            <w:noWrap w:val="0"/>
            <w:vAlign w:val="center"/>
          </w:tcPr>
          <w:p>
            <w:pPr>
              <w:widowControl/>
              <w:spacing w:line="34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4</w:t>
            </w:r>
          </w:p>
        </w:tc>
        <w:tc>
          <w:tcPr>
            <w:tcW w:w="6303" w:type="dxa"/>
            <w:noWrap w:val="0"/>
            <w:vAlign w:val="center"/>
          </w:tcPr>
          <w:p>
            <w:pPr>
              <w:widowControl/>
              <w:spacing w:line="340" w:lineRule="exact"/>
              <w:textAlignment w:val="center"/>
              <w:rPr>
                <w:rFonts w:hint="eastAsia" w:ascii="仿宋_GB2312" w:hAnsi="仿宋" w:eastAsia="仿宋_GB2312" w:cs="仿宋"/>
                <w:kern w:val="0"/>
                <w:sz w:val="24"/>
              </w:rPr>
            </w:pPr>
            <w:r>
              <w:rPr>
                <w:rFonts w:hint="eastAsia" w:ascii="仿宋_GB2312" w:hAnsi="仿宋" w:eastAsia="仿宋_GB2312" w:cs="仿宋"/>
                <w:kern w:val="0"/>
                <w:sz w:val="24"/>
              </w:rPr>
              <w:t>深入贯彻“全省一单”权责清单制度体系。</w:t>
            </w:r>
          </w:p>
        </w:tc>
        <w:tc>
          <w:tcPr>
            <w:tcW w:w="2967" w:type="dxa"/>
            <w:noWrap w:val="0"/>
            <w:vAlign w:val="center"/>
          </w:tcPr>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县委编办</w:t>
            </w:r>
          </w:p>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县数据资源局</w:t>
            </w:r>
          </w:p>
        </w:tc>
        <w:tc>
          <w:tcPr>
            <w:tcW w:w="2431" w:type="dxa"/>
            <w:noWrap w:val="0"/>
            <w:vAlign w:val="center"/>
          </w:tcPr>
          <w:p>
            <w:pPr>
              <w:widowControl/>
              <w:spacing w:line="34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40" w:lineRule="exact"/>
              <w:jc w:val="left"/>
              <w:textAlignment w:val="top"/>
              <w:rPr>
                <w:rFonts w:ascii="仿宋_GB2312" w:hAnsi="黑体" w:eastAsia="仿宋_GB2312" w:cs="黑体"/>
                <w:sz w:val="24"/>
              </w:rPr>
            </w:pPr>
          </w:p>
        </w:tc>
        <w:tc>
          <w:tcPr>
            <w:tcW w:w="875" w:type="dxa"/>
            <w:vMerge w:val="continue"/>
            <w:noWrap w:val="0"/>
            <w:vAlign w:val="center"/>
          </w:tcPr>
          <w:p>
            <w:pPr>
              <w:spacing w:line="340" w:lineRule="exact"/>
              <w:rPr>
                <w:rFonts w:ascii="楷体_GB2312" w:hAnsi="楷体_GB2312" w:eastAsia="楷体_GB2312" w:cs="楷体_GB2312"/>
                <w:sz w:val="24"/>
              </w:rPr>
            </w:pPr>
          </w:p>
        </w:tc>
        <w:tc>
          <w:tcPr>
            <w:tcW w:w="490" w:type="dxa"/>
            <w:noWrap w:val="0"/>
            <w:vAlign w:val="center"/>
          </w:tcPr>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5</w:t>
            </w:r>
          </w:p>
        </w:tc>
        <w:tc>
          <w:tcPr>
            <w:tcW w:w="6303" w:type="dxa"/>
            <w:noWrap w:val="0"/>
            <w:vAlign w:val="center"/>
          </w:tcPr>
          <w:p>
            <w:pPr>
              <w:widowControl/>
              <w:spacing w:line="34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围绕为基层减负，全面推开优化乡镇权责清单，厘清县乡职责边界。</w:t>
            </w:r>
          </w:p>
        </w:tc>
        <w:tc>
          <w:tcPr>
            <w:tcW w:w="2967" w:type="dxa"/>
            <w:noWrap w:val="0"/>
            <w:vAlign w:val="center"/>
          </w:tcPr>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县委编办</w:t>
            </w:r>
          </w:p>
        </w:tc>
        <w:tc>
          <w:tcPr>
            <w:tcW w:w="2431" w:type="dxa"/>
            <w:noWrap w:val="0"/>
            <w:vAlign w:val="center"/>
          </w:tcPr>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40" w:lineRule="exact"/>
              <w:jc w:val="left"/>
              <w:textAlignment w:val="top"/>
              <w:rPr>
                <w:rFonts w:ascii="仿宋_GB2312" w:hAnsi="黑体" w:eastAsia="仿宋_GB2312" w:cs="黑体"/>
                <w:kern w:val="0"/>
                <w:sz w:val="24"/>
              </w:rPr>
            </w:pPr>
          </w:p>
        </w:tc>
        <w:tc>
          <w:tcPr>
            <w:tcW w:w="875" w:type="dxa"/>
            <w:vMerge w:val="continue"/>
            <w:noWrap w:val="0"/>
            <w:vAlign w:val="center"/>
          </w:tcPr>
          <w:p>
            <w:pPr>
              <w:spacing w:line="340" w:lineRule="exact"/>
              <w:rPr>
                <w:rFonts w:ascii="楷体_GB2312" w:hAnsi="楷体_GB2312" w:eastAsia="楷体_GB2312" w:cs="楷体_GB2312"/>
                <w:kern w:val="0"/>
                <w:sz w:val="24"/>
              </w:rPr>
            </w:pPr>
          </w:p>
        </w:tc>
        <w:tc>
          <w:tcPr>
            <w:tcW w:w="490" w:type="dxa"/>
            <w:noWrap w:val="0"/>
            <w:vAlign w:val="center"/>
          </w:tcPr>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6</w:t>
            </w:r>
          </w:p>
        </w:tc>
        <w:tc>
          <w:tcPr>
            <w:tcW w:w="6303" w:type="dxa"/>
            <w:noWrap w:val="0"/>
            <w:vAlign w:val="center"/>
          </w:tcPr>
          <w:p>
            <w:pPr>
              <w:widowControl/>
              <w:spacing w:line="34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严格执行市场准入负面清单，普遍落实“非禁即入”。</w:t>
            </w:r>
          </w:p>
        </w:tc>
        <w:tc>
          <w:tcPr>
            <w:tcW w:w="2967" w:type="dxa"/>
            <w:noWrap w:val="0"/>
            <w:vAlign w:val="center"/>
          </w:tcPr>
          <w:p>
            <w:pPr>
              <w:widowControl/>
              <w:spacing w:line="34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县发展改革委</w:t>
            </w:r>
          </w:p>
          <w:p>
            <w:pPr>
              <w:widowControl/>
              <w:spacing w:line="34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县市场监管局</w:t>
            </w:r>
          </w:p>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县招商和对外合作中心</w:t>
            </w:r>
          </w:p>
        </w:tc>
        <w:tc>
          <w:tcPr>
            <w:tcW w:w="2431" w:type="dxa"/>
            <w:noWrap w:val="0"/>
            <w:vAlign w:val="center"/>
          </w:tcPr>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widowControl/>
              <w:spacing w:line="340" w:lineRule="exact"/>
              <w:jc w:val="left"/>
              <w:textAlignment w:val="top"/>
              <w:rPr>
                <w:rFonts w:ascii="仿宋_GB2312" w:hAnsi="黑体" w:eastAsia="仿宋_GB2312" w:cs="黑体"/>
                <w:sz w:val="24"/>
              </w:rPr>
            </w:pPr>
          </w:p>
        </w:tc>
        <w:tc>
          <w:tcPr>
            <w:tcW w:w="875" w:type="dxa"/>
            <w:vMerge w:val="restart"/>
            <w:noWrap w:val="0"/>
            <w:vAlign w:val="center"/>
          </w:tcPr>
          <w:p>
            <w:pPr>
              <w:spacing w:line="340" w:lineRule="exact"/>
              <w:rPr>
                <w:rFonts w:ascii="楷体_GB2312" w:hAnsi="楷体_GB2312" w:eastAsia="楷体_GB2312" w:cs="楷体_GB2312"/>
                <w:sz w:val="24"/>
              </w:rPr>
            </w:pPr>
            <w:r>
              <w:rPr>
                <w:rFonts w:hint="eastAsia" w:ascii="楷体_GB2312" w:hAnsi="楷体_GB2312" w:eastAsia="楷体_GB2312" w:cs="楷体_GB2312"/>
                <w:sz w:val="24"/>
              </w:rPr>
              <w:t>深入推进放管服改革</w:t>
            </w:r>
          </w:p>
        </w:tc>
        <w:tc>
          <w:tcPr>
            <w:tcW w:w="490" w:type="dxa"/>
            <w:noWrap w:val="0"/>
            <w:vAlign w:val="center"/>
          </w:tcPr>
          <w:p>
            <w:pPr>
              <w:widowControl/>
              <w:spacing w:line="34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7</w:t>
            </w:r>
          </w:p>
        </w:tc>
        <w:tc>
          <w:tcPr>
            <w:tcW w:w="6303" w:type="dxa"/>
            <w:noWrap w:val="0"/>
            <w:vAlign w:val="center"/>
          </w:tcPr>
          <w:p>
            <w:pPr>
              <w:widowControl/>
              <w:spacing w:line="340" w:lineRule="exact"/>
              <w:textAlignment w:val="center"/>
              <w:rPr>
                <w:rFonts w:ascii="仿宋_GB2312" w:hAnsi="仿宋" w:eastAsia="仿宋_GB2312" w:cs="仿宋"/>
                <w:sz w:val="24"/>
              </w:rPr>
            </w:pPr>
            <w:r>
              <w:rPr>
                <w:rFonts w:hint="eastAsia" w:ascii="仿宋_GB2312" w:hAnsi="仿宋" w:eastAsia="仿宋_GB2312" w:cs="仿宋"/>
                <w:kern w:val="0"/>
                <w:sz w:val="24"/>
              </w:rPr>
              <w:t>分级分类推进行政审批制度改革，进一步加大简政放权力度。依托全国一体化政务服务平台等渠道，全面推行审批服务“马上办、网上办、就近办、一次办、自助办”。坚决防止以备案、登记、行政确认、征求意见等方式变相设置行政许可事项。依法归并减少各类资质资格许可事项，降低准入门槛。</w:t>
            </w:r>
          </w:p>
        </w:tc>
        <w:tc>
          <w:tcPr>
            <w:tcW w:w="2967" w:type="dxa"/>
            <w:noWrap w:val="0"/>
            <w:vAlign w:val="center"/>
          </w:tcPr>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县数据资源局</w:t>
            </w:r>
          </w:p>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县政府办公室</w:t>
            </w:r>
          </w:p>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县委编办</w:t>
            </w:r>
          </w:p>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县人力资源社会保障局</w:t>
            </w:r>
          </w:p>
        </w:tc>
        <w:tc>
          <w:tcPr>
            <w:tcW w:w="2431" w:type="dxa"/>
            <w:noWrap w:val="0"/>
            <w:vAlign w:val="center"/>
          </w:tcPr>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40" w:lineRule="exact"/>
              <w:jc w:val="left"/>
              <w:rPr>
                <w:rFonts w:ascii="仿宋_GB2312" w:hAnsi="黑体" w:eastAsia="仿宋_GB2312" w:cs="黑体"/>
                <w:sz w:val="24"/>
              </w:rPr>
            </w:pPr>
          </w:p>
        </w:tc>
        <w:tc>
          <w:tcPr>
            <w:tcW w:w="875" w:type="dxa"/>
            <w:vMerge w:val="continue"/>
            <w:noWrap w:val="0"/>
            <w:vAlign w:val="center"/>
          </w:tcPr>
          <w:p>
            <w:pPr>
              <w:spacing w:line="340" w:lineRule="exact"/>
              <w:rPr>
                <w:rFonts w:ascii="仿宋_GB2312" w:hAnsi="楷体_GB2312" w:eastAsia="仿宋_GB2312" w:cs="楷体_GB2312"/>
                <w:sz w:val="24"/>
              </w:rPr>
            </w:pPr>
          </w:p>
        </w:tc>
        <w:tc>
          <w:tcPr>
            <w:tcW w:w="490" w:type="dxa"/>
            <w:noWrap w:val="0"/>
            <w:vAlign w:val="center"/>
          </w:tcPr>
          <w:p>
            <w:pPr>
              <w:widowControl/>
              <w:spacing w:line="34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8</w:t>
            </w:r>
          </w:p>
        </w:tc>
        <w:tc>
          <w:tcPr>
            <w:tcW w:w="6303" w:type="dxa"/>
            <w:noWrap w:val="0"/>
            <w:vAlign w:val="center"/>
          </w:tcPr>
          <w:p>
            <w:pPr>
              <w:widowControl/>
              <w:spacing w:line="340" w:lineRule="exact"/>
              <w:textAlignment w:val="center"/>
              <w:rPr>
                <w:rFonts w:ascii="仿宋_GB2312" w:hAnsi="仿宋" w:eastAsia="仿宋_GB2312" w:cs="仿宋"/>
                <w:sz w:val="24"/>
              </w:rPr>
            </w:pPr>
            <w:r>
              <w:rPr>
                <w:rFonts w:hint="eastAsia" w:ascii="仿宋_GB2312" w:hAnsi="仿宋" w:eastAsia="仿宋_GB2312" w:cs="仿宋"/>
                <w:sz w:val="24"/>
              </w:rPr>
              <w:t>着力推进“证照分离”改革全覆盖和“多证合一”改革，将更多涉企经营许可事项纳入改革。大力推进“照后减证”，积极推进“一业一证”改革，探索实现“一证准营”、跨地互认通用。</w:t>
            </w:r>
          </w:p>
        </w:tc>
        <w:tc>
          <w:tcPr>
            <w:tcW w:w="2967" w:type="dxa"/>
            <w:noWrap w:val="0"/>
            <w:vAlign w:val="center"/>
          </w:tcPr>
          <w:p>
            <w:pPr>
              <w:widowControl/>
              <w:spacing w:line="34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县</w:t>
            </w:r>
            <w:r>
              <w:rPr>
                <w:rFonts w:hint="eastAsia" w:ascii="仿宋_GB2312" w:hAnsi="仿宋" w:eastAsia="仿宋_GB2312" w:cs="仿宋"/>
                <w:sz w:val="24"/>
              </w:rPr>
              <w:t>市场监管局</w:t>
            </w:r>
          </w:p>
          <w:p>
            <w:pPr>
              <w:widowControl/>
              <w:spacing w:line="34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县</w:t>
            </w:r>
            <w:r>
              <w:rPr>
                <w:rFonts w:hint="eastAsia" w:ascii="仿宋_GB2312" w:hAnsi="仿宋" w:eastAsia="仿宋_GB2312" w:cs="仿宋"/>
                <w:sz w:val="24"/>
              </w:rPr>
              <w:t>数据资源局</w:t>
            </w:r>
          </w:p>
        </w:tc>
        <w:tc>
          <w:tcPr>
            <w:tcW w:w="2431" w:type="dxa"/>
            <w:noWrap w:val="0"/>
            <w:vAlign w:val="center"/>
          </w:tcPr>
          <w:p>
            <w:pPr>
              <w:widowControl/>
              <w:spacing w:line="340" w:lineRule="exact"/>
              <w:jc w:val="center"/>
              <w:textAlignment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58" w:hRule="atLeast"/>
          <w:jc w:val="center"/>
        </w:trPr>
        <w:tc>
          <w:tcPr>
            <w:tcW w:w="850" w:type="dxa"/>
            <w:vMerge w:val="restart"/>
            <w:noWrap w:val="0"/>
            <w:vAlign w:val="center"/>
          </w:tcPr>
          <w:p>
            <w:pPr>
              <w:spacing w:line="360" w:lineRule="exact"/>
              <w:jc w:val="left"/>
              <w:rPr>
                <w:rFonts w:ascii="黑体" w:hAnsi="黑体" w:eastAsia="黑体" w:cs="黑体"/>
                <w:sz w:val="24"/>
              </w:rPr>
            </w:pPr>
            <w:r>
              <w:rPr>
                <w:rFonts w:hint="eastAsia" w:ascii="黑体" w:hAnsi="黑体" w:eastAsia="黑体" w:cs="黑体"/>
                <w:kern w:val="0"/>
                <w:sz w:val="24"/>
              </w:rPr>
              <w:t>一、健全政府机构职能体系全面提升政府依法履职能力</w:t>
            </w:r>
          </w:p>
        </w:tc>
        <w:tc>
          <w:tcPr>
            <w:tcW w:w="875" w:type="dxa"/>
            <w:vMerge w:val="restart"/>
            <w:noWrap w:val="0"/>
            <w:vAlign w:val="center"/>
          </w:tcPr>
          <w:p>
            <w:pPr>
              <w:spacing w:line="340" w:lineRule="exact"/>
              <w:rPr>
                <w:rFonts w:ascii="楷体_GB2312" w:hAnsi="楷体_GB2312" w:eastAsia="楷体_GB2312" w:cs="楷体_GB2312"/>
                <w:sz w:val="24"/>
              </w:rPr>
            </w:pPr>
            <w:r>
              <w:rPr>
                <w:rFonts w:hint="eastAsia" w:ascii="楷体_GB2312" w:hAnsi="楷体_GB2312" w:eastAsia="楷体_GB2312" w:cs="楷体_GB2312"/>
                <w:sz w:val="24"/>
              </w:rPr>
              <w:t>深入推进放管服改革</w:t>
            </w: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9</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大力推进政府投资审批制度改革，不断精简优化审批程序、审批事项和申报材料，推进投资领域行政执法监督，全面改善投资环境。</w:t>
            </w:r>
          </w:p>
        </w:tc>
        <w:tc>
          <w:tcPr>
            <w:tcW w:w="2967" w:type="dxa"/>
            <w:noWrap w:val="0"/>
            <w:vAlign w:val="center"/>
          </w:tcPr>
          <w:p>
            <w:pPr>
              <w:spacing w:line="360" w:lineRule="exact"/>
              <w:jc w:val="center"/>
              <w:rPr>
                <w:rFonts w:ascii="仿宋_GB2312" w:hAnsi="宋体" w:eastAsia="仿宋_GB2312"/>
                <w:sz w:val="24"/>
              </w:rPr>
            </w:pPr>
            <w:r>
              <w:rPr>
                <w:rFonts w:hint="eastAsia" w:ascii="仿宋_GB2312" w:hAnsi="仿宋" w:eastAsia="仿宋_GB2312" w:cs="仿宋"/>
                <w:kern w:val="0"/>
                <w:sz w:val="24"/>
              </w:rPr>
              <w:t>县</w:t>
            </w:r>
            <w:r>
              <w:rPr>
                <w:rFonts w:hint="eastAsia" w:ascii="仿宋_GB2312" w:hAnsi="宋体" w:eastAsia="仿宋_GB2312"/>
                <w:sz w:val="24"/>
              </w:rPr>
              <w:t>发展改革委</w:t>
            </w:r>
          </w:p>
        </w:tc>
        <w:tc>
          <w:tcPr>
            <w:tcW w:w="2431" w:type="dxa"/>
            <w:noWrap w:val="0"/>
            <w:vAlign w:val="center"/>
          </w:tcPr>
          <w:p>
            <w:pPr>
              <w:spacing w:line="360" w:lineRule="exact"/>
              <w:jc w:val="center"/>
              <w:rPr>
                <w:rFonts w:ascii="仿宋_GB2312" w:hAnsi="宋体" w:eastAsia="仿宋_GB2312"/>
                <w:sz w:val="24"/>
              </w:rPr>
            </w:pPr>
            <w:r>
              <w:rPr>
                <w:rFonts w:hint="eastAsia" w:ascii="仿宋_GB2312" w:hAnsi="仿宋" w:eastAsia="仿宋_GB2312" w:cs="仿宋"/>
                <w:kern w:val="0"/>
                <w:sz w:val="24"/>
              </w:rPr>
              <w:t>县</w:t>
            </w:r>
            <w:r>
              <w:rPr>
                <w:rFonts w:hint="eastAsia" w:ascii="仿宋_GB2312" w:hAnsi="宋体" w:eastAsia="仿宋_GB2312"/>
                <w:sz w:val="24"/>
              </w:rPr>
              <w:t>政府有关部门</w:t>
            </w:r>
          </w:p>
          <w:p>
            <w:pPr>
              <w:spacing w:line="360" w:lineRule="exact"/>
              <w:jc w:val="center"/>
              <w:rPr>
                <w:rFonts w:ascii="仿宋_GB2312" w:hAnsi="宋体" w:eastAsia="仿宋_GB2312"/>
                <w:sz w:val="24"/>
              </w:rPr>
            </w:pPr>
            <w:r>
              <w:rPr>
                <w:rFonts w:hint="eastAsia" w:ascii="仿宋_GB2312" w:hAnsi="宋体" w:eastAsia="仿宋_GB2312"/>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49" w:hRule="atLeast"/>
          <w:jc w:val="center"/>
        </w:trPr>
        <w:tc>
          <w:tcPr>
            <w:tcW w:w="850" w:type="dxa"/>
            <w:vMerge w:val="continue"/>
            <w:noWrap w:val="0"/>
            <w:vAlign w:val="center"/>
          </w:tcPr>
          <w:p>
            <w:pPr>
              <w:widowControl/>
              <w:spacing w:line="360" w:lineRule="exact"/>
              <w:jc w:val="left"/>
              <w:textAlignment w:val="top"/>
              <w:rPr>
                <w:rFonts w:ascii="仿宋_GB2312" w:hAnsi="黑体" w:eastAsia="仿宋_GB2312" w:cs="黑体"/>
                <w:sz w:val="24"/>
              </w:rPr>
            </w:pPr>
          </w:p>
        </w:tc>
        <w:tc>
          <w:tcPr>
            <w:tcW w:w="875" w:type="dxa"/>
            <w:vMerge w:val="continue"/>
            <w:noWrap w:val="0"/>
            <w:vAlign w:val="center"/>
          </w:tcPr>
          <w:p>
            <w:pPr>
              <w:spacing w:line="360" w:lineRule="exact"/>
              <w:textAlignment w:val="top"/>
              <w:rPr>
                <w:rFonts w:ascii="仿宋_GB2312" w:hAnsi="楷体_GB2312" w:eastAsia="仿宋_GB2312" w:cs="楷体_GB2312"/>
                <w:color w:val="000000"/>
                <w:kern w:val="0"/>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10</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全面落实证明事项告知承诺制，新设证明事项必须有法律法规或者国务院决定依据。</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hint="eastAsia" w:ascii="仿宋_GB2312" w:hAnsi="仿宋" w:eastAsia="仿宋_GB2312" w:cs="仿宋"/>
                <w:kern w:val="0"/>
                <w:sz w:val="24"/>
              </w:rPr>
            </w:pPr>
            <w:r>
              <w:rPr>
                <w:rFonts w:hint="eastAsia" w:ascii="仿宋_GB2312" w:hAnsi="宋体" w:eastAsia="仿宋_GB2312"/>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6" w:hRule="atLeast"/>
          <w:jc w:val="center"/>
        </w:trPr>
        <w:tc>
          <w:tcPr>
            <w:tcW w:w="850" w:type="dxa"/>
            <w:vMerge w:val="continue"/>
            <w:noWrap w:val="0"/>
            <w:vAlign w:val="center"/>
          </w:tcPr>
          <w:p>
            <w:pPr>
              <w:spacing w:line="360" w:lineRule="exact"/>
              <w:jc w:val="left"/>
              <w:rPr>
                <w:rFonts w:ascii="仿宋_GB2312" w:hAnsi="黑体" w:eastAsia="仿宋_GB2312" w:cs="黑体"/>
                <w:sz w:val="24"/>
              </w:rPr>
            </w:pPr>
          </w:p>
        </w:tc>
        <w:tc>
          <w:tcPr>
            <w:tcW w:w="875" w:type="dxa"/>
            <w:vMerge w:val="continue"/>
            <w:noWrap w:val="0"/>
            <w:vAlign w:val="center"/>
          </w:tcPr>
          <w:p>
            <w:pPr>
              <w:spacing w:line="360" w:lineRule="exact"/>
              <w:textAlignment w:val="top"/>
              <w:rPr>
                <w:rFonts w:ascii="仿宋_GB2312" w:hAnsi="楷体_GB2312" w:eastAsia="仿宋_GB2312" w:cs="楷体_GB2312"/>
                <w:kern w:val="0"/>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11</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推动政府管理依法进行，把更多行政资源从事前审批转到事中事后监管上来。健全以“双随机、一公开”监管和“互联网+监管”为基本手段、以重点监管为补充、以信用监管为基础的新型监管机制，完善与创新创造相适应的包容审慎监管方式。</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县市场监管局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县数据资源局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县发展改革委</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县政府办公室</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25" w:hRule="atLeast"/>
          <w:jc w:val="center"/>
        </w:trPr>
        <w:tc>
          <w:tcPr>
            <w:tcW w:w="850" w:type="dxa"/>
            <w:vMerge w:val="continue"/>
            <w:noWrap w:val="0"/>
            <w:vAlign w:val="center"/>
          </w:tcPr>
          <w:p>
            <w:pPr>
              <w:spacing w:line="360" w:lineRule="exact"/>
              <w:jc w:val="left"/>
              <w:rPr>
                <w:rFonts w:ascii="仿宋_GB2312" w:hAnsi="黑体" w:eastAsia="仿宋_GB2312" w:cs="黑体"/>
                <w:sz w:val="24"/>
              </w:rPr>
            </w:pPr>
          </w:p>
        </w:tc>
        <w:tc>
          <w:tcPr>
            <w:tcW w:w="875" w:type="dxa"/>
            <w:vMerge w:val="continue"/>
            <w:noWrap w:val="0"/>
            <w:vAlign w:val="center"/>
          </w:tcPr>
          <w:p>
            <w:pPr>
              <w:spacing w:line="360" w:lineRule="exact"/>
              <w:textAlignment w:val="top"/>
              <w:rPr>
                <w:rFonts w:ascii="仿宋_GB2312" w:hAnsi="楷体_GB2312" w:eastAsia="仿宋_GB2312" w:cs="楷体_GB2312"/>
                <w:kern w:val="0"/>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12</w:t>
            </w:r>
          </w:p>
        </w:tc>
        <w:tc>
          <w:tcPr>
            <w:tcW w:w="6303" w:type="dxa"/>
            <w:noWrap w:val="0"/>
            <w:vAlign w:val="center"/>
          </w:tcPr>
          <w:p>
            <w:pPr>
              <w:spacing w:line="360" w:lineRule="exact"/>
              <w:rPr>
                <w:rFonts w:ascii="仿宋_GB2312" w:hAnsi="仿宋" w:eastAsia="仿宋_GB2312" w:cs="仿宋"/>
                <w:kern w:val="0"/>
                <w:sz w:val="24"/>
              </w:rPr>
            </w:pPr>
            <w:r>
              <w:rPr>
                <w:rFonts w:hint="eastAsia" w:ascii="仿宋_GB2312" w:hAnsi="仿宋" w:eastAsia="仿宋_GB2312" w:cs="仿宋"/>
                <w:kern w:val="0"/>
                <w:sz w:val="24"/>
              </w:rPr>
              <w:t>探索推行多事项合并监管，实现“进一次门、查多项事”。根据不同领域特点和风险程度确定监管内容、方式和频次，提高监管精准化水平。严格执行全国统一、简明易行的监管规则和标准。</w:t>
            </w:r>
          </w:p>
        </w:tc>
        <w:tc>
          <w:tcPr>
            <w:tcW w:w="2967" w:type="dxa"/>
            <w:noWrap w:val="0"/>
            <w:vAlign w:val="center"/>
          </w:tcPr>
          <w:p>
            <w:pPr>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县市场监管局</w:t>
            </w:r>
          </w:p>
          <w:p>
            <w:pPr>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县数据资源局</w:t>
            </w:r>
          </w:p>
        </w:tc>
        <w:tc>
          <w:tcPr>
            <w:tcW w:w="2431" w:type="dxa"/>
            <w:noWrap w:val="0"/>
            <w:vAlign w:val="center"/>
          </w:tcPr>
          <w:p>
            <w:pPr>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restart"/>
            <w:noWrap w:val="0"/>
            <w:vAlign w:val="center"/>
          </w:tcPr>
          <w:p>
            <w:pPr>
              <w:widowControl/>
              <w:spacing w:line="380" w:lineRule="exact"/>
              <w:jc w:val="left"/>
              <w:textAlignment w:val="top"/>
              <w:rPr>
                <w:rFonts w:ascii="黑体" w:hAnsi="黑体" w:eastAsia="黑体" w:cs="黑体"/>
                <w:sz w:val="24"/>
              </w:rPr>
            </w:pPr>
            <w:r>
              <w:rPr>
                <w:rFonts w:hint="eastAsia" w:ascii="黑体" w:hAnsi="黑体" w:eastAsia="黑体" w:cs="黑体"/>
                <w:kern w:val="0"/>
                <w:sz w:val="24"/>
              </w:rPr>
              <w:t>一、健全政府机构职能体系全面提升政府依法履职能力</w:t>
            </w:r>
          </w:p>
        </w:tc>
        <w:tc>
          <w:tcPr>
            <w:tcW w:w="875" w:type="dxa"/>
            <w:noWrap w:val="0"/>
            <w:vAlign w:val="top"/>
          </w:tcPr>
          <w:p>
            <w:pPr>
              <w:spacing w:line="380" w:lineRule="exact"/>
              <w:rPr>
                <w:rFonts w:ascii="楷体_GB2312" w:hAnsi="楷体_GB2312" w:eastAsia="楷体_GB2312" w:cs="楷体_GB2312"/>
                <w:sz w:val="24"/>
              </w:rPr>
            </w:pPr>
            <w:r>
              <w:rPr>
                <w:rFonts w:hint="eastAsia" w:ascii="楷体_GB2312" w:hAnsi="楷体_GB2312" w:eastAsia="楷体_GB2312" w:cs="楷体_GB2312"/>
                <w:sz w:val="24"/>
              </w:rPr>
              <w:t>深入推进放管服改革</w:t>
            </w:r>
          </w:p>
        </w:tc>
        <w:tc>
          <w:tcPr>
            <w:tcW w:w="490"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13</w:t>
            </w:r>
          </w:p>
        </w:tc>
        <w:tc>
          <w:tcPr>
            <w:tcW w:w="6303" w:type="dxa"/>
            <w:noWrap w:val="0"/>
            <w:vAlign w:val="top"/>
          </w:tcPr>
          <w:p>
            <w:pPr>
              <w:widowControl/>
              <w:spacing w:line="380" w:lineRule="exact"/>
              <w:textAlignment w:val="center"/>
              <w:rPr>
                <w:rFonts w:ascii="仿宋_GB2312" w:hAnsi="仿宋" w:eastAsia="仿宋_GB2312" w:cs="仿宋"/>
                <w:kern w:val="0"/>
                <w:sz w:val="24"/>
              </w:rPr>
            </w:pPr>
            <w:r>
              <w:rPr>
                <w:rFonts w:hint="eastAsia" w:ascii="仿宋_GB2312" w:hAnsi="仿宋" w:eastAsia="仿宋_GB2312" w:cs="仿宋"/>
                <w:sz w:val="24"/>
              </w:rPr>
              <w:t>加快建设服务型政府，提高政务服务效能。推行“皖事通办”，加强“皖事通”APP建设和应用，推动政务服务“跨省通办”事项“掌上办”“指尖办”。进一步提升全市各级政务服务中心“跨省通办”专窗和“一网通办”专窗的服务水平和服务质量。持续深化政务服务事项清单标准化，做到同一事项无差别受理、同标准办理。持续提升7×24小时长三角“一网通办”政务服务地图服务能力，推深做实7×24小时不打烊“随时办”服务。持续完善政务服务“好差评”，推动政务服务持续创新和快速迭代。坚持传统服务与智能创新相结合，切实保障老年人、残疾人等群体差异化服务需求。</w:t>
            </w:r>
          </w:p>
        </w:tc>
        <w:tc>
          <w:tcPr>
            <w:tcW w:w="2967" w:type="dxa"/>
            <w:noWrap w:val="0"/>
            <w:vAlign w:val="center"/>
          </w:tcPr>
          <w:p>
            <w:pPr>
              <w:widowControl/>
              <w:spacing w:line="38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县</w:t>
            </w:r>
            <w:r>
              <w:rPr>
                <w:rFonts w:hint="eastAsia" w:ascii="仿宋_GB2312" w:hAnsi="仿宋" w:eastAsia="仿宋_GB2312" w:cs="仿宋"/>
                <w:sz w:val="24"/>
              </w:rPr>
              <w:t>数据资源局</w:t>
            </w:r>
          </w:p>
        </w:tc>
        <w:tc>
          <w:tcPr>
            <w:tcW w:w="2431" w:type="dxa"/>
            <w:noWrap w:val="0"/>
            <w:vAlign w:val="center"/>
          </w:tcPr>
          <w:p>
            <w:pPr>
              <w:widowControl/>
              <w:spacing w:line="38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县</w:t>
            </w:r>
            <w:r>
              <w:rPr>
                <w:rFonts w:hint="eastAsia" w:ascii="仿宋_GB2312" w:hAnsi="仿宋" w:eastAsia="仿宋_GB2312" w:cs="仿宋"/>
                <w:sz w:val="24"/>
              </w:rPr>
              <w:t>政府有关部门</w:t>
            </w:r>
          </w:p>
          <w:p>
            <w:pPr>
              <w:widowControl/>
              <w:spacing w:line="380" w:lineRule="exact"/>
              <w:jc w:val="center"/>
              <w:textAlignment w:val="center"/>
              <w:rPr>
                <w:rFonts w:ascii="仿宋_GB2312" w:hAnsi="仿宋" w:eastAsia="仿宋_GB2312" w:cs="仿宋"/>
                <w:sz w:val="24"/>
              </w:rPr>
            </w:pPr>
            <w:r>
              <w:rPr>
                <w:rFonts w:hint="eastAsia" w:ascii="仿宋_GB2312" w:hAnsi="仿宋" w:eastAsia="仿宋_GB2312" w:cs="仿宋"/>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27" w:hRule="atLeast"/>
          <w:jc w:val="center"/>
        </w:trPr>
        <w:tc>
          <w:tcPr>
            <w:tcW w:w="850" w:type="dxa"/>
            <w:vMerge w:val="continue"/>
            <w:noWrap w:val="0"/>
            <w:vAlign w:val="center"/>
          </w:tcPr>
          <w:p>
            <w:pPr>
              <w:spacing w:line="380" w:lineRule="exact"/>
              <w:jc w:val="left"/>
              <w:rPr>
                <w:rFonts w:ascii="仿宋_GB2312" w:hAnsi="黑体" w:eastAsia="仿宋_GB2312" w:cs="黑体"/>
                <w:sz w:val="24"/>
              </w:rPr>
            </w:pPr>
          </w:p>
        </w:tc>
        <w:tc>
          <w:tcPr>
            <w:tcW w:w="875" w:type="dxa"/>
            <w:vMerge w:val="restart"/>
            <w:noWrap w:val="0"/>
            <w:vAlign w:val="center"/>
          </w:tcPr>
          <w:p>
            <w:pPr>
              <w:spacing w:line="380" w:lineRule="exact"/>
              <w:textAlignment w:val="top"/>
              <w:rPr>
                <w:rFonts w:ascii="楷体_GB2312" w:hAnsi="楷体_GB2312" w:eastAsia="楷体_GB2312" w:cs="楷体_GB2312"/>
                <w:sz w:val="24"/>
              </w:rPr>
            </w:pPr>
            <w:r>
              <w:rPr>
                <w:rFonts w:hint="eastAsia" w:ascii="楷体_GB2312" w:hAnsi="楷体_GB2312" w:eastAsia="楷体_GB2312" w:cs="楷体_GB2312"/>
                <w:sz w:val="24"/>
              </w:rPr>
              <w:t>持续优化法治化营商环境</w:t>
            </w:r>
          </w:p>
        </w:tc>
        <w:tc>
          <w:tcPr>
            <w:tcW w:w="490"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14</w:t>
            </w:r>
          </w:p>
        </w:tc>
        <w:tc>
          <w:tcPr>
            <w:tcW w:w="6303" w:type="dxa"/>
            <w:noWrap w:val="0"/>
            <w:vAlign w:val="center"/>
          </w:tcPr>
          <w:p>
            <w:pPr>
              <w:widowControl/>
              <w:spacing w:line="38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对标学习沪苏浙，运用市场逻辑、资本力量、法治方式，进一步营造稳定公平透明、可预期的法治化营商环境，为实施“双招双引”等提供优质高效法治保障。推进法律服务产业园建设，开展涉企公共法律服务活动，做好民营企业法治体检工作。及时清理优化营商环境涉及的行政规范性文件，同步做好立改废释工作。</w:t>
            </w:r>
          </w:p>
        </w:tc>
        <w:tc>
          <w:tcPr>
            <w:tcW w:w="2967"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县政府办公室</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县发展改革委</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县人大常委会监司工委</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widowControl/>
              <w:spacing w:line="380" w:lineRule="exact"/>
              <w:jc w:val="left"/>
              <w:textAlignment w:val="top"/>
              <w:rPr>
                <w:rFonts w:ascii="仿宋_GB2312" w:hAnsi="黑体" w:eastAsia="仿宋_GB2312" w:cs="黑体"/>
                <w:sz w:val="24"/>
              </w:rPr>
            </w:pPr>
          </w:p>
        </w:tc>
        <w:tc>
          <w:tcPr>
            <w:tcW w:w="875" w:type="dxa"/>
            <w:vMerge w:val="continue"/>
            <w:noWrap w:val="0"/>
            <w:vAlign w:val="center"/>
          </w:tcPr>
          <w:p>
            <w:pPr>
              <w:widowControl/>
              <w:spacing w:line="380" w:lineRule="exact"/>
              <w:textAlignment w:val="top"/>
              <w:rPr>
                <w:rFonts w:ascii="仿宋_GB2312" w:hAnsi="楷体_GB2312" w:eastAsia="仿宋_GB2312" w:cs="楷体_GB2312"/>
                <w:sz w:val="24"/>
              </w:rPr>
            </w:pPr>
          </w:p>
        </w:tc>
        <w:tc>
          <w:tcPr>
            <w:tcW w:w="490" w:type="dxa"/>
            <w:noWrap w:val="0"/>
            <w:vAlign w:val="center"/>
          </w:tcPr>
          <w:p>
            <w:pPr>
              <w:widowControl/>
              <w:spacing w:line="380" w:lineRule="exact"/>
              <w:jc w:val="center"/>
              <w:textAlignment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15</w:t>
            </w:r>
          </w:p>
        </w:tc>
        <w:tc>
          <w:tcPr>
            <w:tcW w:w="6303" w:type="dxa"/>
            <w:noWrap w:val="0"/>
            <w:vAlign w:val="center"/>
          </w:tcPr>
          <w:p>
            <w:pPr>
              <w:widowControl/>
              <w:spacing w:line="380" w:lineRule="exact"/>
              <w:textAlignment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全面开展依法兑现公共政策创优法治化营商环境专项行动。</w:t>
            </w:r>
          </w:p>
        </w:tc>
        <w:tc>
          <w:tcPr>
            <w:tcW w:w="2967" w:type="dxa"/>
            <w:noWrap w:val="0"/>
            <w:vAlign w:val="center"/>
          </w:tcPr>
          <w:p>
            <w:pPr>
              <w:widowControl/>
              <w:spacing w:line="38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县政府办公室</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restart"/>
            <w:noWrap w:val="0"/>
            <w:vAlign w:val="center"/>
          </w:tcPr>
          <w:p>
            <w:pPr>
              <w:widowControl/>
              <w:spacing w:line="400" w:lineRule="exact"/>
              <w:jc w:val="left"/>
              <w:textAlignment w:val="top"/>
              <w:rPr>
                <w:rFonts w:ascii="黑体" w:hAnsi="黑体" w:eastAsia="黑体" w:cs="黑体"/>
                <w:sz w:val="24"/>
              </w:rPr>
            </w:pPr>
            <w:r>
              <w:rPr>
                <w:rFonts w:hint="eastAsia" w:ascii="黑体" w:hAnsi="黑体" w:eastAsia="黑体" w:cs="黑体"/>
                <w:kern w:val="0"/>
                <w:sz w:val="24"/>
              </w:rPr>
              <w:t>一、健全政府机构职能体系全面提升政府依法履职能力</w:t>
            </w:r>
          </w:p>
        </w:tc>
        <w:tc>
          <w:tcPr>
            <w:tcW w:w="875" w:type="dxa"/>
            <w:vMerge w:val="restart"/>
            <w:noWrap w:val="0"/>
            <w:vAlign w:val="center"/>
          </w:tcPr>
          <w:p>
            <w:pPr>
              <w:spacing w:line="400" w:lineRule="exact"/>
              <w:textAlignment w:val="top"/>
              <w:rPr>
                <w:rFonts w:ascii="楷体_GB2312" w:hAnsi="楷体_GB2312" w:eastAsia="楷体_GB2312" w:cs="楷体_GB2312"/>
                <w:sz w:val="24"/>
              </w:rPr>
            </w:pPr>
            <w:r>
              <w:rPr>
                <w:rFonts w:hint="eastAsia" w:ascii="楷体_GB2312" w:hAnsi="楷体_GB2312" w:eastAsia="楷体_GB2312" w:cs="楷体_GB2312"/>
                <w:sz w:val="24"/>
              </w:rPr>
              <w:t>持续优化法治化营商环境</w:t>
            </w:r>
          </w:p>
        </w:tc>
        <w:tc>
          <w:tcPr>
            <w:tcW w:w="490" w:type="dxa"/>
            <w:noWrap w:val="0"/>
            <w:vAlign w:val="center"/>
          </w:tcPr>
          <w:p>
            <w:pPr>
              <w:widowControl/>
              <w:spacing w:line="40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16</w:t>
            </w:r>
          </w:p>
        </w:tc>
        <w:tc>
          <w:tcPr>
            <w:tcW w:w="6303" w:type="dxa"/>
            <w:noWrap w:val="0"/>
            <w:vAlign w:val="center"/>
          </w:tcPr>
          <w:p>
            <w:pPr>
              <w:widowControl/>
              <w:spacing w:line="400" w:lineRule="exac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持续深化“四送一服”，及时总结优化营商环境可复制可推广的经验做法。加快优化各类市场主体公平竞争的法治环境，依法平等保护各种所有制企业产权和自主经营权，切实防止滥用行政权力排除、限制竞争行为。</w:t>
            </w:r>
          </w:p>
        </w:tc>
        <w:tc>
          <w:tcPr>
            <w:tcW w:w="2967" w:type="dxa"/>
            <w:noWrap w:val="0"/>
            <w:vAlign w:val="center"/>
          </w:tcPr>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县政府办公室</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县市场监管局</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县人大常委会监司工委</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县法院</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400" w:lineRule="exact"/>
              <w:jc w:val="left"/>
              <w:rPr>
                <w:rFonts w:ascii="黑体" w:hAnsi="黑体" w:eastAsia="黑体" w:cs="黑体"/>
                <w:sz w:val="24"/>
              </w:rPr>
            </w:pPr>
          </w:p>
        </w:tc>
        <w:tc>
          <w:tcPr>
            <w:tcW w:w="875" w:type="dxa"/>
            <w:vMerge w:val="continue"/>
            <w:noWrap w:val="0"/>
            <w:vAlign w:val="center"/>
          </w:tcPr>
          <w:p>
            <w:pPr>
              <w:widowControl/>
              <w:spacing w:line="400" w:lineRule="exact"/>
              <w:textAlignment w:val="top"/>
              <w:rPr>
                <w:rFonts w:ascii="楷体_GB2312" w:hAnsi="楷体_GB2312" w:eastAsia="楷体_GB2312" w:cs="楷体_GB2312"/>
                <w:sz w:val="24"/>
              </w:rPr>
            </w:pPr>
          </w:p>
        </w:tc>
        <w:tc>
          <w:tcPr>
            <w:tcW w:w="490" w:type="dxa"/>
            <w:noWrap w:val="0"/>
            <w:vAlign w:val="center"/>
          </w:tcPr>
          <w:p>
            <w:pPr>
              <w:widowControl/>
              <w:spacing w:line="400" w:lineRule="exact"/>
              <w:jc w:val="center"/>
              <w:textAlignment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17</w:t>
            </w:r>
          </w:p>
        </w:tc>
        <w:tc>
          <w:tcPr>
            <w:tcW w:w="6303" w:type="dxa"/>
            <w:noWrap w:val="0"/>
            <w:vAlign w:val="center"/>
          </w:tcPr>
          <w:p>
            <w:pPr>
              <w:widowControl/>
              <w:spacing w:line="400" w:lineRule="exact"/>
              <w:textAlignment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加强政企沟通，在制定修改与市场主体生产经营活动密切相关的行政规范性文件过程中充分听取企业和行业协会商会意见，增强行政规范性文件制定的针对性和实效性。</w:t>
            </w:r>
          </w:p>
        </w:tc>
        <w:tc>
          <w:tcPr>
            <w:tcW w:w="2967" w:type="dxa"/>
            <w:noWrap w:val="0"/>
            <w:vAlign w:val="center"/>
          </w:tcPr>
          <w:p>
            <w:pPr>
              <w:widowControl/>
              <w:spacing w:line="40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400" w:lineRule="exact"/>
              <w:jc w:val="left"/>
              <w:rPr>
                <w:rFonts w:ascii="黑体" w:hAnsi="黑体" w:eastAsia="黑体" w:cs="黑体"/>
                <w:sz w:val="24"/>
              </w:rPr>
            </w:pPr>
          </w:p>
        </w:tc>
        <w:tc>
          <w:tcPr>
            <w:tcW w:w="875" w:type="dxa"/>
            <w:vMerge w:val="continue"/>
            <w:noWrap w:val="0"/>
            <w:vAlign w:val="center"/>
          </w:tcPr>
          <w:p>
            <w:pPr>
              <w:widowControl/>
              <w:spacing w:line="400" w:lineRule="exact"/>
              <w:textAlignment w:val="top"/>
              <w:rPr>
                <w:rFonts w:ascii="楷体_GB2312" w:hAnsi="楷体_GB2312" w:eastAsia="楷体_GB2312" w:cs="楷体_GB2312"/>
                <w:sz w:val="24"/>
              </w:rPr>
            </w:pPr>
          </w:p>
        </w:tc>
        <w:tc>
          <w:tcPr>
            <w:tcW w:w="490" w:type="dxa"/>
            <w:noWrap w:val="0"/>
            <w:vAlign w:val="center"/>
          </w:tcPr>
          <w:p>
            <w:pPr>
              <w:widowControl/>
              <w:spacing w:line="400" w:lineRule="exact"/>
              <w:jc w:val="center"/>
              <w:textAlignment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18</w:t>
            </w:r>
          </w:p>
        </w:tc>
        <w:tc>
          <w:tcPr>
            <w:tcW w:w="6303" w:type="dxa"/>
            <w:noWrap w:val="0"/>
            <w:vAlign w:val="center"/>
          </w:tcPr>
          <w:p>
            <w:pPr>
              <w:widowControl/>
              <w:spacing w:line="400" w:lineRule="exact"/>
              <w:textAlignment w:val="center"/>
              <w:rPr>
                <w:rFonts w:ascii="仿宋_GB2312" w:hAnsi="仿宋" w:eastAsia="仿宋_GB2312" w:cs="仿宋"/>
                <w:color w:val="000000"/>
                <w:sz w:val="24"/>
              </w:rPr>
            </w:pPr>
            <w:r>
              <w:rPr>
                <w:rFonts w:hint="eastAsia" w:ascii="仿宋_GB2312" w:hAnsi="仿宋" w:eastAsia="仿宋_GB2312" w:cs="仿宋"/>
                <w:color w:val="000000"/>
                <w:sz w:val="24"/>
              </w:rPr>
              <w:t>强化公平竞争审查制度刚性约束，及时清理废除妨碍统一市场和公平竞争的各种规定和做法。</w:t>
            </w:r>
          </w:p>
        </w:tc>
        <w:tc>
          <w:tcPr>
            <w:tcW w:w="2967" w:type="dxa"/>
            <w:noWrap w:val="0"/>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县</w:t>
            </w:r>
            <w:r>
              <w:rPr>
                <w:rFonts w:hint="eastAsia" w:ascii="仿宋_GB2312" w:hAnsi="仿宋" w:eastAsia="仿宋_GB2312" w:cs="仿宋"/>
                <w:sz w:val="24"/>
              </w:rPr>
              <w:t>市场监管局</w:t>
            </w:r>
          </w:p>
        </w:tc>
        <w:tc>
          <w:tcPr>
            <w:tcW w:w="2431" w:type="dxa"/>
            <w:noWrap w:val="0"/>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县</w:t>
            </w:r>
            <w:r>
              <w:rPr>
                <w:rFonts w:hint="eastAsia" w:ascii="仿宋_GB2312" w:hAnsi="仿宋" w:eastAsia="仿宋_GB2312" w:cs="仿宋"/>
                <w:sz w:val="24"/>
              </w:rPr>
              <w:t>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96" w:hRule="atLeast"/>
          <w:jc w:val="center"/>
        </w:trPr>
        <w:tc>
          <w:tcPr>
            <w:tcW w:w="850" w:type="dxa"/>
            <w:vMerge w:val="restart"/>
            <w:noWrap w:val="0"/>
            <w:vAlign w:val="center"/>
          </w:tcPr>
          <w:p>
            <w:pPr>
              <w:spacing w:line="330" w:lineRule="exact"/>
              <w:jc w:val="left"/>
              <w:textAlignment w:val="top"/>
              <w:rPr>
                <w:rFonts w:ascii="黑体" w:hAnsi="黑体" w:eastAsia="黑体" w:cs="黑体"/>
                <w:sz w:val="24"/>
              </w:rPr>
            </w:pPr>
            <w:r>
              <w:rPr>
                <w:rFonts w:hint="eastAsia" w:ascii="黑体" w:hAnsi="黑体" w:eastAsia="黑体" w:cs="黑体"/>
                <w:kern w:val="0"/>
                <w:sz w:val="24"/>
              </w:rPr>
              <w:t>二、健全依法行政制度体系全面提升政府依法治理能力</w:t>
            </w:r>
          </w:p>
        </w:tc>
        <w:tc>
          <w:tcPr>
            <w:tcW w:w="875" w:type="dxa"/>
            <w:vMerge w:val="restart"/>
            <w:noWrap w:val="0"/>
            <w:vAlign w:val="center"/>
          </w:tcPr>
          <w:p>
            <w:pPr>
              <w:spacing w:line="330" w:lineRule="exact"/>
              <w:textAlignment w:val="top"/>
              <w:rPr>
                <w:rFonts w:ascii="楷体_GB2312" w:hAnsi="楷体_GB2312" w:eastAsia="楷体_GB2312" w:cs="楷体_GB2312"/>
                <w:sz w:val="24"/>
              </w:rPr>
            </w:pPr>
            <w:r>
              <w:rPr>
                <w:rFonts w:hint="eastAsia" w:ascii="楷体_GB2312" w:hAnsi="楷体_GB2312" w:eastAsia="楷体_GB2312" w:cs="楷体_GB2312"/>
                <w:sz w:val="24"/>
              </w:rPr>
              <w:t>加强行政规范性文件制定监督管理</w:t>
            </w:r>
          </w:p>
        </w:tc>
        <w:tc>
          <w:tcPr>
            <w:tcW w:w="490" w:type="dxa"/>
            <w:noWrap w:val="0"/>
            <w:vAlign w:val="center"/>
          </w:tcPr>
          <w:p>
            <w:pPr>
              <w:widowControl/>
              <w:spacing w:line="33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19</w:t>
            </w:r>
          </w:p>
        </w:tc>
        <w:tc>
          <w:tcPr>
            <w:tcW w:w="6303" w:type="dxa"/>
            <w:noWrap w:val="0"/>
            <w:vAlign w:val="center"/>
          </w:tcPr>
          <w:p>
            <w:pPr>
              <w:spacing w:line="330" w:lineRule="exact"/>
              <w:rPr>
                <w:rStyle w:val="5"/>
                <w:rFonts w:ascii="仿宋_GB2312" w:hAnsi="仿宋" w:eastAsia="仿宋_GB2312" w:cs="仿宋"/>
              </w:rPr>
            </w:pPr>
            <w:r>
              <w:rPr>
                <w:rFonts w:hint="eastAsia" w:ascii="仿宋_GB2312" w:hAnsi="仿宋" w:eastAsia="仿宋_GB2312" w:cs="仿宋"/>
                <w:kern w:val="0"/>
                <w:sz w:val="24"/>
              </w:rPr>
              <w:t>依法制定行政规范性文件，严禁越权发文、严控发文数量、严格制发程序。建立健全行政规范性文件制定协调机制，防止政出多门、政策效应相互抵消。加强对行政规范性文件制定和管理工作的指导监督，推动管理制度化规范化。</w:t>
            </w:r>
          </w:p>
        </w:tc>
        <w:tc>
          <w:tcPr>
            <w:tcW w:w="2967" w:type="dxa"/>
            <w:noWrap w:val="0"/>
            <w:vAlign w:val="center"/>
          </w:tcPr>
          <w:p>
            <w:pPr>
              <w:spacing w:line="330" w:lineRule="exact"/>
              <w:jc w:val="center"/>
              <w:rPr>
                <w:rFonts w:ascii="仿宋_GB2312" w:hAnsi="仿宋" w:eastAsia="仿宋_GB2312" w:cs="仿宋"/>
                <w:kern w:val="0"/>
                <w:sz w:val="24"/>
              </w:rPr>
            </w:pPr>
            <w:r>
              <w:rPr>
                <w:rFonts w:hint="eastAsia" w:ascii="仿宋_GB2312" w:hAnsi="仿宋" w:eastAsia="仿宋_GB2312" w:cs="仿宋"/>
                <w:kern w:val="0"/>
                <w:sz w:val="24"/>
              </w:rPr>
              <w:t>县政府办公室</w:t>
            </w:r>
          </w:p>
          <w:p>
            <w:pPr>
              <w:spacing w:line="330" w:lineRule="exact"/>
              <w:jc w:val="center"/>
              <w:rPr>
                <w:rFonts w:ascii="仿宋_GB2312" w:hAnsi="仿宋" w:eastAsia="仿宋_GB2312" w:cs="仿宋"/>
                <w:kern w:val="0"/>
                <w:sz w:val="24"/>
              </w:rPr>
            </w:pPr>
            <w:r>
              <w:rPr>
                <w:rFonts w:hint="eastAsia" w:ascii="仿宋_GB2312" w:hAnsi="仿宋" w:eastAsia="仿宋_GB2312" w:cs="仿宋"/>
                <w:kern w:val="0"/>
                <w:sz w:val="24"/>
              </w:rPr>
              <w:t>县司法局</w:t>
            </w:r>
          </w:p>
          <w:p>
            <w:pPr>
              <w:spacing w:line="33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县督查考核中心</w:t>
            </w:r>
          </w:p>
        </w:tc>
        <w:tc>
          <w:tcPr>
            <w:tcW w:w="2431" w:type="dxa"/>
            <w:noWrap w:val="0"/>
            <w:vAlign w:val="center"/>
          </w:tcPr>
          <w:p>
            <w:pPr>
              <w:spacing w:line="330" w:lineRule="exact"/>
              <w:jc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spacing w:line="330" w:lineRule="exact"/>
              <w:jc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30" w:lineRule="exact"/>
              <w:rPr>
                <w:rFonts w:ascii="仿宋_GB2312" w:hAnsi="黑体" w:eastAsia="仿宋_GB2312" w:cs="黑体"/>
                <w:sz w:val="24"/>
              </w:rPr>
            </w:pPr>
          </w:p>
        </w:tc>
        <w:tc>
          <w:tcPr>
            <w:tcW w:w="875" w:type="dxa"/>
            <w:vMerge w:val="continue"/>
            <w:noWrap w:val="0"/>
            <w:vAlign w:val="center"/>
          </w:tcPr>
          <w:p>
            <w:pPr>
              <w:spacing w:line="330" w:lineRule="exact"/>
              <w:textAlignment w:val="top"/>
              <w:rPr>
                <w:rFonts w:ascii="仿宋_GB2312" w:hAnsi="楷体_GB2312" w:eastAsia="仿宋_GB2312" w:cs="楷体_GB2312"/>
                <w:sz w:val="24"/>
              </w:rPr>
            </w:pPr>
          </w:p>
        </w:tc>
        <w:tc>
          <w:tcPr>
            <w:tcW w:w="490" w:type="dxa"/>
            <w:noWrap w:val="0"/>
            <w:vAlign w:val="center"/>
          </w:tcPr>
          <w:p>
            <w:pPr>
              <w:widowControl/>
              <w:spacing w:line="33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20</w:t>
            </w:r>
          </w:p>
        </w:tc>
        <w:tc>
          <w:tcPr>
            <w:tcW w:w="6303" w:type="dxa"/>
            <w:noWrap w:val="0"/>
            <w:vAlign w:val="center"/>
          </w:tcPr>
          <w:p>
            <w:pPr>
              <w:widowControl/>
              <w:spacing w:line="33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全面推行行政规范性文件合法性审核机制，积极运用信息化手段，明确审核范围，统一审核标准，提升审核质量。凡涉及公民、法人和其他组织权利义务的规范性文件，均纳入合法性审核范围，确保做到应审必审。严格落实行政规范性文件动态清理工作机制和备案审查制度。</w:t>
            </w:r>
          </w:p>
        </w:tc>
        <w:tc>
          <w:tcPr>
            <w:tcW w:w="2967" w:type="dxa"/>
            <w:noWrap w:val="0"/>
            <w:vAlign w:val="center"/>
          </w:tcPr>
          <w:p>
            <w:pPr>
              <w:widowControl/>
              <w:spacing w:line="33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3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3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三、健全行政决策制度体系全面提升政府依法决策能力</w:t>
            </w:r>
          </w:p>
        </w:tc>
        <w:tc>
          <w:tcPr>
            <w:tcW w:w="875" w:type="dxa"/>
            <w:noWrap w:val="0"/>
            <w:vAlign w:val="center"/>
          </w:tcPr>
          <w:p>
            <w:pPr>
              <w:spacing w:line="330" w:lineRule="exact"/>
              <w:textAlignment w:val="top"/>
              <w:rPr>
                <w:rFonts w:ascii="仿宋_GB2312" w:hAnsi="楷体_GB2312" w:eastAsia="仿宋_GB2312" w:cs="楷体_GB2312"/>
                <w:sz w:val="24"/>
              </w:rPr>
            </w:pPr>
            <w:r>
              <w:rPr>
                <w:rFonts w:hint="eastAsia" w:ascii="仿宋_GB2312" w:hAnsi="楷体_GB2312" w:eastAsia="仿宋_GB2312" w:cs="楷体_GB2312"/>
                <w:sz w:val="24"/>
              </w:rPr>
              <w:t>强化依法决策</w:t>
            </w:r>
          </w:p>
        </w:tc>
        <w:tc>
          <w:tcPr>
            <w:tcW w:w="490" w:type="dxa"/>
            <w:noWrap w:val="0"/>
            <w:vAlign w:val="center"/>
          </w:tcPr>
          <w:p>
            <w:pPr>
              <w:widowControl/>
              <w:spacing w:line="33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21</w:t>
            </w:r>
          </w:p>
        </w:tc>
        <w:tc>
          <w:tcPr>
            <w:tcW w:w="6303" w:type="dxa"/>
            <w:noWrap w:val="0"/>
            <w:vAlign w:val="top"/>
          </w:tcPr>
          <w:p>
            <w:pPr>
              <w:widowControl/>
              <w:spacing w:line="33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各级行政机关负责人要牢固树立依法决策意识，严格执行《固镇县重大行政决策程序规定》，严格遵循法定权限和程序作出决策，确保决策内容符合法律法规规定。根据决策内容涉及的事项、范围，视情邀请群众、媒体等列席政府有关会议，保障人民群众知情权、参与权、监督权，增强决策透明度。推行文化教育、医疗卫生、食品安全、资源开发、环境保护、公共事业等重大民生类行政决策事项民意调查制度。完善重大行政决策咨询论证专家库，健全专家库运行管理制度，保障专家独立开展论证工作。落实公职律师和法律顾问在重大行政决策中发挥积极作用的制度机制。涉及社会公众切身利益的重要规划、重大公共政策和措施、重大公共建设项目等，应当通过举办听证会等形式加大公众参与力度，深入开展风险评估，认真听取和反映利益相关群体的意见建议。</w:t>
            </w:r>
          </w:p>
        </w:tc>
        <w:tc>
          <w:tcPr>
            <w:tcW w:w="2967" w:type="dxa"/>
            <w:noWrap w:val="0"/>
            <w:vAlign w:val="center"/>
          </w:tcPr>
          <w:p>
            <w:pPr>
              <w:widowControl/>
              <w:spacing w:line="33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县政府办公室</w:t>
            </w:r>
          </w:p>
          <w:p>
            <w:pPr>
              <w:widowControl/>
              <w:spacing w:line="33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3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三、健全行政决策制度体系全面提升政府依法决策能力</w:t>
            </w:r>
          </w:p>
        </w:tc>
        <w:tc>
          <w:tcPr>
            <w:tcW w:w="875" w:type="dxa"/>
            <w:noWrap w:val="0"/>
            <w:vAlign w:val="center"/>
          </w:tcPr>
          <w:p>
            <w:pPr>
              <w:widowControl/>
              <w:spacing w:line="350" w:lineRule="exact"/>
              <w:textAlignment w:val="top"/>
              <w:rPr>
                <w:rFonts w:ascii="楷体_GB2312" w:hAnsi="楷体_GB2312" w:eastAsia="楷体_GB2312" w:cs="楷体_GB2312"/>
                <w:sz w:val="24"/>
              </w:rPr>
            </w:pPr>
            <w:r>
              <w:rPr>
                <w:rFonts w:hint="eastAsia" w:ascii="楷体_GB2312" w:hAnsi="楷体_GB2312" w:eastAsia="楷体_GB2312" w:cs="楷体_GB2312"/>
                <w:sz w:val="24"/>
              </w:rPr>
              <w:t>强化依法决策</w:t>
            </w:r>
          </w:p>
        </w:tc>
        <w:tc>
          <w:tcPr>
            <w:tcW w:w="490" w:type="dxa"/>
            <w:noWrap w:val="0"/>
            <w:vAlign w:val="center"/>
          </w:tcPr>
          <w:p>
            <w:pPr>
              <w:widowControl/>
              <w:spacing w:line="350" w:lineRule="exact"/>
              <w:jc w:val="center"/>
              <w:textAlignment w:val="center"/>
              <w:rPr>
                <w:rFonts w:hint="eastAsia" w:ascii="仿宋_GB2312" w:hAnsi="仿宋" w:eastAsia="仿宋_GB2312" w:cs="仿宋"/>
                <w:sz w:val="24"/>
              </w:rPr>
            </w:pPr>
            <w:r>
              <w:rPr>
                <w:rFonts w:hint="eastAsia" w:ascii="仿宋_GB2312" w:hAnsi="仿宋" w:eastAsia="仿宋_GB2312" w:cs="仿宋"/>
                <w:kern w:val="0"/>
                <w:sz w:val="24"/>
              </w:rPr>
              <w:t>22</w:t>
            </w:r>
          </w:p>
        </w:tc>
        <w:tc>
          <w:tcPr>
            <w:tcW w:w="6303" w:type="dxa"/>
            <w:noWrap w:val="0"/>
            <w:vAlign w:val="center"/>
          </w:tcPr>
          <w:p>
            <w:pPr>
              <w:widowControl/>
              <w:spacing w:line="35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把是否遵守决策程序制度、做到依法决策作为对各级政府部门党组（党委）开展巡察和对行政机关主要负责人开展考核督察、经济责任审计的重要内容，防止个人专断、搞“一言堂”。</w:t>
            </w:r>
          </w:p>
        </w:tc>
        <w:tc>
          <w:tcPr>
            <w:tcW w:w="2967" w:type="dxa"/>
            <w:noWrap w:val="0"/>
            <w:vAlign w:val="center"/>
          </w:tcPr>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县纪委监委</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县委组织部</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县审计局</w:t>
            </w:r>
          </w:p>
        </w:tc>
        <w:tc>
          <w:tcPr>
            <w:tcW w:w="2431" w:type="dxa"/>
            <w:noWrap w:val="0"/>
            <w:vAlign w:val="center"/>
          </w:tcPr>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75" w:hRule="atLeast"/>
          <w:jc w:val="center"/>
        </w:trPr>
        <w:tc>
          <w:tcPr>
            <w:tcW w:w="850" w:type="dxa"/>
            <w:vMerge w:val="continue"/>
            <w:noWrap w:val="0"/>
            <w:vAlign w:val="center"/>
          </w:tcPr>
          <w:p>
            <w:pPr>
              <w:widowControl/>
              <w:spacing w:line="350" w:lineRule="exact"/>
              <w:jc w:val="left"/>
              <w:textAlignment w:val="top"/>
              <w:rPr>
                <w:rFonts w:ascii="仿宋_GB2312" w:hAnsi="黑体" w:eastAsia="仿宋_GB2312" w:cs="黑体"/>
                <w:sz w:val="24"/>
              </w:rPr>
            </w:pPr>
          </w:p>
        </w:tc>
        <w:tc>
          <w:tcPr>
            <w:tcW w:w="875" w:type="dxa"/>
            <w:noWrap w:val="0"/>
            <w:vAlign w:val="center"/>
          </w:tcPr>
          <w:p>
            <w:pPr>
              <w:widowControl/>
              <w:spacing w:line="350" w:lineRule="exact"/>
              <w:textAlignment w:val="top"/>
              <w:rPr>
                <w:rFonts w:ascii="楷体_GB2312" w:hAnsi="楷体_GB2312" w:eastAsia="楷体_GB2312" w:cs="楷体_GB2312"/>
                <w:sz w:val="24"/>
              </w:rPr>
            </w:pPr>
            <w:r>
              <w:rPr>
                <w:rFonts w:hint="eastAsia" w:ascii="楷体_GB2312" w:hAnsi="楷体_GB2312" w:eastAsia="楷体_GB2312" w:cs="楷体_GB2312"/>
                <w:kern w:val="0"/>
                <w:sz w:val="24"/>
              </w:rPr>
              <w:t>严格重大行政决策合法性审查</w:t>
            </w:r>
          </w:p>
        </w:tc>
        <w:tc>
          <w:tcPr>
            <w:tcW w:w="490" w:type="dxa"/>
            <w:noWrap w:val="0"/>
            <w:vAlign w:val="center"/>
          </w:tcPr>
          <w:p>
            <w:pPr>
              <w:widowControl/>
              <w:spacing w:line="35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23</w:t>
            </w:r>
          </w:p>
        </w:tc>
        <w:tc>
          <w:tcPr>
            <w:tcW w:w="6303" w:type="dxa"/>
            <w:noWrap w:val="0"/>
            <w:vAlign w:val="center"/>
          </w:tcPr>
          <w:p>
            <w:pPr>
              <w:widowControl/>
              <w:spacing w:line="35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各级政府及其部门应当结合本地区本部门实际和职责权限，确定重大行政决策事项年度目录，按规定程序向社会公布，并根据实际情况动态调整。涉及公民、法人和其他组织权利义务的重大行政决策事项，均应纳入审查范围。保证必要的审查时间，一般不少于7个工作日。未经合法性审查或者经审查不合法的，不得提交集体讨论或者制发文件。行政机关主要负责人作出重大决策前，应当听取合法性审查机构的意见，注重听取法律顾问、公职律师或者相关领域专家的意见。</w:t>
            </w:r>
          </w:p>
        </w:tc>
        <w:tc>
          <w:tcPr>
            <w:tcW w:w="2967" w:type="dxa"/>
            <w:noWrap w:val="0"/>
            <w:vAlign w:val="center"/>
          </w:tcPr>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县政府办公室</w:t>
            </w:r>
          </w:p>
        </w:tc>
        <w:tc>
          <w:tcPr>
            <w:tcW w:w="2431" w:type="dxa"/>
            <w:noWrap w:val="0"/>
            <w:vAlign w:val="center"/>
          </w:tcPr>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50" w:lineRule="exact"/>
              <w:rPr>
                <w:rFonts w:ascii="仿宋_GB2312" w:hAnsi="黑体" w:eastAsia="仿宋_GB2312" w:cs="黑体"/>
                <w:sz w:val="24"/>
              </w:rPr>
            </w:pPr>
          </w:p>
        </w:tc>
        <w:tc>
          <w:tcPr>
            <w:tcW w:w="875" w:type="dxa"/>
            <w:noWrap w:val="0"/>
            <w:vAlign w:val="center"/>
          </w:tcPr>
          <w:p>
            <w:pPr>
              <w:widowControl/>
              <w:spacing w:line="350" w:lineRule="exact"/>
              <w:textAlignment w:val="top"/>
              <w:rPr>
                <w:rFonts w:ascii="楷体_GB2312" w:hAnsi="楷体_GB2312" w:eastAsia="楷体_GB2312" w:cs="楷体_GB2312"/>
                <w:sz w:val="24"/>
              </w:rPr>
            </w:pPr>
            <w:r>
              <w:rPr>
                <w:rFonts w:hint="eastAsia" w:ascii="楷体_GB2312" w:hAnsi="楷体_GB2312" w:eastAsia="楷体_GB2312" w:cs="楷体_GB2312"/>
                <w:kern w:val="0"/>
                <w:sz w:val="24"/>
              </w:rPr>
              <w:t>严格行政决策执行和评估</w:t>
            </w:r>
          </w:p>
        </w:tc>
        <w:tc>
          <w:tcPr>
            <w:tcW w:w="490" w:type="dxa"/>
            <w:noWrap w:val="0"/>
            <w:vAlign w:val="center"/>
          </w:tcPr>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24</w:t>
            </w:r>
          </w:p>
        </w:tc>
        <w:tc>
          <w:tcPr>
            <w:tcW w:w="6303" w:type="dxa"/>
            <w:noWrap w:val="0"/>
            <w:vAlign w:val="top"/>
          </w:tcPr>
          <w:p>
            <w:pPr>
              <w:widowControl/>
              <w:spacing w:line="35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完善行政决策执行机制，决策机关应当在决策中明确执行主体、执行目标、执行时限、执行反馈等内容。建立健全重大行政决策跟踪反馈制度，完善执行主体向决策机关报告决策执行情况机制。健全重大行政政策落实跟踪调度机制，及时评估进展和实效，适时开展调研督导。依法推进决策后评估工作，强化评估结果的运用。重大行政决策一经作出，未经法定程序不得随意变更或者停止执行。严格落实重大行政决策终身责任追究制度和责任倒查机制。</w:t>
            </w:r>
          </w:p>
        </w:tc>
        <w:tc>
          <w:tcPr>
            <w:tcW w:w="2967" w:type="dxa"/>
            <w:noWrap w:val="0"/>
            <w:vAlign w:val="center"/>
          </w:tcPr>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c>
          <w:tcPr>
            <w:tcW w:w="2431" w:type="dxa"/>
            <w:noWrap w:val="0"/>
            <w:vAlign w:val="center"/>
          </w:tcPr>
          <w:p>
            <w:pPr>
              <w:widowControl/>
              <w:spacing w:line="35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四、健全行政执法工作体系全面提升政府综合执法能力</w:t>
            </w:r>
          </w:p>
        </w:tc>
        <w:tc>
          <w:tcPr>
            <w:tcW w:w="875" w:type="dxa"/>
            <w:vMerge w:val="restart"/>
            <w:noWrap w:val="0"/>
            <w:vAlign w:val="center"/>
          </w:tcPr>
          <w:p>
            <w:pPr>
              <w:spacing w:line="380" w:lineRule="exact"/>
              <w:textAlignment w:val="top"/>
              <w:rPr>
                <w:rFonts w:ascii="楷体_GB2312" w:hAnsi="楷体_GB2312" w:eastAsia="楷体_GB2312" w:cs="楷体_GB2312"/>
                <w:kern w:val="0"/>
                <w:sz w:val="24"/>
              </w:rPr>
            </w:pPr>
            <w:r>
              <w:rPr>
                <w:rFonts w:hint="eastAsia" w:ascii="楷体_GB2312" w:hAnsi="楷体_GB2312" w:eastAsia="楷体_GB2312" w:cs="楷体_GB2312"/>
                <w:kern w:val="0"/>
                <w:sz w:val="24"/>
              </w:rPr>
              <w:t>深化行政执法体制改革</w:t>
            </w: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25</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完善权责清晰、运转顺畅、保障有力、廉洁高效的行政执法体制机制，大力提高执法执行力和公信力。巩固综合执法改革成果，持续深化市场监管、生态环境保护、文化市场、交通运输、农业和应急管理等领域综合执法改革。积极推进基层综合行政执法改革，推动行政执法权限和力量向基层延伸和下沉。根据本地实际情况，依法赋予乡镇行政执法权，整合现有执法力量和资源，逐步实现“一支队伍管执法”。</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县委编办</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县市场监管局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县生态环境分局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县文化和旅游局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县交通运输局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县农业农村局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县应急管理局等</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75" w:hRule="atLeast"/>
          <w:jc w:val="center"/>
        </w:trPr>
        <w:tc>
          <w:tcPr>
            <w:tcW w:w="850" w:type="dxa"/>
            <w:vMerge w:val="continue"/>
            <w:noWrap w:val="0"/>
            <w:vAlign w:val="center"/>
          </w:tcPr>
          <w:p>
            <w:pPr>
              <w:widowControl/>
              <w:spacing w:line="360" w:lineRule="exact"/>
              <w:jc w:val="left"/>
              <w:textAlignment w:val="top"/>
              <w:rPr>
                <w:rFonts w:ascii="仿宋_GB2312" w:hAnsi="黑体" w:eastAsia="仿宋_GB2312" w:cs="黑体"/>
                <w:sz w:val="24"/>
              </w:rPr>
            </w:pPr>
          </w:p>
        </w:tc>
        <w:tc>
          <w:tcPr>
            <w:tcW w:w="875" w:type="dxa"/>
            <w:vMerge w:val="continue"/>
            <w:noWrap w:val="0"/>
            <w:vAlign w:val="center"/>
          </w:tcPr>
          <w:p>
            <w:pPr>
              <w:spacing w:line="380" w:lineRule="exact"/>
              <w:textAlignment w:val="top"/>
              <w:rPr>
                <w:rFonts w:ascii="楷体_GB2312" w:hAnsi="楷体_GB2312" w:eastAsia="楷体_GB2312" w:cs="楷体_GB2312"/>
                <w:kern w:val="0"/>
                <w:sz w:val="24"/>
              </w:rPr>
            </w:pPr>
          </w:p>
        </w:tc>
        <w:tc>
          <w:tcPr>
            <w:tcW w:w="490" w:type="dxa"/>
            <w:noWrap w:val="0"/>
            <w:vAlign w:val="center"/>
          </w:tcPr>
          <w:p>
            <w:pPr>
              <w:widowControl/>
              <w:spacing w:line="36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26</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建立健全乡镇与上一级相关部门行政执法案件移送及协调协作机制。</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县政府各部门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80" w:lineRule="exact"/>
              <w:textAlignment w:val="top"/>
              <w:rPr>
                <w:rFonts w:ascii="楷体_GB2312" w:hAnsi="楷体_GB2312" w:eastAsia="楷体_GB2312" w:cs="楷体_GB2312"/>
                <w:kern w:val="0"/>
                <w:sz w:val="24"/>
              </w:rPr>
            </w:pPr>
          </w:p>
        </w:tc>
        <w:tc>
          <w:tcPr>
            <w:tcW w:w="490" w:type="dxa"/>
            <w:noWrap w:val="0"/>
            <w:vAlign w:val="center"/>
          </w:tcPr>
          <w:p>
            <w:pPr>
              <w:widowControl/>
              <w:spacing w:line="360" w:lineRule="exact"/>
              <w:jc w:val="center"/>
              <w:textAlignment w:val="center"/>
              <w:rPr>
                <w:rFonts w:ascii="仿宋_GB2312" w:hAnsi="仿宋" w:eastAsia="仿宋_GB2312" w:cs="仿宋"/>
                <w:sz w:val="24"/>
              </w:rPr>
            </w:pPr>
            <w:r>
              <w:rPr>
                <w:rFonts w:hint="eastAsia" w:ascii="仿宋_GB2312" w:hAnsi="仿宋" w:eastAsia="仿宋_GB2312" w:cs="仿宋"/>
                <w:sz w:val="24"/>
              </w:rPr>
              <w:t>27</w:t>
            </w:r>
          </w:p>
        </w:tc>
        <w:tc>
          <w:tcPr>
            <w:tcW w:w="6303" w:type="dxa"/>
            <w:noWrap w:val="0"/>
            <w:vAlign w:val="center"/>
          </w:tcPr>
          <w:p>
            <w:pPr>
              <w:widowControl/>
              <w:spacing w:line="360" w:lineRule="exact"/>
              <w:textAlignment w:val="center"/>
              <w:rPr>
                <w:rFonts w:ascii="仿宋_GB2312" w:hAnsi="仿宋" w:eastAsia="仿宋_GB2312" w:cs="仿宋"/>
                <w:sz w:val="24"/>
              </w:rPr>
            </w:pPr>
            <w:r>
              <w:rPr>
                <w:rFonts w:hint="eastAsia" w:ascii="仿宋_GB2312" w:hAnsi="仿宋" w:eastAsia="仿宋_GB2312" w:cs="仿宋"/>
                <w:kern w:val="0"/>
                <w:sz w:val="24"/>
              </w:rPr>
              <w:t>完善综合执法主管部门、相关行业主管部门、综合执法队伍协调配合、信息共享机制。大力推进跨领域跨部门综合执法，实现违法线索互联、执法标准互通、处理结果互认，着力解决多头多层重复执法问题。</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县法院</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县检察院</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县公安局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80" w:lineRule="exact"/>
              <w:textAlignment w:val="top"/>
              <w:rPr>
                <w:rFonts w:ascii="楷体_GB2312" w:hAnsi="楷体_GB2312" w:eastAsia="楷体_GB2312" w:cs="楷体_GB2312"/>
                <w:kern w:val="0"/>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28</w:t>
            </w:r>
          </w:p>
        </w:tc>
        <w:tc>
          <w:tcPr>
            <w:tcW w:w="6303" w:type="dxa"/>
            <w:noWrap w:val="0"/>
            <w:vAlign w:val="center"/>
          </w:tcPr>
          <w:p>
            <w:pPr>
              <w:spacing w:line="360" w:lineRule="exact"/>
              <w:rPr>
                <w:rFonts w:ascii="仿宋_GB2312" w:hAnsi="仿宋" w:eastAsia="仿宋_GB2312" w:cs="仿宋"/>
                <w:sz w:val="24"/>
              </w:rPr>
            </w:pPr>
            <w:r>
              <w:rPr>
                <w:rFonts w:hint="eastAsia" w:ascii="仿宋_GB2312" w:hAnsi="仿宋" w:eastAsia="仿宋_GB2312" w:cs="仿宋"/>
                <w:kern w:val="0"/>
                <w:sz w:val="24"/>
              </w:rPr>
              <w:t>落实行政执法与刑事司法衔接机制，加强“两法衔接”信息平台建设，推进信息共享机制化、案情通报常态化、案件移送标准和程序规范化，坚决防止有案不移、有案难移、以罚代刑现象发生。</w:t>
            </w:r>
          </w:p>
        </w:tc>
        <w:tc>
          <w:tcPr>
            <w:tcW w:w="2967" w:type="dxa"/>
            <w:noWrap w:val="0"/>
            <w:vAlign w:val="center"/>
          </w:tcPr>
          <w:p>
            <w:pPr>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县委政法委</w:t>
            </w:r>
          </w:p>
          <w:p>
            <w:pPr>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县法院</w:t>
            </w:r>
          </w:p>
          <w:p>
            <w:pPr>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县检察院</w:t>
            </w:r>
          </w:p>
          <w:p>
            <w:pPr>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县公安局</w:t>
            </w:r>
          </w:p>
          <w:p>
            <w:pPr>
              <w:spacing w:line="360" w:lineRule="exact"/>
              <w:jc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_GB2312" w:eastAsia="仿宋_GB2312" w:cs="楷体_GB2312"/>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29</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统筹资金使用，优化支出结构，为行政执法工作、装备等提供必要经费保障。</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县财政局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45"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kern w:val="0"/>
                <w:sz w:val="24"/>
              </w:rPr>
            </w:pPr>
            <w:r>
              <w:rPr>
                <w:rFonts w:hint="eastAsia" w:ascii="黑体" w:hAnsi="黑体" w:eastAsia="黑体" w:cs="黑体"/>
                <w:kern w:val="0"/>
                <w:sz w:val="24"/>
              </w:rPr>
              <w:t>四、健全行政执法工作体系全面提升政府综合执法能力</w:t>
            </w:r>
          </w:p>
        </w:tc>
        <w:tc>
          <w:tcPr>
            <w:tcW w:w="875" w:type="dxa"/>
            <w:vMerge w:val="restart"/>
            <w:noWrap w:val="0"/>
            <w:vAlign w:val="center"/>
          </w:tcPr>
          <w:p>
            <w:pPr>
              <w:spacing w:line="380" w:lineRule="exact"/>
              <w:textAlignment w:val="top"/>
              <w:rPr>
                <w:rFonts w:ascii="仿宋_GB2312" w:hAnsi="楷体_GB2312" w:eastAsia="仿宋_GB2312" w:cs="楷体_GB2312"/>
                <w:sz w:val="24"/>
              </w:rPr>
            </w:pPr>
            <w:r>
              <w:rPr>
                <w:rFonts w:hint="eastAsia" w:ascii="楷体_GB2312" w:hAnsi="楷体_GB2312" w:eastAsia="楷体_GB2312" w:cs="楷体_GB2312"/>
                <w:kern w:val="0"/>
                <w:sz w:val="24"/>
              </w:rPr>
              <w:t>加大重点领域执法力度</w:t>
            </w:r>
          </w:p>
        </w:tc>
        <w:tc>
          <w:tcPr>
            <w:tcW w:w="490" w:type="dxa"/>
            <w:noWrap w:val="0"/>
            <w:vAlign w:val="center"/>
          </w:tcPr>
          <w:p>
            <w:pPr>
              <w:widowControl/>
              <w:spacing w:line="350" w:lineRule="exact"/>
              <w:jc w:val="center"/>
              <w:textAlignment w:val="center"/>
              <w:rPr>
                <w:rFonts w:ascii="仿宋_GB2312" w:hAnsi="仿宋" w:eastAsia="仿宋_GB2312" w:cs="仿宋"/>
                <w:sz w:val="24"/>
              </w:rPr>
            </w:pPr>
            <w:r>
              <w:rPr>
                <w:rFonts w:hint="eastAsia" w:ascii="仿宋_GB2312" w:hAnsi="仿宋" w:eastAsia="仿宋_GB2312" w:cs="仿宋"/>
                <w:sz w:val="24"/>
              </w:rPr>
              <w:t>30</w:t>
            </w:r>
          </w:p>
        </w:tc>
        <w:tc>
          <w:tcPr>
            <w:tcW w:w="6303" w:type="dxa"/>
            <w:noWrap w:val="0"/>
            <w:vAlign w:val="center"/>
          </w:tcPr>
          <w:p>
            <w:pPr>
              <w:widowControl/>
              <w:spacing w:line="35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加大食品药品、公共卫生、自然资源、生态环境、安全生产、劳动保障、城市管理、城乡建设、交通运输、金融服务、教育培训等关系群众切身利益的重点领域执法力度。强化群众反映强烈的突出问题集中专项整治。对潜在风险大、可能造成严重不良后果的，加强日常监管和执法检查，从源头上预防和化解违法风险。</w:t>
            </w:r>
          </w:p>
        </w:tc>
        <w:tc>
          <w:tcPr>
            <w:tcW w:w="2967" w:type="dxa"/>
            <w:noWrap w:val="0"/>
            <w:vAlign w:val="center"/>
          </w:tcPr>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县市场监管局</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县卫生健康委</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县自然资源和规划局</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县生态环境分局</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县应急管理局</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县人力资源社会保障局</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县住房城乡建设局</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县交通运输局</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县财政局</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县教体局等相关部门</w:t>
            </w:r>
          </w:p>
        </w:tc>
        <w:tc>
          <w:tcPr>
            <w:tcW w:w="2431" w:type="dxa"/>
            <w:noWrap w:val="0"/>
            <w:vAlign w:val="center"/>
          </w:tcPr>
          <w:p>
            <w:pPr>
              <w:widowControl/>
              <w:spacing w:line="35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widowControl/>
              <w:spacing w:line="350" w:lineRule="exact"/>
              <w:textAlignment w:val="center"/>
              <w:rPr>
                <w:rFonts w:ascii="仿宋_GB2312" w:eastAsia="仿宋_GB2312"/>
                <w:sz w:val="24"/>
              </w:rPr>
            </w:pPr>
          </w:p>
        </w:tc>
        <w:tc>
          <w:tcPr>
            <w:tcW w:w="875" w:type="dxa"/>
            <w:vMerge w:val="continue"/>
            <w:noWrap w:val="0"/>
            <w:vAlign w:val="center"/>
          </w:tcPr>
          <w:p>
            <w:pPr>
              <w:widowControl/>
              <w:spacing w:line="350" w:lineRule="exact"/>
              <w:textAlignment w:val="center"/>
              <w:rPr>
                <w:rFonts w:ascii="仿宋_GB2312" w:eastAsia="仿宋_GB2312"/>
                <w:sz w:val="24"/>
              </w:rPr>
            </w:pPr>
          </w:p>
        </w:tc>
        <w:tc>
          <w:tcPr>
            <w:tcW w:w="490" w:type="dxa"/>
            <w:noWrap w:val="0"/>
            <w:vAlign w:val="center"/>
          </w:tcPr>
          <w:p>
            <w:pPr>
              <w:widowControl/>
              <w:spacing w:line="350" w:lineRule="exact"/>
              <w:jc w:val="center"/>
              <w:textAlignment w:val="center"/>
              <w:rPr>
                <w:rFonts w:hint="eastAsia" w:ascii="仿宋_GB2312" w:hAnsi="仿宋" w:eastAsia="仿宋_GB2312" w:cs="仿宋"/>
                <w:sz w:val="24"/>
              </w:rPr>
            </w:pPr>
            <w:r>
              <w:rPr>
                <w:rFonts w:hint="eastAsia" w:ascii="仿宋_GB2312" w:hAnsi="仿宋" w:eastAsia="仿宋_GB2312" w:cs="仿宋"/>
                <w:sz w:val="24"/>
              </w:rPr>
              <w:t>31</w:t>
            </w:r>
          </w:p>
        </w:tc>
        <w:tc>
          <w:tcPr>
            <w:tcW w:w="6303" w:type="dxa"/>
            <w:noWrap w:val="0"/>
            <w:vAlign w:val="center"/>
          </w:tcPr>
          <w:p>
            <w:pPr>
              <w:widowControl/>
              <w:spacing w:line="35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对重大违法案件挂牌督办，及时公布有影响力、有震慑力的典型案例。落实严重违法惩罚性赔偿和巨额罚款制度、终身禁入机制，让严重违法者付出应有代价。</w:t>
            </w:r>
          </w:p>
        </w:tc>
        <w:tc>
          <w:tcPr>
            <w:tcW w:w="2967" w:type="dxa"/>
            <w:noWrap w:val="0"/>
            <w:vAlign w:val="center"/>
          </w:tcPr>
          <w:p>
            <w:pPr>
              <w:widowControl/>
              <w:spacing w:line="35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县法院</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县检察院</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县公安局</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tc>
        <w:tc>
          <w:tcPr>
            <w:tcW w:w="2431" w:type="dxa"/>
            <w:noWrap w:val="0"/>
            <w:vAlign w:val="center"/>
          </w:tcPr>
          <w:p>
            <w:pPr>
              <w:widowControl/>
              <w:spacing w:line="35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widowControl/>
              <w:spacing w:line="350" w:lineRule="exact"/>
              <w:jc w:val="left"/>
              <w:textAlignment w:val="top"/>
              <w:rPr>
                <w:rFonts w:ascii="仿宋_GB2312" w:hAnsi="黑体" w:eastAsia="仿宋_GB2312" w:cs="黑体"/>
                <w:kern w:val="0"/>
                <w:sz w:val="24"/>
              </w:rPr>
            </w:pPr>
          </w:p>
        </w:tc>
        <w:tc>
          <w:tcPr>
            <w:tcW w:w="875" w:type="dxa"/>
            <w:vMerge w:val="continue"/>
            <w:noWrap w:val="0"/>
            <w:vAlign w:val="center"/>
          </w:tcPr>
          <w:p>
            <w:pPr>
              <w:widowControl/>
              <w:spacing w:line="350" w:lineRule="exact"/>
              <w:textAlignment w:val="center"/>
              <w:rPr>
                <w:rFonts w:ascii="仿宋_GB2312" w:eastAsia="仿宋_GB2312"/>
                <w:sz w:val="24"/>
              </w:rPr>
            </w:pPr>
          </w:p>
        </w:tc>
        <w:tc>
          <w:tcPr>
            <w:tcW w:w="490" w:type="dxa"/>
            <w:noWrap w:val="0"/>
            <w:vAlign w:val="center"/>
          </w:tcPr>
          <w:p>
            <w:pPr>
              <w:widowControl/>
              <w:spacing w:line="350" w:lineRule="exact"/>
              <w:jc w:val="center"/>
              <w:textAlignment w:val="center"/>
              <w:rPr>
                <w:rFonts w:hint="eastAsia" w:ascii="仿宋_GB2312" w:hAnsi="仿宋" w:eastAsia="仿宋_GB2312" w:cs="仿宋"/>
                <w:sz w:val="24"/>
              </w:rPr>
            </w:pPr>
            <w:r>
              <w:rPr>
                <w:rFonts w:hint="eastAsia" w:ascii="仿宋_GB2312" w:hAnsi="仿宋" w:eastAsia="仿宋_GB2312" w:cs="仿宋"/>
                <w:sz w:val="24"/>
              </w:rPr>
              <w:t>32</w:t>
            </w:r>
          </w:p>
        </w:tc>
        <w:tc>
          <w:tcPr>
            <w:tcW w:w="6303" w:type="dxa"/>
            <w:noWrap w:val="0"/>
            <w:vAlign w:val="center"/>
          </w:tcPr>
          <w:p>
            <w:pPr>
              <w:spacing w:line="350" w:lineRule="exact"/>
              <w:rPr>
                <w:rFonts w:ascii="仿宋_GB2312" w:eastAsia="仿宋_GB2312"/>
                <w:color w:val="000000"/>
                <w:kern w:val="0"/>
                <w:sz w:val="24"/>
                <w:shd w:val="clear" w:color="auto" w:fill="FFFFFF"/>
              </w:rPr>
            </w:pPr>
            <w:r>
              <w:rPr>
                <w:rFonts w:hint="eastAsia" w:ascii="仿宋_GB2312" w:hAnsi="微软雅黑" w:eastAsia="仿宋_GB2312"/>
                <w:sz w:val="24"/>
                <w:shd w:val="clear" w:color="auto" w:fill="FFFFFF"/>
              </w:rPr>
              <w:t>畅通违法行为投诉举报渠道，</w:t>
            </w:r>
            <w:r>
              <w:rPr>
                <w:rFonts w:hint="eastAsia" w:ascii="仿宋_GB2312" w:eastAsia="仿宋_GB2312"/>
                <w:color w:val="000000"/>
                <w:kern w:val="0"/>
                <w:sz w:val="24"/>
                <w:shd w:val="clear" w:color="auto" w:fill="FFFFFF"/>
              </w:rPr>
              <w:t>对举报严重违法违规行为和重大风险隐患的有功人员依法予以奖励和严格保护。</w:t>
            </w:r>
          </w:p>
        </w:tc>
        <w:tc>
          <w:tcPr>
            <w:tcW w:w="2967" w:type="dxa"/>
            <w:noWrap w:val="0"/>
            <w:vAlign w:val="center"/>
          </w:tcPr>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c>
          <w:tcPr>
            <w:tcW w:w="2431" w:type="dxa"/>
            <w:noWrap w:val="0"/>
            <w:vAlign w:val="center"/>
          </w:tcPr>
          <w:p>
            <w:pPr>
              <w:widowControl/>
              <w:spacing w:line="35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widowControl/>
              <w:spacing w:line="350" w:lineRule="exact"/>
              <w:textAlignment w:val="top"/>
              <w:rPr>
                <w:rFonts w:ascii="仿宋_GB2312" w:hAnsi="黑体" w:eastAsia="仿宋_GB2312" w:cs="黑体"/>
                <w:kern w:val="0"/>
                <w:sz w:val="24"/>
              </w:rPr>
            </w:pPr>
          </w:p>
        </w:tc>
        <w:tc>
          <w:tcPr>
            <w:tcW w:w="875" w:type="dxa"/>
            <w:noWrap w:val="0"/>
            <w:vAlign w:val="center"/>
          </w:tcPr>
          <w:p>
            <w:pPr>
              <w:spacing w:line="380" w:lineRule="exact"/>
              <w:textAlignment w:val="top"/>
              <w:rPr>
                <w:rFonts w:ascii="仿宋_GB2312" w:hAnsi="楷体_GB2312" w:eastAsia="仿宋_GB2312" w:cs="楷体_GB2312"/>
                <w:sz w:val="24"/>
              </w:rPr>
            </w:pPr>
            <w:r>
              <w:rPr>
                <w:rFonts w:hint="eastAsia" w:ascii="楷体_GB2312" w:hAnsi="楷体_GB2312" w:eastAsia="楷体_GB2312" w:cs="楷体_GB2312"/>
                <w:kern w:val="0"/>
                <w:sz w:val="24"/>
              </w:rPr>
              <w:t>完善行政执法程序</w:t>
            </w:r>
          </w:p>
        </w:tc>
        <w:tc>
          <w:tcPr>
            <w:tcW w:w="490" w:type="dxa"/>
            <w:noWrap w:val="0"/>
            <w:vAlign w:val="center"/>
          </w:tcPr>
          <w:p>
            <w:pPr>
              <w:widowControl/>
              <w:spacing w:line="35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33</w:t>
            </w:r>
          </w:p>
        </w:tc>
        <w:tc>
          <w:tcPr>
            <w:tcW w:w="6303" w:type="dxa"/>
            <w:noWrap w:val="0"/>
            <w:vAlign w:val="center"/>
          </w:tcPr>
          <w:p>
            <w:pPr>
              <w:widowControl/>
              <w:spacing w:line="35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全面严格落实行政执法公示、执法全过程记录、重大执法决定法制审核制度。统一行政执法人员资格管理，实现除中央垂直管理部门外由省政府统筹资格认证、考试上岗、教育培训等工作。全面落实行政裁量权基准制度，细化量化各行政执法行为的裁量范围、种类、幅度等并对外公布，规范综合行政执法行为。</w:t>
            </w:r>
          </w:p>
        </w:tc>
        <w:tc>
          <w:tcPr>
            <w:tcW w:w="2967" w:type="dxa"/>
            <w:noWrap w:val="0"/>
            <w:vAlign w:val="center"/>
          </w:tcPr>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5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71"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四、健全行政执法工作体系全面提升政府综合执法能力</w:t>
            </w:r>
          </w:p>
        </w:tc>
        <w:tc>
          <w:tcPr>
            <w:tcW w:w="875" w:type="dxa"/>
            <w:vMerge w:val="restart"/>
            <w:noWrap w:val="0"/>
            <w:vAlign w:val="center"/>
          </w:tcPr>
          <w:p>
            <w:pPr>
              <w:spacing w:line="380" w:lineRule="exact"/>
              <w:textAlignment w:val="top"/>
              <w:rPr>
                <w:rFonts w:ascii="仿宋_GB2312" w:hAnsi="楷体_GB2312" w:eastAsia="仿宋_GB2312" w:cs="楷体_GB2312"/>
                <w:sz w:val="24"/>
              </w:rPr>
            </w:pPr>
            <w:r>
              <w:rPr>
                <w:rFonts w:hint="eastAsia" w:ascii="楷体_GB2312" w:hAnsi="楷体_GB2312" w:eastAsia="楷体_GB2312" w:cs="楷体_GB2312"/>
                <w:kern w:val="0"/>
                <w:sz w:val="24"/>
              </w:rPr>
              <w:t>完善行政执法程序</w:t>
            </w: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34</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规范涉企行政检查，着力解决涉企现场检查事项多、频次高、随意检查等问题。</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c>
          <w:tcPr>
            <w:tcW w:w="2431" w:type="dxa"/>
            <w:noWrap w:val="0"/>
            <w:vAlign w:val="center"/>
          </w:tcPr>
          <w:p>
            <w:pPr>
              <w:spacing w:line="36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46"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_GB2312" w:eastAsia="仿宋_GB2312" w:cs="楷体_GB2312"/>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35</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按照行政执法类型，规范行政执法程序规范。全面严格落实告知制度，依法保障行政相对人陈述、申辩、提出听证申请等权利。除有法定依据外，严禁地方政府采取要求特定区域或者行业、领域的市场主体普遍停产停业的措施。行政机关内部会议纪要不得作为行政执法依据。</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c>
          <w:tcPr>
            <w:tcW w:w="2431" w:type="dxa"/>
            <w:noWrap w:val="0"/>
            <w:vAlign w:val="center"/>
          </w:tcPr>
          <w:p>
            <w:pPr>
              <w:spacing w:line="36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91" w:hRule="atLeast"/>
          <w:jc w:val="center"/>
        </w:trPr>
        <w:tc>
          <w:tcPr>
            <w:tcW w:w="850" w:type="dxa"/>
            <w:vMerge w:val="continue"/>
            <w:noWrap w:val="0"/>
            <w:vAlign w:val="center"/>
          </w:tcPr>
          <w:p>
            <w:pPr>
              <w:widowControl/>
              <w:spacing w:line="360" w:lineRule="exact"/>
              <w:jc w:val="left"/>
              <w:textAlignment w:val="top"/>
              <w:rPr>
                <w:rFonts w:ascii="仿宋_GB2312" w:hAnsi="黑体" w:eastAsia="仿宋_GB2312" w:cs="黑体"/>
                <w:kern w:val="0"/>
                <w:sz w:val="24"/>
              </w:rPr>
            </w:pPr>
          </w:p>
        </w:tc>
        <w:tc>
          <w:tcPr>
            <w:tcW w:w="875" w:type="dxa"/>
            <w:vMerge w:val="restart"/>
            <w:noWrap w:val="0"/>
            <w:vAlign w:val="center"/>
          </w:tcPr>
          <w:p>
            <w:pPr>
              <w:spacing w:line="380" w:lineRule="exact"/>
              <w:textAlignment w:val="top"/>
              <w:rPr>
                <w:rFonts w:ascii="仿宋_GB2312" w:hAnsi="楷体_GB2312" w:eastAsia="仿宋_GB2312" w:cs="楷体_GB2312"/>
                <w:kern w:val="0"/>
                <w:sz w:val="24"/>
              </w:rPr>
            </w:pPr>
            <w:r>
              <w:rPr>
                <w:rFonts w:hint="eastAsia" w:ascii="楷体_GB2312" w:hAnsi="楷体_GB2312" w:eastAsia="楷体_GB2312" w:cs="楷体_GB2312"/>
                <w:kern w:val="0"/>
                <w:sz w:val="24"/>
              </w:rPr>
              <w:t>创新行政执法方式</w:t>
            </w: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36</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加强行政执法信息化建设，强化大数据关联分析，运用智能化执法终端配备，探索推进非现场执法，逐步加大执法案件电子化办理力度。</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县数据资源局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22"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widowControl/>
              <w:spacing w:line="360" w:lineRule="exact"/>
              <w:textAlignment w:val="top"/>
              <w:rPr>
                <w:rFonts w:ascii="仿宋_GB2312" w:hAnsi="楷体_GB2312" w:eastAsia="仿宋_GB2312" w:cs="楷体_GB2312"/>
                <w:kern w:val="0"/>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37</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全面推行轻微违法行为依法免予处罚清单。建立行政执法案例指导制度，定期发布行政执法指导案例，按年度开展全县优秀案卷评选活动。</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70"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widowControl/>
              <w:spacing w:line="360" w:lineRule="exact"/>
              <w:textAlignment w:val="top"/>
              <w:rPr>
                <w:rFonts w:ascii="仿宋_GB2312" w:hAnsi="楷体_GB2312" w:eastAsia="仿宋_GB2312" w:cs="楷体_GB2312"/>
                <w:kern w:val="0"/>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38</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全面落实“谁执法谁普法”普法责任制，加强以案释法。</w:t>
            </w:r>
          </w:p>
        </w:tc>
        <w:tc>
          <w:tcPr>
            <w:tcW w:w="2967" w:type="dxa"/>
            <w:noWrap w:val="0"/>
            <w:vAlign w:val="center"/>
          </w:tcPr>
          <w:p>
            <w:pPr>
              <w:widowControl/>
              <w:spacing w:line="36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县普法办</w:t>
            </w:r>
          </w:p>
          <w:p>
            <w:pPr>
              <w:widowControl/>
              <w:spacing w:line="360" w:lineRule="exact"/>
              <w:jc w:val="center"/>
              <w:textAlignment w:val="center"/>
              <w:rPr>
                <w:rFonts w:hint="eastAsia" w:ascii="仿宋_GB2312" w:hAnsi="仿宋" w:eastAsia="仿宋_GB2312" w:cs="仿宋"/>
                <w:kern w:val="0"/>
                <w:sz w:val="24"/>
                <w:highlight w:val="green"/>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kern w:val="0"/>
                <w:sz w:val="24"/>
              </w:rPr>
            </w:pPr>
            <w:r>
              <w:rPr>
                <w:rFonts w:hint="eastAsia" w:ascii="黑体" w:hAnsi="黑体" w:eastAsia="黑体" w:cs="黑体"/>
                <w:kern w:val="0"/>
                <w:sz w:val="24"/>
              </w:rPr>
              <w:t>五、健全突发事件应对体系全面提升政府依法处突能力</w:t>
            </w:r>
          </w:p>
        </w:tc>
        <w:tc>
          <w:tcPr>
            <w:tcW w:w="875" w:type="dxa"/>
            <w:vMerge w:val="restart"/>
            <w:noWrap w:val="0"/>
            <w:vAlign w:val="center"/>
          </w:tcPr>
          <w:p>
            <w:pPr>
              <w:spacing w:line="380" w:lineRule="exact"/>
              <w:textAlignment w:val="top"/>
              <w:rPr>
                <w:rFonts w:ascii="仿宋_GB2312" w:hAnsi="楷体_GB2312" w:eastAsia="仿宋_GB2312" w:cs="楷体_GB2312"/>
                <w:kern w:val="0"/>
                <w:sz w:val="24"/>
              </w:rPr>
            </w:pPr>
            <w:r>
              <w:rPr>
                <w:rFonts w:hint="eastAsia" w:ascii="楷体_GB2312" w:hAnsi="楷体_GB2312" w:eastAsia="楷体_GB2312" w:cs="楷体_GB2312"/>
                <w:kern w:val="0"/>
                <w:sz w:val="24"/>
              </w:rPr>
              <w:t>完善突发事件应对制度</w:t>
            </w:r>
          </w:p>
        </w:tc>
        <w:tc>
          <w:tcPr>
            <w:tcW w:w="490" w:type="dxa"/>
            <w:noWrap w:val="0"/>
            <w:vAlign w:val="center"/>
          </w:tcPr>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39</w:t>
            </w:r>
          </w:p>
        </w:tc>
        <w:tc>
          <w:tcPr>
            <w:tcW w:w="6303" w:type="dxa"/>
            <w:noWrap w:val="0"/>
            <w:vAlign w:val="center"/>
          </w:tcPr>
          <w:p>
            <w:pPr>
              <w:widowControl/>
              <w:spacing w:line="344"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系统梳理和修改应急管理相关行政规范性文件，提高突发事件应对法治化规范化水平。</w:t>
            </w:r>
          </w:p>
        </w:tc>
        <w:tc>
          <w:tcPr>
            <w:tcW w:w="2967" w:type="dxa"/>
            <w:noWrap w:val="0"/>
            <w:vAlign w:val="center"/>
          </w:tcPr>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44"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43" w:hRule="atLeast"/>
          <w:jc w:val="center"/>
        </w:trPr>
        <w:tc>
          <w:tcPr>
            <w:tcW w:w="850" w:type="dxa"/>
            <w:vMerge w:val="continue"/>
            <w:noWrap w:val="0"/>
            <w:vAlign w:val="center"/>
          </w:tcPr>
          <w:p>
            <w:pPr>
              <w:spacing w:line="344" w:lineRule="exact"/>
              <w:jc w:val="left"/>
              <w:textAlignment w:val="top"/>
              <w:rPr>
                <w:rFonts w:ascii="仿宋_GB2312" w:hAnsi="黑体" w:eastAsia="仿宋_GB2312" w:cs="黑体"/>
                <w:sz w:val="24"/>
              </w:rPr>
            </w:pPr>
          </w:p>
        </w:tc>
        <w:tc>
          <w:tcPr>
            <w:tcW w:w="875" w:type="dxa"/>
            <w:vMerge w:val="continue"/>
            <w:noWrap w:val="0"/>
            <w:vAlign w:val="center"/>
          </w:tcPr>
          <w:p>
            <w:pPr>
              <w:widowControl/>
              <w:spacing w:line="344" w:lineRule="exact"/>
              <w:textAlignment w:val="top"/>
              <w:rPr>
                <w:rFonts w:ascii="仿宋_GB2312" w:hAnsi="楷体_GB2312" w:eastAsia="仿宋_GB2312" w:cs="楷体_GB2312"/>
                <w:kern w:val="0"/>
                <w:sz w:val="24"/>
              </w:rPr>
            </w:pPr>
          </w:p>
        </w:tc>
        <w:tc>
          <w:tcPr>
            <w:tcW w:w="490" w:type="dxa"/>
            <w:noWrap w:val="0"/>
            <w:vAlign w:val="center"/>
          </w:tcPr>
          <w:p>
            <w:pPr>
              <w:widowControl/>
              <w:spacing w:line="344"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40</w:t>
            </w:r>
          </w:p>
        </w:tc>
        <w:tc>
          <w:tcPr>
            <w:tcW w:w="6303" w:type="dxa"/>
            <w:noWrap w:val="0"/>
            <w:vAlign w:val="center"/>
          </w:tcPr>
          <w:p>
            <w:pPr>
              <w:widowControl/>
              <w:spacing w:line="344"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健全应急预案体系，完善突发公共事件总体和专项应急预案，以及与之相衔接配套的各级各类突发事件应急预案。加强突发事件监测预警、信息报告、应急响应、恢复重建、调查评估等机制建设。跟进落实国家和省有关突发事件应对征收、征用、救助、补偿制度政策要求，进一步完善相关配套措施，将城市生命线建设项目纳入智慧城市大脑建设，与省级城市生命线监管中心实现数据对接，增强风险管控能力。</w:t>
            </w:r>
          </w:p>
        </w:tc>
        <w:tc>
          <w:tcPr>
            <w:tcW w:w="2967" w:type="dxa"/>
            <w:noWrap w:val="0"/>
            <w:vAlign w:val="center"/>
          </w:tcPr>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县应急管理局</w:t>
            </w:r>
          </w:p>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县公安局</w:t>
            </w:r>
          </w:p>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县住房城乡建设局</w:t>
            </w:r>
          </w:p>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县数据资源局</w:t>
            </w:r>
          </w:p>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县卫生健康委</w:t>
            </w:r>
          </w:p>
        </w:tc>
        <w:tc>
          <w:tcPr>
            <w:tcW w:w="2431" w:type="dxa"/>
            <w:noWrap w:val="0"/>
            <w:vAlign w:val="center"/>
          </w:tcPr>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44" w:lineRule="exact"/>
              <w:jc w:val="left"/>
              <w:textAlignment w:val="top"/>
              <w:rPr>
                <w:rFonts w:ascii="仿宋_GB2312" w:hAnsi="黑体" w:eastAsia="仿宋_GB2312" w:cs="黑体"/>
                <w:sz w:val="24"/>
              </w:rPr>
            </w:pPr>
          </w:p>
        </w:tc>
        <w:tc>
          <w:tcPr>
            <w:tcW w:w="875" w:type="dxa"/>
            <w:vMerge w:val="continue"/>
            <w:noWrap w:val="0"/>
            <w:vAlign w:val="center"/>
          </w:tcPr>
          <w:p>
            <w:pPr>
              <w:widowControl/>
              <w:spacing w:line="344" w:lineRule="exact"/>
              <w:textAlignment w:val="top"/>
              <w:rPr>
                <w:rFonts w:ascii="仿宋_GB2312" w:hAnsi="楷体_GB2312" w:eastAsia="仿宋_GB2312" w:cs="楷体_GB2312"/>
                <w:kern w:val="0"/>
                <w:sz w:val="24"/>
              </w:rPr>
            </w:pPr>
          </w:p>
        </w:tc>
        <w:tc>
          <w:tcPr>
            <w:tcW w:w="490" w:type="dxa"/>
            <w:noWrap w:val="0"/>
            <w:vAlign w:val="center"/>
          </w:tcPr>
          <w:p>
            <w:pPr>
              <w:widowControl/>
              <w:spacing w:line="344"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41</w:t>
            </w:r>
          </w:p>
        </w:tc>
        <w:tc>
          <w:tcPr>
            <w:tcW w:w="6303" w:type="dxa"/>
            <w:noWrap w:val="0"/>
            <w:vAlign w:val="center"/>
          </w:tcPr>
          <w:p>
            <w:pPr>
              <w:widowControl/>
              <w:spacing w:line="344"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健全规范应急处置收集、使用个人信息机制制度，切实保护公民个人信息。</w:t>
            </w:r>
          </w:p>
        </w:tc>
        <w:tc>
          <w:tcPr>
            <w:tcW w:w="2967" w:type="dxa"/>
            <w:noWrap w:val="0"/>
            <w:vAlign w:val="center"/>
          </w:tcPr>
          <w:p>
            <w:pPr>
              <w:widowControl/>
              <w:spacing w:line="344" w:lineRule="exact"/>
              <w:jc w:val="center"/>
              <w:textAlignment w:val="center"/>
              <w:rPr>
                <w:rFonts w:ascii="仿宋_GB2312" w:hAnsi="宋体" w:eastAsia="仿宋_GB2312" w:cs="宋体"/>
                <w:kern w:val="0"/>
                <w:sz w:val="24"/>
              </w:rPr>
            </w:pPr>
            <w:r>
              <w:rPr>
                <w:rFonts w:hint="eastAsia" w:ascii="仿宋_GB2312" w:hAnsi="仿宋" w:eastAsia="仿宋_GB2312" w:cs="仿宋"/>
                <w:kern w:val="0"/>
                <w:sz w:val="24"/>
              </w:rPr>
              <w:t>县委</w:t>
            </w:r>
            <w:r>
              <w:rPr>
                <w:rFonts w:hint="eastAsia" w:ascii="仿宋_GB2312" w:hAnsi="宋体" w:eastAsia="仿宋_GB2312" w:cs="宋体"/>
                <w:kern w:val="0"/>
                <w:sz w:val="24"/>
              </w:rPr>
              <w:t>网信办</w:t>
            </w:r>
          </w:p>
          <w:p>
            <w:pPr>
              <w:widowControl/>
              <w:spacing w:line="344" w:lineRule="exact"/>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县公安局</w:t>
            </w:r>
          </w:p>
          <w:p>
            <w:pPr>
              <w:widowControl/>
              <w:spacing w:line="344" w:lineRule="exact"/>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县应急管理局</w:t>
            </w:r>
          </w:p>
          <w:p>
            <w:pPr>
              <w:widowControl/>
              <w:spacing w:line="344" w:lineRule="exact"/>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县卫生健康委</w:t>
            </w:r>
          </w:p>
        </w:tc>
        <w:tc>
          <w:tcPr>
            <w:tcW w:w="2431" w:type="dxa"/>
            <w:noWrap w:val="0"/>
            <w:vAlign w:val="center"/>
          </w:tcPr>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44" w:lineRule="exact"/>
              <w:jc w:val="left"/>
              <w:textAlignment w:val="top"/>
              <w:rPr>
                <w:rFonts w:ascii="仿宋_GB2312" w:hAnsi="黑体" w:eastAsia="仿宋_GB2312" w:cs="黑体"/>
                <w:sz w:val="24"/>
              </w:rPr>
            </w:pPr>
          </w:p>
        </w:tc>
        <w:tc>
          <w:tcPr>
            <w:tcW w:w="875" w:type="dxa"/>
            <w:vMerge w:val="continue"/>
            <w:noWrap w:val="0"/>
            <w:vAlign w:val="center"/>
          </w:tcPr>
          <w:p>
            <w:pPr>
              <w:widowControl/>
              <w:spacing w:line="344" w:lineRule="exact"/>
              <w:textAlignment w:val="top"/>
              <w:rPr>
                <w:rFonts w:ascii="仿宋_GB2312" w:hAnsi="楷体_GB2312" w:eastAsia="仿宋_GB2312" w:cs="楷体_GB2312"/>
                <w:kern w:val="0"/>
                <w:sz w:val="24"/>
              </w:rPr>
            </w:pPr>
          </w:p>
        </w:tc>
        <w:tc>
          <w:tcPr>
            <w:tcW w:w="490" w:type="dxa"/>
            <w:noWrap w:val="0"/>
            <w:vAlign w:val="center"/>
          </w:tcPr>
          <w:p>
            <w:pPr>
              <w:widowControl/>
              <w:spacing w:line="344"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42</w:t>
            </w:r>
          </w:p>
        </w:tc>
        <w:tc>
          <w:tcPr>
            <w:tcW w:w="6303" w:type="dxa"/>
            <w:noWrap w:val="0"/>
            <w:vAlign w:val="center"/>
          </w:tcPr>
          <w:p>
            <w:pPr>
              <w:widowControl/>
              <w:spacing w:line="344"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加快推进突发事件行政手段应用的制度化规范化，规范行政权力边界。</w:t>
            </w:r>
          </w:p>
        </w:tc>
        <w:tc>
          <w:tcPr>
            <w:tcW w:w="2967" w:type="dxa"/>
            <w:noWrap w:val="0"/>
            <w:vAlign w:val="center"/>
          </w:tcPr>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县人大常委会监司工委</w:t>
            </w:r>
          </w:p>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widowControl/>
              <w:spacing w:line="344" w:lineRule="exact"/>
              <w:jc w:val="left"/>
              <w:textAlignment w:val="top"/>
              <w:rPr>
                <w:rFonts w:ascii="仿宋_GB2312" w:hAnsi="黑体" w:eastAsia="仿宋_GB2312" w:cs="黑体"/>
                <w:kern w:val="0"/>
                <w:sz w:val="24"/>
              </w:rPr>
            </w:pPr>
          </w:p>
        </w:tc>
        <w:tc>
          <w:tcPr>
            <w:tcW w:w="875" w:type="dxa"/>
            <w:noWrap w:val="0"/>
            <w:vAlign w:val="center"/>
          </w:tcPr>
          <w:p>
            <w:pPr>
              <w:spacing w:line="380" w:lineRule="exact"/>
              <w:textAlignment w:val="top"/>
              <w:rPr>
                <w:rFonts w:ascii="仿宋_GB2312" w:hAnsi="楷体_GB2312" w:eastAsia="仿宋_GB2312" w:cs="楷体_GB2312"/>
                <w:kern w:val="0"/>
                <w:sz w:val="24"/>
              </w:rPr>
            </w:pPr>
            <w:r>
              <w:rPr>
                <w:rFonts w:hint="eastAsia" w:ascii="楷体_GB2312" w:hAnsi="楷体_GB2312" w:eastAsia="楷体_GB2312" w:cs="楷体_GB2312"/>
                <w:kern w:val="0"/>
                <w:sz w:val="24"/>
              </w:rPr>
              <w:t>提高突发事件依法处置能力</w:t>
            </w:r>
          </w:p>
        </w:tc>
        <w:tc>
          <w:tcPr>
            <w:tcW w:w="490" w:type="dxa"/>
            <w:noWrap w:val="0"/>
            <w:vAlign w:val="center"/>
          </w:tcPr>
          <w:p>
            <w:pPr>
              <w:widowControl/>
              <w:spacing w:line="344" w:lineRule="exact"/>
              <w:jc w:val="center"/>
              <w:textAlignment w:val="center"/>
              <w:rPr>
                <w:rFonts w:hint="eastAsia" w:ascii="仿宋_GB2312" w:hAnsi="仿宋" w:eastAsia="仿宋_GB2312" w:cs="仿宋"/>
                <w:sz w:val="24"/>
              </w:rPr>
            </w:pPr>
            <w:r>
              <w:rPr>
                <w:rFonts w:hint="eastAsia" w:ascii="仿宋_GB2312" w:hAnsi="仿宋" w:eastAsia="仿宋_GB2312" w:cs="仿宋"/>
                <w:sz w:val="24"/>
              </w:rPr>
              <w:t>43</w:t>
            </w:r>
          </w:p>
        </w:tc>
        <w:tc>
          <w:tcPr>
            <w:tcW w:w="6303" w:type="dxa"/>
            <w:noWrap w:val="0"/>
            <w:vAlign w:val="center"/>
          </w:tcPr>
          <w:p>
            <w:pPr>
              <w:widowControl/>
              <w:spacing w:line="344"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增强风险防范意识，强化各部门防范化解本地本领域重大风险责任。推进应急管理综合行政执法改革，强化执法能力建设。强化突发事件依法分级分类施策，增强应急处置的针对性实效性。完善各类突发事件应急处置程序和协调机制。定期开展应急演练，注重提升依法预防突发事件、先期处置和快速反应能力。</w:t>
            </w:r>
          </w:p>
        </w:tc>
        <w:tc>
          <w:tcPr>
            <w:tcW w:w="2967" w:type="dxa"/>
            <w:noWrap w:val="0"/>
            <w:vAlign w:val="center"/>
          </w:tcPr>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县应急管理局</w:t>
            </w:r>
          </w:p>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县公安局</w:t>
            </w:r>
          </w:p>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县卫生健康委</w:t>
            </w:r>
          </w:p>
        </w:tc>
        <w:tc>
          <w:tcPr>
            <w:tcW w:w="2431" w:type="dxa"/>
            <w:noWrap w:val="0"/>
            <w:vAlign w:val="center"/>
          </w:tcPr>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44"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86"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kern w:val="0"/>
                <w:sz w:val="24"/>
              </w:rPr>
            </w:pPr>
            <w:r>
              <w:rPr>
                <w:rFonts w:hint="eastAsia" w:ascii="黑体" w:hAnsi="黑体" w:eastAsia="黑体" w:cs="黑体"/>
                <w:kern w:val="0"/>
                <w:sz w:val="24"/>
              </w:rPr>
              <w:t>五、健全突发事件应对体系全面提升政府依法处突能力</w:t>
            </w:r>
          </w:p>
        </w:tc>
        <w:tc>
          <w:tcPr>
            <w:tcW w:w="875" w:type="dxa"/>
            <w:vMerge w:val="restart"/>
            <w:noWrap w:val="0"/>
            <w:vAlign w:val="center"/>
          </w:tcPr>
          <w:p>
            <w:pPr>
              <w:spacing w:line="380" w:lineRule="exact"/>
              <w:textAlignment w:val="top"/>
              <w:rPr>
                <w:rFonts w:ascii="仿宋_GB2312" w:hAnsi="楷体_GB2312" w:eastAsia="仿宋_GB2312" w:cs="楷体_GB2312"/>
                <w:sz w:val="24"/>
              </w:rPr>
            </w:pPr>
            <w:r>
              <w:rPr>
                <w:rFonts w:hint="eastAsia" w:ascii="楷体_GB2312" w:hAnsi="楷体_GB2312" w:eastAsia="楷体_GB2312" w:cs="楷体_GB2312"/>
                <w:kern w:val="0"/>
                <w:sz w:val="24"/>
              </w:rPr>
              <w:t>提高突发事件依法处置能力</w:t>
            </w: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44</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依法严厉打击利用突发事件哄抬物价、囤积居奇、造谣滋事、制假售假等扰乱社会秩序行为。</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县法院</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县检察院</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县公安局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县市场监管局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39"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_GB2312" w:eastAsia="仿宋_GB2312" w:cs="楷体_GB2312"/>
                <w:kern w:val="0"/>
                <w:sz w:val="24"/>
              </w:rPr>
            </w:pPr>
          </w:p>
        </w:tc>
        <w:tc>
          <w:tcPr>
            <w:tcW w:w="490" w:type="dxa"/>
            <w:noWrap w:val="0"/>
            <w:vAlign w:val="center"/>
          </w:tcPr>
          <w:p>
            <w:pPr>
              <w:widowControl/>
              <w:spacing w:line="360" w:lineRule="exact"/>
              <w:jc w:val="center"/>
              <w:textAlignment w:val="center"/>
              <w:rPr>
                <w:rFonts w:ascii="仿宋_GB2312" w:hAnsi="仿宋" w:eastAsia="仿宋_GB2312" w:cs="仿宋"/>
                <w:sz w:val="24"/>
              </w:rPr>
            </w:pPr>
            <w:r>
              <w:rPr>
                <w:rFonts w:hint="eastAsia" w:ascii="仿宋_GB2312" w:hAnsi="仿宋" w:eastAsia="仿宋_GB2312" w:cs="仿宋"/>
                <w:sz w:val="24"/>
              </w:rPr>
              <w:t>45</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加强突发事件应急处置法律法规教育培训，增强应急处置法治意识。完善突发事件信息公开和危机沟通应对机制，提高公共舆情应对能力。</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县应急管理局</w:t>
            </w:r>
          </w:p>
          <w:p>
            <w:pPr>
              <w:widowControl/>
              <w:spacing w:line="36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县委网信办</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县公安局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县卫生健康委</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88"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_GB2312" w:eastAsia="仿宋_GB2312" w:cs="楷体_GB2312"/>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46</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健全公共卫生体系，增强协同综合、灵敏可靠的早期监测预警能力。</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县卫生健康委</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443"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noWrap w:val="0"/>
            <w:vAlign w:val="center"/>
          </w:tcPr>
          <w:p>
            <w:pPr>
              <w:spacing w:line="300" w:lineRule="exact"/>
              <w:textAlignment w:val="top"/>
              <w:rPr>
                <w:rFonts w:ascii="仿宋_GB2312" w:hAnsi="楷体_GB2312" w:eastAsia="仿宋_GB2312" w:cs="楷体_GB2312"/>
                <w:kern w:val="0"/>
                <w:sz w:val="24"/>
              </w:rPr>
            </w:pPr>
            <w:r>
              <w:rPr>
                <w:rFonts w:hint="eastAsia" w:ascii="楷体_GB2312" w:hAnsi="楷体_GB2312" w:eastAsia="楷体_GB2312" w:cs="楷体_GB2312"/>
                <w:kern w:val="0"/>
                <w:sz w:val="24"/>
              </w:rPr>
              <w:t>引导规范基层组织和社会力量参与突发事件应对</w:t>
            </w:r>
          </w:p>
        </w:tc>
        <w:tc>
          <w:tcPr>
            <w:tcW w:w="490" w:type="dxa"/>
            <w:noWrap w:val="0"/>
            <w:vAlign w:val="center"/>
          </w:tcPr>
          <w:p>
            <w:pPr>
              <w:widowControl/>
              <w:spacing w:line="3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47</w:t>
            </w:r>
          </w:p>
        </w:tc>
        <w:tc>
          <w:tcPr>
            <w:tcW w:w="6303" w:type="dxa"/>
            <w:noWrap w:val="0"/>
            <w:vAlign w:val="center"/>
          </w:tcPr>
          <w:p>
            <w:pPr>
              <w:widowControl/>
              <w:spacing w:line="30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完善乡镇、村（社区）应急处置组织体系，制定应对突发事件预案，推动村（社区）依法参与预防、应对突发事件。明确社会组织、慈善组织、社会工作者、志愿者等参与突发事件应对的法律地位及其权利义务，完善激励保障措施。积极做好突发事件社会动员工作，强化公众自防自治、群防群治、自救互救能力。</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县民政局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六、健全社会矛盾纠纷行政预防调处化解体系不断促进社会公平正义</w:t>
            </w:r>
          </w:p>
        </w:tc>
        <w:tc>
          <w:tcPr>
            <w:tcW w:w="875" w:type="dxa"/>
            <w:noWrap w:val="0"/>
            <w:vAlign w:val="center"/>
          </w:tcPr>
          <w:p>
            <w:pPr>
              <w:spacing w:line="380" w:lineRule="exact"/>
              <w:textAlignment w:val="top"/>
              <w:rPr>
                <w:rFonts w:ascii="仿宋_GB2312" w:hAnsi="楷体_GB2312" w:eastAsia="仿宋_GB2312" w:cs="楷体_GB2312"/>
                <w:sz w:val="24"/>
              </w:rPr>
            </w:pPr>
            <w:r>
              <w:rPr>
                <w:rFonts w:hint="eastAsia" w:ascii="楷体_GB2312" w:hAnsi="楷体_GB2312" w:eastAsia="楷体_GB2312" w:cs="楷体_GB2312"/>
                <w:kern w:val="0"/>
                <w:sz w:val="24"/>
              </w:rPr>
              <w:t>加强行政调解工作</w:t>
            </w:r>
          </w:p>
        </w:tc>
        <w:tc>
          <w:tcPr>
            <w:tcW w:w="490" w:type="dxa"/>
            <w:noWrap w:val="0"/>
            <w:vAlign w:val="center"/>
          </w:tcPr>
          <w:p>
            <w:pPr>
              <w:widowControl/>
              <w:spacing w:line="360" w:lineRule="exact"/>
              <w:jc w:val="center"/>
              <w:textAlignment w:val="center"/>
              <w:rPr>
                <w:rFonts w:ascii="仿宋_GB2312" w:hAnsi="仿宋" w:eastAsia="仿宋_GB2312" w:cs="仿宋"/>
                <w:sz w:val="24"/>
              </w:rPr>
            </w:pPr>
            <w:r>
              <w:rPr>
                <w:rFonts w:hint="eastAsia" w:ascii="仿宋_GB2312" w:hAnsi="仿宋" w:eastAsia="仿宋_GB2312" w:cs="仿宋"/>
                <w:sz w:val="24"/>
              </w:rPr>
              <w:t>48</w:t>
            </w:r>
          </w:p>
        </w:tc>
        <w:tc>
          <w:tcPr>
            <w:tcW w:w="6303" w:type="dxa"/>
            <w:noWrap w:val="0"/>
            <w:vAlign w:val="center"/>
          </w:tcPr>
          <w:p>
            <w:pPr>
              <w:widowControl/>
              <w:spacing w:line="360" w:lineRule="exact"/>
              <w:textAlignment w:val="center"/>
              <w:rPr>
                <w:rFonts w:ascii="仿宋_GB2312" w:hAnsi="仿宋" w:eastAsia="仿宋_GB2312" w:cs="仿宋"/>
                <w:sz w:val="24"/>
              </w:rPr>
            </w:pPr>
            <w:r>
              <w:rPr>
                <w:rFonts w:hint="eastAsia" w:ascii="仿宋_GB2312" w:hAnsi="仿宋" w:eastAsia="仿宋_GB2312" w:cs="仿宋"/>
                <w:sz w:val="24"/>
              </w:rPr>
              <w:t>完善行政调解工作体制。依法加强消费者权益保护、交通损害赔偿、治安管理、环境污染、知识产权、社会保障、房屋土地征收、涉未成年人权益、物业及房地产等方面的行政调解，及时妥善推进矛盾纠纷化解。研究推进行政调解制度建设，制定出台行政调解规范性文件。各职能部门要规范行政调解范围和程序，组织做好教育培训，提升行政调解工作水平。坚持“三调”联动，推进行政调解与人民调解、司法调解有效衔接。加强调解员队伍建设，提高行政调解专业化水平。</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06"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县市场监管局</w:t>
            </w:r>
          </w:p>
          <w:p>
            <w:pPr>
              <w:widowControl/>
              <w:spacing w:line="306"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县公安局</w:t>
            </w:r>
          </w:p>
          <w:p>
            <w:pPr>
              <w:widowControl/>
              <w:spacing w:line="306"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县生态环境分局</w:t>
            </w:r>
          </w:p>
          <w:p>
            <w:pPr>
              <w:widowControl/>
              <w:spacing w:line="306" w:lineRule="exact"/>
              <w:jc w:val="center"/>
              <w:textAlignment w:val="center"/>
              <w:rPr>
                <w:rFonts w:ascii="仿宋_GB2312" w:hAnsi="仿宋" w:eastAsia="仿宋_GB2312" w:cs="仿宋"/>
                <w:w w:val="85"/>
                <w:kern w:val="0"/>
                <w:sz w:val="24"/>
              </w:rPr>
            </w:pPr>
            <w:r>
              <w:rPr>
                <w:rFonts w:hint="eastAsia" w:ascii="仿宋_GB2312" w:hAnsi="仿宋" w:eastAsia="仿宋_GB2312" w:cs="仿宋"/>
                <w:w w:val="85"/>
                <w:kern w:val="0"/>
                <w:sz w:val="24"/>
              </w:rPr>
              <w:t>县人</w:t>
            </w:r>
            <w:r>
              <w:rPr>
                <w:rFonts w:hint="eastAsia" w:ascii="仿宋_GB2312" w:hAnsi="仿宋" w:eastAsia="仿宋_GB2312" w:cs="仿宋"/>
                <w:kern w:val="0"/>
                <w:sz w:val="24"/>
              </w:rPr>
              <w:t>力资源社会保障局</w:t>
            </w:r>
          </w:p>
          <w:p>
            <w:pPr>
              <w:widowControl/>
              <w:spacing w:line="306"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县住房城乡建设局</w:t>
            </w:r>
          </w:p>
          <w:p>
            <w:pPr>
              <w:widowControl/>
              <w:spacing w:line="306"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县自然资源和规划局</w:t>
            </w:r>
          </w:p>
          <w:p>
            <w:pPr>
              <w:widowControl/>
              <w:spacing w:line="306"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县民政局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县法院等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noWrap w:val="0"/>
            <w:vAlign w:val="center"/>
          </w:tcPr>
          <w:p>
            <w:pPr>
              <w:spacing w:line="380" w:lineRule="exact"/>
              <w:textAlignment w:val="top"/>
              <w:rPr>
                <w:rFonts w:ascii="仿宋_GB2312" w:hAnsi="楷体_GB2312" w:eastAsia="仿宋_GB2312" w:cs="楷体_GB2312"/>
                <w:sz w:val="24"/>
              </w:rPr>
            </w:pPr>
            <w:r>
              <w:rPr>
                <w:rFonts w:hint="eastAsia" w:ascii="楷体_GB2312" w:hAnsi="楷体_GB2312" w:eastAsia="楷体_GB2312" w:cs="楷体_GB2312"/>
                <w:kern w:val="0"/>
                <w:sz w:val="24"/>
              </w:rPr>
              <w:t>有序推进行政裁决工作</w:t>
            </w:r>
          </w:p>
        </w:tc>
        <w:tc>
          <w:tcPr>
            <w:tcW w:w="490" w:type="dxa"/>
            <w:noWrap w:val="0"/>
            <w:vAlign w:val="center"/>
          </w:tcPr>
          <w:p>
            <w:pPr>
              <w:widowControl/>
              <w:spacing w:line="360" w:lineRule="exact"/>
              <w:jc w:val="center"/>
              <w:textAlignment w:val="center"/>
              <w:rPr>
                <w:rFonts w:ascii="仿宋_GB2312" w:hAnsi="仿宋" w:eastAsia="仿宋_GB2312" w:cs="仿宋"/>
                <w:sz w:val="24"/>
              </w:rPr>
            </w:pPr>
            <w:r>
              <w:rPr>
                <w:rFonts w:hint="eastAsia" w:ascii="仿宋_GB2312" w:hAnsi="仿宋" w:eastAsia="仿宋_GB2312" w:cs="仿宋"/>
                <w:sz w:val="24"/>
              </w:rPr>
              <w:t>49</w:t>
            </w:r>
          </w:p>
        </w:tc>
        <w:tc>
          <w:tcPr>
            <w:tcW w:w="6303" w:type="dxa"/>
            <w:noWrap w:val="0"/>
            <w:vAlign w:val="center"/>
          </w:tcPr>
          <w:p>
            <w:pPr>
              <w:widowControl/>
              <w:spacing w:line="360" w:lineRule="exact"/>
              <w:textAlignment w:val="center"/>
              <w:rPr>
                <w:rFonts w:ascii="仿宋_GB2312" w:hAnsi="仿宋" w:eastAsia="仿宋_GB2312" w:cs="仿宋"/>
                <w:sz w:val="24"/>
              </w:rPr>
            </w:pPr>
            <w:r>
              <w:rPr>
                <w:rFonts w:hint="eastAsia" w:ascii="仿宋_GB2312" w:hAnsi="仿宋" w:eastAsia="仿宋_GB2312" w:cs="仿宋"/>
                <w:sz w:val="24"/>
              </w:rPr>
              <w:t>发挥行政裁决化解民事纠纷的“分流阀”作用，建立体系健全、渠道畅通、公正便捷、裁诉衔接的裁决机制。推行行政裁决权利告知制度，规范行政裁决程序，推动有关行政机关切实履行行政裁决职责。强化案例指导和业务培训，提升行政裁决能力。将行政裁决工作纳入法治政府建设考核评价体系。</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87"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noWrap w:val="0"/>
            <w:vAlign w:val="center"/>
          </w:tcPr>
          <w:p>
            <w:pPr>
              <w:spacing w:line="380" w:lineRule="exact"/>
              <w:textAlignment w:val="top"/>
              <w:rPr>
                <w:rFonts w:ascii="仿宋_GB2312" w:hAnsi="楷体_GB2312" w:eastAsia="仿宋_GB2312" w:cs="楷体_GB2312"/>
                <w:sz w:val="24"/>
              </w:rPr>
            </w:pPr>
            <w:r>
              <w:rPr>
                <w:rFonts w:hint="eastAsia" w:ascii="楷体_GB2312" w:hAnsi="楷体_GB2312" w:eastAsia="楷体_GB2312" w:cs="楷体_GB2312"/>
                <w:kern w:val="0"/>
                <w:sz w:val="24"/>
              </w:rPr>
              <w:t>大力推进行政复议工作</w:t>
            </w:r>
          </w:p>
        </w:tc>
        <w:tc>
          <w:tcPr>
            <w:tcW w:w="490" w:type="dxa"/>
            <w:noWrap w:val="0"/>
            <w:vAlign w:val="center"/>
          </w:tcPr>
          <w:p>
            <w:pPr>
              <w:widowControl/>
              <w:spacing w:line="360" w:lineRule="exact"/>
              <w:jc w:val="center"/>
              <w:textAlignment w:val="center"/>
              <w:rPr>
                <w:rFonts w:ascii="仿宋_GB2312" w:hAnsi="仿宋" w:eastAsia="仿宋_GB2312" w:cs="仿宋"/>
                <w:sz w:val="24"/>
              </w:rPr>
            </w:pPr>
            <w:r>
              <w:rPr>
                <w:rFonts w:hint="eastAsia" w:ascii="仿宋_GB2312" w:hAnsi="仿宋" w:eastAsia="仿宋_GB2312" w:cs="仿宋"/>
                <w:sz w:val="24"/>
              </w:rPr>
              <w:t>50</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贯彻落实《安徽省行政复议体制改革实施方案》，全面深化行政复议体制改革，有效整合县级行政复议职责，按照事编匹配、优化节约、按需调剂的原则，合理调配编制资源，2022年年底前基本形成公正权威、统一高效的行政复议体制。加大行政复议保障力度，工作经费列入本级人民政府预算，保障行政复议办案必要条件。</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县委编办</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县财政局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06"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六、健全社会矛盾纠纷行政预防调处化解体系不断促进社会公平正义</w:t>
            </w:r>
          </w:p>
        </w:tc>
        <w:tc>
          <w:tcPr>
            <w:tcW w:w="875" w:type="dxa"/>
            <w:noWrap w:val="0"/>
            <w:vAlign w:val="center"/>
          </w:tcPr>
          <w:p>
            <w:pPr>
              <w:spacing w:line="380" w:lineRule="exact"/>
              <w:textAlignment w:val="top"/>
              <w:rPr>
                <w:rFonts w:ascii="仿宋_GB2312" w:hAnsi="楷体_GB2312" w:eastAsia="仿宋_GB2312" w:cs="楷体_GB2312"/>
                <w:sz w:val="24"/>
              </w:rPr>
            </w:pPr>
            <w:r>
              <w:rPr>
                <w:rFonts w:hint="eastAsia" w:ascii="楷体_GB2312" w:hAnsi="楷体_GB2312" w:eastAsia="楷体_GB2312" w:cs="楷体_GB2312"/>
                <w:kern w:val="0"/>
                <w:sz w:val="24"/>
              </w:rPr>
              <w:t>大力推进行政复议工作</w:t>
            </w:r>
          </w:p>
        </w:tc>
        <w:tc>
          <w:tcPr>
            <w:tcW w:w="490" w:type="dxa"/>
            <w:noWrap w:val="0"/>
            <w:vAlign w:val="center"/>
          </w:tcPr>
          <w:p>
            <w:pPr>
              <w:widowControl/>
              <w:spacing w:line="380" w:lineRule="exact"/>
              <w:jc w:val="center"/>
              <w:textAlignment w:val="center"/>
              <w:rPr>
                <w:rFonts w:hint="eastAsia" w:ascii="仿宋_GB2312" w:hAnsi="仿宋" w:eastAsia="仿宋_GB2312" w:cs="仿宋"/>
                <w:sz w:val="24"/>
              </w:rPr>
            </w:pPr>
            <w:r>
              <w:rPr>
                <w:rFonts w:hint="eastAsia" w:ascii="仿宋_GB2312" w:hAnsi="仿宋" w:eastAsia="仿宋_GB2312" w:cs="仿宋"/>
                <w:sz w:val="24"/>
              </w:rPr>
              <w:t>51</w:t>
            </w:r>
          </w:p>
        </w:tc>
        <w:tc>
          <w:tcPr>
            <w:tcW w:w="6303" w:type="dxa"/>
            <w:noWrap w:val="0"/>
            <w:vAlign w:val="center"/>
          </w:tcPr>
          <w:p>
            <w:pPr>
              <w:widowControl/>
              <w:spacing w:line="380" w:lineRule="exact"/>
              <w:textAlignment w:val="center"/>
              <w:rPr>
                <w:rFonts w:ascii="仿宋_GB2312" w:hAnsi="仿宋" w:eastAsia="仿宋_GB2312" w:cs="仿宋"/>
                <w:sz w:val="24"/>
              </w:rPr>
            </w:pPr>
            <w:r>
              <w:rPr>
                <w:rFonts w:hint="eastAsia" w:ascii="仿宋_GB2312" w:hAnsi="仿宋" w:eastAsia="仿宋_GB2312" w:cs="仿宋"/>
                <w:kern w:val="0"/>
                <w:sz w:val="24"/>
              </w:rPr>
              <w:t>加强行政复议工作队伍专业化职业化建设，建立行政复议员制度，规范行政复议员选任、培训、考核、管理和职业保障，探索行政复议员与办案辅助人员分类管理。健全优化行政复议审理机制，制定行政复议执业规范，全面推进行政复议规范化、专业化、信息化建设，建立科学通畅、公开透明、便民利民、监督有力、指导精准、宣传有效的行政复议工作流程。完善重大行政复议案件公开听证制度。建立健全行政复议决定书以及行政复议意见书、建议书执行监督机制，实现个案监督纠错与倒逼依法行政有机结合。全面落实行政复议决定书网上公开制度。</w:t>
            </w:r>
          </w:p>
        </w:tc>
        <w:tc>
          <w:tcPr>
            <w:tcW w:w="2967" w:type="dxa"/>
            <w:noWrap w:val="0"/>
            <w:vAlign w:val="center"/>
          </w:tcPr>
          <w:p>
            <w:pPr>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80" w:lineRule="exact"/>
              <w:jc w:val="left"/>
              <w:rPr>
                <w:rFonts w:ascii="仿宋_GB2312" w:hAnsi="黑体" w:eastAsia="仿宋_GB2312" w:cs="黑体"/>
                <w:kern w:val="0"/>
                <w:sz w:val="24"/>
              </w:rPr>
            </w:pPr>
          </w:p>
        </w:tc>
        <w:tc>
          <w:tcPr>
            <w:tcW w:w="875" w:type="dxa"/>
            <w:vMerge w:val="restart"/>
            <w:noWrap w:val="0"/>
            <w:vAlign w:val="top"/>
          </w:tcPr>
          <w:p>
            <w:pPr>
              <w:spacing w:line="260" w:lineRule="exact"/>
              <w:textAlignment w:val="top"/>
              <w:rPr>
                <w:rFonts w:ascii="仿宋_GB2312" w:hAnsi="楷体_GB2312" w:eastAsia="仿宋_GB2312" w:cs="楷体_GB2312"/>
                <w:sz w:val="24"/>
              </w:rPr>
            </w:pPr>
            <w:r>
              <w:rPr>
                <w:rFonts w:hint="eastAsia" w:ascii="楷体_GB2312" w:hAnsi="楷体_GB2312" w:eastAsia="楷体_GB2312" w:cs="楷体_GB2312"/>
                <w:kern w:val="0"/>
                <w:sz w:val="24"/>
              </w:rPr>
              <w:t>加强和规范行政应诉工作</w:t>
            </w:r>
          </w:p>
        </w:tc>
        <w:tc>
          <w:tcPr>
            <w:tcW w:w="490" w:type="dxa"/>
            <w:noWrap w:val="0"/>
            <w:vAlign w:val="center"/>
          </w:tcPr>
          <w:p>
            <w:pPr>
              <w:widowControl/>
              <w:spacing w:line="380" w:lineRule="exact"/>
              <w:jc w:val="center"/>
              <w:textAlignment w:val="center"/>
              <w:rPr>
                <w:rFonts w:hint="eastAsia" w:ascii="仿宋_GB2312" w:hAnsi="仿宋" w:eastAsia="仿宋_GB2312" w:cs="仿宋"/>
                <w:sz w:val="24"/>
              </w:rPr>
            </w:pPr>
            <w:r>
              <w:rPr>
                <w:rFonts w:hint="eastAsia" w:ascii="仿宋_GB2312" w:hAnsi="仿宋" w:eastAsia="仿宋_GB2312" w:cs="仿宋"/>
                <w:sz w:val="24"/>
              </w:rPr>
              <w:t>52</w:t>
            </w:r>
          </w:p>
        </w:tc>
        <w:tc>
          <w:tcPr>
            <w:tcW w:w="6303" w:type="dxa"/>
            <w:noWrap w:val="0"/>
            <w:vAlign w:val="center"/>
          </w:tcPr>
          <w:p>
            <w:pPr>
              <w:widowControl/>
              <w:spacing w:line="38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认真执行行政机关负责人出庭应诉制度，健全完善行政机关负责人出庭应诉通报、督察、约谈、考核等机制，保持行政机关负责人出庭应诉率100%，不断提升出庭应诉质量。</w:t>
            </w:r>
          </w:p>
        </w:tc>
        <w:tc>
          <w:tcPr>
            <w:tcW w:w="2967"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县法院</w:t>
            </w:r>
          </w:p>
        </w:tc>
        <w:tc>
          <w:tcPr>
            <w:tcW w:w="2431"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80" w:lineRule="exact"/>
              <w:rPr>
                <w:rFonts w:ascii="仿宋_GB2312" w:hAnsi="黑体" w:eastAsia="仿宋_GB2312" w:cs="黑体"/>
                <w:sz w:val="24"/>
              </w:rPr>
            </w:pPr>
          </w:p>
        </w:tc>
        <w:tc>
          <w:tcPr>
            <w:tcW w:w="875" w:type="dxa"/>
            <w:vMerge w:val="continue"/>
            <w:noWrap w:val="0"/>
            <w:vAlign w:val="center"/>
          </w:tcPr>
          <w:p>
            <w:pPr>
              <w:widowControl/>
              <w:spacing w:line="380" w:lineRule="exact"/>
              <w:textAlignment w:val="top"/>
              <w:rPr>
                <w:rFonts w:ascii="仿宋_GB2312" w:hAnsi="楷体_GB2312" w:eastAsia="仿宋_GB2312" w:cs="楷体_GB2312"/>
                <w:sz w:val="24"/>
              </w:rPr>
            </w:pPr>
          </w:p>
        </w:tc>
        <w:tc>
          <w:tcPr>
            <w:tcW w:w="490" w:type="dxa"/>
            <w:noWrap w:val="0"/>
            <w:vAlign w:val="center"/>
          </w:tcPr>
          <w:p>
            <w:pPr>
              <w:widowControl/>
              <w:spacing w:line="38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53</w:t>
            </w:r>
          </w:p>
        </w:tc>
        <w:tc>
          <w:tcPr>
            <w:tcW w:w="6303" w:type="dxa"/>
            <w:noWrap w:val="0"/>
            <w:vAlign w:val="center"/>
          </w:tcPr>
          <w:p>
            <w:pPr>
              <w:widowControl/>
              <w:spacing w:line="38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健全行政争议实质性化解机制，推动诉源治理。支持法院依法受理和审理行政案件，切实履行生效裁判。全力实施府院联动机制，有效化解行政争议。支持检察院开展行政诉讼监督和行政公益诉讼，积极主动履行职责或者纠正违法行为。认真做好司法建议、检察建议落实和反馈工作，加强依法行政共性问题研究。</w:t>
            </w:r>
          </w:p>
        </w:tc>
        <w:tc>
          <w:tcPr>
            <w:tcW w:w="2967"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县法院</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县检察院</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七、健全行政权力制约和监督体系促进行政权力规范透明运行</w:t>
            </w:r>
          </w:p>
        </w:tc>
        <w:tc>
          <w:tcPr>
            <w:tcW w:w="875" w:type="dxa"/>
            <w:vMerge w:val="restart"/>
            <w:noWrap w:val="0"/>
            <w:vAlign w:val="center"/>
          </w:tcPr>
          <w:p>
            <w:pPr>
              <w:spacing w:line="380" w:lineRule="exact"/>
              <w:textAlignment w:val="top"/>
              <w:rPr>
                <w:rFonts w:ascii="仿宋_GB2312" w:hAnsi="楷体_GB2312" w:eastAsia="仿宋_GB2312" w:cs="楷体_GB2312"/>
                <w:sz w:val="24"/>
              </w:rPr>
            </w:pPr>
            <w:r>
              <w:rPr>
                <w:rFonts w:hint="eastAsia" w:ascii="楷体_GB2312" w:hAnsi="楷体_GB2312" w:eastAsia="楷体_GB2312" w:cs="楷体_GB2312"/>
                <w:kern w:val="0"/>
                <w:sz w:val="24"/>
              </w:rPr>
              <w:t>形成监督合力</w:t>
            </w:r>
          </w:p>
        </w:tc>
        <w:tc>
          <w:tcPr>
            <w:tcW w:w="490"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54</w:t>
            </w:r>
          </w:p>
        </w:tc>
        <w:tc>
          <w:tcPr>
            <w:tcW w:w="6303" w:type="dxa"/>
            <w:noWrap w:val="0"/>
            <w:vAlign w:val="center"/>
          </w:tcPr>
          <w:p>
            <w:pPr>
              <w:widowControl/>
              <w:spacing w:line="38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突出党内监督主导地位，健全党委统一领导、全面覆盖、权威高效的监督体系，推动党委主体责任、书记第一责任人责任和纪委监委监督责任贯通联动、一体落实。推动党内监督与人大监督、民主监督、行政监督、司法监督、群众监督、舆论监督等各类监督有机贯通、相互协调。认真落实中央关于加强对“一把手”和领导班子监督的意见，建立健全基层“小微权力”清单制度。完善审计监督，深化审计成果运用。积极发挥检察监督、财会监督、统计监督、执法监督、行政复议等监督作用。</w:t>
            </w:r>
          </w:p>
        </w:tc>
        <w:tc>
          <w:tcPr>
            <w:tcW w:w="2967"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县纪委监委</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县委办公室</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县委宣传部</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县人大办公室</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县政府办公室</w:t>
            </w:r>
          </w:p>
          <w:p>
            <w:pPr>
              <w:widowControl/>
              <w:spacing w:line="38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县政协办公室</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县法院</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县检察院</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县财政局</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县审计局</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县统计局</w:t>
            </w:r>
          </w:p>
        </w:tc>
        <w:tc>
          <w:tcPr>
            <w:tcW w:w="2431" w:type="dxa"/>
            <w:noWrap w:val="0"/>
            <w:vAlign w:val="center"/>
          </w:tcPr>
          <w:p>
            <w:pPr>
              <w:widowControl/>
              <w:spacing w:line="38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widowControl/>
              <w:spacing w:line="380" w:lineRule="exact"/>
              <w:jc w:val="left"/>
              <w:textAlignment w:val="top"/>
              <w:rPr>
                <w:rFonts w:ascii="仿宋_GB2312" w:hAnsi="黑体" w:eastAsia="仿宋_GB2312" w:cs="黑体"/>
                <w:sz w:val="24"/>
              </w:rPr>
            </w:pPr>
          </w:p>
        </w:tc>
        <w:tc>
          <w:tcPr>
            <w:tcW w:w="875" w:type="dxa"/>
            <w:vMerge w:val="continue"/>
            <w:noWrap w:val="0"/>
            <w:vAlign w:val="center"/>
          </w:tcPr>
          <w:p>
            <w:pPr>
              <w:widowControl/>
              <w:spacing w:line="380" w:lineRule="exact"/>
              <w:textAlignment w:val="top"/>
              <w:rPr>
                <w:rFonts w:ascii="仿宋_GB2312" w:hAnsi="楷体_GB2312" w:eastAsia="仿宋_GB2312" w:cs="楷体_GB2312"/>
                <w:kern w:val="0"/>
                <w:sz w:val="24"/>
              </w:rPr>
            </w:pPr>
          </w:p>
        </w:tc>
        <w:tc>
          <w:tcPr>
            <w:tcW w:w="490"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55</w:t>
            </w:r>
          </w:p>
        </w:tc>
        <w:tc>
          <w:tcPr>
            <w:tcW w:w="6303" w:type="dxa"/>
            <w:noWrap w:val="0"/>
            <w:vAlign w:val="top"/>
          </w:tcPr>
          <w:p>
            <w:pPr>
              <w:widowControl/>
              <w:spacing w:line="38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坚持严管和厚爱结合、激励和约束并重，落实“三个区分开来”要求，建立健全担当作为的激励和保护机制。精准有效运用“四种形态”，做到依规依纪依法严肃问责、规范问责、精准问责、慎重问责，既要防止问责不力，也要防止问责泛化、简单化。健全容错纠错机制，严肃查处诬告陷害行为，做好澄清正名、暖心回访等工作，切实保护各级特别是基层政府工作人员的积极性，充分支持从实际出发担当作为、干事创业。</w:t>
            </w:r>
          </w:p>
        </w:tc>
        <w:tc>
          <w:tcPr>
            <w:tcW w:w="2967"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县纪委监委</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县委组织部</w:t>
            </w:r>
          </w:p>
        </w:tc>
        <w:tc>
          <w:tcPr>
            <w:tcW w:w="2431"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县政府有各部门</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各乡镇党委和政府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七、健全行政权力制约和监督体系促进行政权力规范透明运行</w:t>
            </w:r>
          </w:p>
        </w:tc>
        <w:tc>
          <w:tcPr>
            <w:tcW w:w="875" w:type="dxa"/>
            <w:noWrap w:val="0"/>
            <w:vAlign w:val="center"/>
          </w:tcPr>
          <w:p>
            <w:pPr>
              <w:spacing w:line="380" w:lineRule="exact"/>
              <w:textAlignment w:val="top"/>
              <w:rPr>
                <w:rFonts w:ascii="楷体_GB2312" w:hAnsi="楷体_GB2312" w:eastAsia="楷体_GB2312" w:cs="楷体_GB2312"/>
                <w:kern w:val="0"/>
                <w:sz w:val="24"/>
              </w:rPr>
            </w:pPr>
            <w:r>
              <w:rPr>
                <w:rFonts w:hint="eastAsia" w:ascii="楷体_GB2312" w:hAnsi="楷体_GB2312" w:eastAsia="楷体_GB2312" w:cs="楷体_GB2312"/>
                <w:kern w:val="0"/>
                <w:sz w:val="24"/>
              </w:rPr>
              <w:t>加强和规范政府督查工作</w:t>
            </w:r>
          </w:p>
        </w:tc>
        <w:tc>
          <w:tcPr>
            <w:tcW w:w="490"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56</w:t>
            </w:r>
          </w:p>
        </w:tc>
        <w:tc>
          <w:tcPr>
            <w:tcW w:w="6303" w:type="dxa"/>
            <w:noWrap w:val="0"/>
            <w:vAlign w:val="center"/>
          </w:tcPr>
          <w:p>
            <w:pPr>
              <w:widowControl/>
              <w:spacing w:line="38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依法组织开展政府督查工作，重点对党中央、国务院重大决策部署贯彻落实情况，上级和本级党委政府重要工作部署落实情况、党委和政府重要文件、政府重要会议议定事项、领导批示和交办事项等落实情况，督查对象法定职责履行情况、本级政府所属部门和下级政府的行政效能开展监督检查。发挥政府督查的激励鞭策作用，对真抓实干成效明显的加大表扬和政策激励力度，对不作为乱作为的严肃问责。制定我市政府督查工作制度。</w:t>
            </w:r>
          </w:p>
        </w:tc>
        <w:tc>
          <w:tcPr>
            <w:tcW w:w="2967" w:type="dxa"/>
            <w:noWrap w:val="0"/>
            <w:vAlign w:val="center"/>
          </w:tcPr>
          <w:p>
            <w:pPr>
              <w:widowControl/>
              <w:spacing w:line="38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县督查考核中心</w:t>
            </w:r>
          </w:p>
          <w:p>
            <w:pPr>
              <w:widowControl/>
              <w:spacing w:line="38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县政府办公室</w:t>
            </w:r>
          </w:p>
        </w:tc>
        <w:tc>
          <w:tcPr>
            <w:tcW w:w="2431" w:type="dxa"/>
            <w:noWrap w:val="0"/>
            <w:vAlign w:val="center"/>
          </w:tcPr>
          <w:p>
            <w:pPr>
              <w:widowControl/>
              <w:spacing w:line="38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80" w:lineRule="exact"/>
              <w:rPr>
                <w:rFonts w:ascii="仿宋_GB2312" w:hAnsi="黑体" w:eastAsia="仿宋_GB2312" w:cs="黑体"/>
                <w:sz w:val="24"/>
              </w:rPr>
            </w:pPr>
          </w:p>
        </w:tc>
        <w:tc>
          <w:tcPr>
            <w:tcW w:w="875" w:type="dxa"/>
            <w:noWrap w:val="0"/>
            <w:vAlign w:val="center"/>
          </w:tcPr>
          <w:p>
            <w:pPr>
              <w:spacing w:line="400" w:lineRule="exact"/>
              <w:rPr>
                <w:rFonts w:ascii="仿宋_GB2312" w:hAnsi="楷体_GB2312" w:eastAsia="仿宋_GB2312" w:cs="楷体_GB2312"/>
                <w:sz w:val="24"/>
              </w:rPr>
            </w:pPr>
            <w:r>
              <w:rPr>
                <w:rFonts w:hint="eastAsia" w:ascii="楷体_GB2312" w:hAnsi="楷体_GB2312" w:eastAsia="楷体_GB2312" w:cs="楷体_GB2312"/>
                <w:kern w:val="0"/>
                <w:sz w:val="24"/>
              </w:rPr>
              <w:t>加强对行政执法制约和监督</w:t>
            </w:r>
          </w:p>
        </w:tc>
        <w:tc>
          <w:tcPr>
            <w:tcW w:w="490"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57</w:t>
            </w:r>
          </w:p>
        </w:tc>
        <w:tc>
          <w:tcPr>
            <w:tcW w:w="6303" w:type="dxa"/>
            <w:noWrap w:val="0"/>
            <w:vAlign w:val="top"/>
          </w:tcPr>
          <w:p>
            <w:pPr>
              <w:widowControl/>
              <w:spacing w:line="38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加强行政执法监督机制和能力建设，充分发挥行政执法监督统筹协调、规范保障、督促指导作用，2024年年底前基本建成县乡全覆盖的比较完善的行政执法协调监督工作体系。全面落实行政执法责任，严格按照权责事项清单分解执法职权、确定执法责任。加强和完善行政执法案卷管理和评查、行政执法机关处理投诉举报、行政执法考核评议等制度建设。大力整治重点领域行政执法不作为乱作为、执法不严格不规范不文明不透明等突出问题，重点围绕全面建设新阶段现代化“高特美强”新固镇部署开展行政执法监督专项行动。严禁下达或者变相下达罚没指标，严禁将罚没收入同作出行政处罚的行政机关及其工作人员的考核、考评直接或者变相挂钩。</w:t>
            </w:r>
          </w:p>
        </w:tc>
        <w:tc>
          <w:tcPr>
            <w:tcW w:w="2967"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8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10"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七、健全行政权力制约和监督体系促进行政权力规范透明运行</w:t>
            </w:r>
          </w:p>
        </w:tc>
        <w:tc>
          <w:tcPr>
            <w:tcW w:w="875" w:type="dxa"/>
            <w:noWrap w:val="0"/>
            <w:vAlign w:val="center"/>
          </w:tcPr>
          <w:p>
            <w:pPr>
              <w:spacing w:line="400" w:lineRule="exact"/>
              <w:rPr>
                <w:rFonts w:ascii="仿宋_GB2312" w:hAnsi="楷体_GB2312" w:eastAsia="仿宋_GB2312" w:cs="楷体_GB2312"/>
                <w:kern w:val="0"/>
                <w:sz w:val="24"/>
              </w:rPr>
            </w:pPr>
            <w:r>
              <w:rPr>
                <w:rFonts w:hint="eastAsia" w:ascii="楷体_GB2312" w:hAnsi="楷体_GB2312" w:eastAsia="楷体_GB2312" w:cs="楷体_GB2312"/>
                <w:kern w:val="0"/>
                <w:sz w:val="24"/>
              </w:rPr>
              <w:t>全面主动落实政务公开</w:t>
            </w:r>
          </w:p>
        </w:tc>
        <w:tc>
          <w:tcPr>
            <w:tcW w:w="490" w:type="dxa"/>
            <w:noWrap w:val="0"/>
            <w:vAlign w:val="center"/>
          </w:tcPr>
          <w:p>
            <w:pPr>
              <w:widowControl/>
              <w:spacing w:line="360" w:lineRule="exact"/>
              <w:jc w:val="center"/>
              <w:textAlignment w:val="center"/>
              <w:rPr>
                <w:rFonts w:ascii="仿宋_GB2312" w:hAnsi="仿宋" w:eastAsia="仿宋_GB2312" w:cs="仿宋"/>
                <w:sz w:val="24"/>
              </w:rPr>
            </w:pPr>
            <w:r>
              <w:rPr>
                <w:rFonts w:hint="eastAsia" w:ascii="仿宋_GB2312" w:hAnsi="仿宋" w:eastAsia="仿宋_GB2312" w:cs="仿宋"/>
                <w:sz w:val="24"/>
              </w:rPr>
              <w:t>58</w:t>
            </w:r>
          </w:p>
        </w:tc>
        <w:tc>
          <w:tcPr>
            <w:tcW w:w="6303" w:type="dxa"/>
            <w:noWrap w:val="0"/>
            <w:vAlign w:val="top"/>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坚持以公开为常态、不公开为例外，用政府更加公开透明赢得人民群众更多理解、信任和支持。大力推进决策、执行、管理、服务和结果公开，做到法定主动公开内容全部公开到位。全面公开涉企收费、公共服务、行政权力中介服务等清单，建立权力运行可查询、可追溯的反馈机制。进一步规范各地各部门政府信息公开申请办理工作，依法保障人民群众合理信息需求。加强基层政务公开标准化规范化建设，推进公共企事业单位信息公开。</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县政府办公室</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县数据资源局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县发展改革委</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54" w:hRule="atLeast"/>
          <w:jc w:val="center"/>
        </w:trPr>
        <w:tc>
          <w:tcPr>
            <w:tcW w:w="850" w:type="dxa"/>
            <w:vMerge w:val="continue"/>
            <w:noWrap w:val="0"/>
            <w:vAlign w:val="center"/>
          </w:tcPr>
          <w:p>
            <w:pPr>
              <w:widowControl/>
              <w:spacing w:line="360" w:lineRule="exact"/>
              <w:jc w:val="left"/>
              <w:textAlignment w:val="top"/>
              <w:rPr>
                <w:rFonts w:ascii="仿宋_GB2312" w:hAnsi="黑体" w:eastAsia="仿宋_GB2312" w:cs="黑体"/>
                <w:kern w:val="0"/>
                <w:sz w:val="24"/>
              </w:rPr>
            </w:pPr>
          </w:p>
        </w:tc>
        <w:tc>
          <w:tcPr>
            <w:tcW w:w="875" w:type="dxa"/>
            <w:noWrap w:val="0"/>
            <w:vAlign w:val="center"/>
          </w:tcPr>
          <w:p>
            <w:pPr>
              <w:spacing w:line="400" w:lineRule="exact"/>
              <w:rPr>
                <w:rFonts w:ascii="仿宋_GB2312" w:hAnsi="楷体_GB2312" w:eastAsia="仿宋_GB2312" w:cs="楷体_GB2312"/>
                <w:kern w:val="0"/>
                <w:sz w:val="24"/>
              </w:rPr>
            </w:pPr>
            <w:r>
              <w:rPr>
                <w:rFonts w:hint="eastAsia" w:ascii="楷体_GB2312" w:hAnsi="楷体_GB2312" w:eastAsia="楷体_GB2312" w:cs="楷体_GB2312"/>
                <w:kern w:val="0"/>
                <w:sz w:val="24"/>
              </w:rPr>
              <w:t>大力推进政务诚信建设</w:t>
            </w:r>
          </w:p>
        </w:tc>
        <w:tc>
          <w:tcPr>
            <w:tcW w:w="490" w:type="dxa"/>
            <w:noWrap w:val="0"/>
            <w:vAlign w:val="center"/>
          </w:tcPr>
          <w:p>
            <w:pPr>
              <w:widowControl/>
              <w:spacing w:line="360" w:lineRule="exact"/>
              <w:jc w:val="center"/>
              <w:textAlignment w:val="center"/>
              <w:rPr>
                <w:rFonts w:ascii="仿宋_GB2312" w:hAnsi="仿宋" w:eastAsia="仿宋_GB2312" w:cs="仿宋"/>
                <w:sz w:val="24"/>
              </w:rPr>
            </w:pPr>
            <w:r>
              <w:rPr>
                <w:rFonts w:hint="eastAsia" w:ascii="仿宋_GB2312" w:hAnsi="仿宋" w:eastAsia="仿宋_GB2312" w:cs="仿宋"/>
                <w:sz w:val="24"/>
              </w:rPr>
              <w:t>59</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健全政府守信践诺机制。建立健全政务诚信建设，完善政务诚信治理制度，将违约毁约、拖欠账款、拒不履行司法裁判等失信信息纳入全县信用信息共享平台并向社会公开。完善诚信建设长效机制，加强守信联合激励和失信联合管理惩戒。加大失信惩戒力度，重点治理债务融资、政府采购、招标投标、招商引资等领域的政府失信行为。加强“民告官”案件清理，督促政府依法行政。</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县发展改革委</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县法院</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县财政局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县经济和信息化局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县招商和对外合作中心</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00"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八、健全法治政府建设科技保障体系全面建设数字法治政府</w:t>
            </w:r>
          </w:p>
        </w:tc>
        <w:tc>
          <w:tcPr>
            <w:tcW w:w="875" w:type="dxa"/>
            <w:vMerge w:val="restart"/>
            <w:noWrap w:val="0"/>
            <w:vAlign w:val="center"/>
          </w:tcPr>
          <w:p>
            <w:pPr>
              <w:spacing w:line="400" w:lineRule="exact"/>
              <w:rPr>
                <w:rFonts w:ascii="楷体_GB2312" w:hAnsi="楷体_GB2312" w:eastAsia="楷体_GB2312" w:cs="楷体_GB2312"/>
                <w:kern w:val="0"/>
                <w:sz w:val="24"/>
              </w:rPr>
            </w:pPr>
            <w:r>
              <w:rPr>
                <w:rFonts w:hint="eastAsia" w:ascii="楷体_GB2312" w:hAnsi="楷体_GB2312" w:eastAsia="楷体_GB2312" w:cs="楷体_GB2312"/>
                <w:kern w:val="0"/>
                <w:sz w:val="24"/>
              </w:rPr>
              <w:t>加快推进信息化平台建设</w:t>
            </w:r>
          </w:p>
        </w:tc>
        <w:tc>
          <w:tcPr>
            <w:tcW w:w="490" w:type="dxa"/>
            <w:noWrap w:val="0"/>
            <w:vAlign w:val="center"/>
          </w:tcPr>
          <w:p>
            <w:pPr>
              <w:widowControl/>
              <w:spacing w:line="360" w:lineRule="exact"/>
              <w:jc w:val="center"/>
              <w:textAlignment w:val="center"/>
              <w:rPr>
                <w:rFonts w:ascii="仿宋_GB2312" w:hAnsi="仿宋" w:eastAsia="仿宋_GB2312" w:cs="仿宋"/>
                <w:sz w:val="24"/>
              </w:rPr>
            </w:pPr>
            <w:r>
              <w:rPr>
                <w:rFonts w:hint="eastAsia" w:ascii="仿宋_GB2312" w:hAnsi="仿宋" w:eastAsia="仿宋_GB2312" w:cs="仿宋"/>
                <w:sz w:val="24"/>
              </w:rPr>
              <w:t>60</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坚持政务服务上网是原则、不上网是例外，联网是原则、孤网是例外，推广“全程网办”，推动与企业和群众密切相关的政务事项实现网上办理“应上尽上、上必能办”，加快建成县乡村三级互联、协同联动的政务服务平台，实现网上政务全覆盖，促进线上线下深度融合。深化“微门户”建设，持续推动PC端与移动端深度融合。2021年年底前，除110、119、120、122等紧急热线外，全县各级各部门设立的政务服务便民热线以及省、市政府有关部门设立并在我县接听的政务服务便民热线，实现12345一个号码服务。构建热线电话、政府网站、政府网站微信公众号、政务服务网、皖事通APP“五位一体”的受理渠道。</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县政府办公室</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县数据资源局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97" w:hRule="atLeast"/>
          <w:jc w:val="center"/>
        </w:trPr>
        <w:tc>
          <w:tcPr>
            <w:tcW w:w="850" w:type="dxa"/>
            <w:vMerge w:val="continue"/>
            <w:noWrap w:val="0"/>
            <w:vAlign w:val="center"/>
          </w:tcPr>
          <w:p>
            <w:pPr>
              <w:widowControl/>
              <w:spacing w:line="360" w:lineRule="exact"/>
              <w:jc w:val="left"/>
              <w:textAlignment w:val="top"/>
              <w:rPr>
                <w:rFonts w:ascii="仿宋_GB2312" w:hAnsi="黑体" w:eastAsia="仿宋_GB2312" w:cs="黑体"/>
                <w:sz w:val="24"/>
              </w:rPr>
            </w:pPr>
          </w:p>
        </w:tc>
        <w:tc>
          <w:tcPr>
            <w:tcW w:w="875" w:type="dxa"/>
            <w:vMerge w:val="continue"/>
            <w:noWrap w:val="0"/>
            <w:vAlign w:val="center"/>
          </w:tcPr>
          <w:p>
            <w:pPr>
              <w:spacing w:line="400" w:lineRule="exact"/>
              <w:rPr>
                <w:rFonts w:ascii="楷体_GB2312" w:hAnsi="楷体_GB2312" w:eastAsia="楷体_GB2312" w:cs="楷体_GB2312"/>
                <w:kern w:val="0"/>
                <w:sz w:val="24"/>
              </w:rPr>
            </w:pPr>
          </w:p>
        </w:tc>
        <w:tc>
          <w:tcPr>
            <w:tcW w:w="490" w:type="dxa"/>
            <w:noWrap w:val="0"/>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仿宋" w:eastAsia="仿宋_GB2312" w:cs="仿宋"/>
                <w:sz w:val="24"/>
              </w:rPr>
              <w:t>61</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依托国家行政规范性文件统一公开查询平台，2023年年底前实现我县现行有效行政规范性文件统一公开查询。</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县数据资源局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52"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kern w:val="0"/>
                <w:sz w:val="24"/>
              </w:rPr>
            </w:pPr>
            <w:r>
              <w:rPr>
                <w:rFonts w:hint="eastAsia" w:ascii="黑体" w:hAnsi="黑体" w:eastAsia="黑体" w:cs="黑体"/>
                <w:kern w:val="0"/>
                <w:sz w:val="24"/>
              </w:rPr>
              <w:t>八、健全法治政府建设科技保障体系全面建设数字法治政府</w:t>
            </w:r>
          </w:p>
        </w:tc>
        <w:tc>
          <w:tcPr>
            <w:tcW w:w="875" w:type="dxa"/>
            <w:vMerge w:val="restart"/>
            <w:noWrap w:val="0"/>
            <w:vAlign w:val="center"/>
          </w:tcPr>
          <w:p>
            <w:pPr>
              <w:spacing w:line="400" w:lineRule="exact"/>
              <w:rPr>
                <w:rFonts w:ascii="仿宋_GB2312" w:hAnsi="楷体_GB2312" w:eastAsia="仿宋_GB2312" w:cs="楷体_GB2312"/>
                <w:kern w:val="0"/>
                <w:sz w:val="24"/>
              </w:rPr>
            </w:pPr>
            <w:r>
              <w:rPr>
                <w:rFonts w:hint="eastAsia" w:ascii="楷体_GB2312" w:hAnsi="楷体_GB2312" w:eastAsia="楷体_GB2312" w:cs="楷体_GB2312"/>
                <w:kern w:val="0"/>
                <w:sz w:val="24"/>
              </w:rPr>
              <w:t>加快推进政务数据有序共享</w:t>
            </w:r>
          </w:p>
        </w:tc>
        <w:tc>
          <w:tcPr>
            <w:tcW w:w="490" w:type="dxa"/>
            <w:noWrap w:val="0"/>
            <w:vAlign w:val="center"/>
          </w:tcPr>
          <w:p>
            <w:pPr>
              <w:widowControl/>
              <w:spacing w:line="310" w:lineRule="exact"/>
              <w:jc w:val="center"/>
              <w:textAlignment w:val="center"/>
              <w:rPr>
                <w:rFonts w:hint="eastAsia" w:ascii="仿宋_GB2312" w:hAnsi="仿宋" w:eastAsia="仿宋_GB2312" w:cs="仿宋"/>
                <w:sz w:val="24"/>
              </w:rPr>
            </w:pPr>
            <w:r>
              <w:rPr>
                <w:rFonts w:hint="eastAsia" w:ascii="仿宋_GB2312" w:hAnsi="仿宋" w:eastAsia="仿宋_GB2312" w:cs="仿宋"/>
                <w:sz w:val="24"/>
              </w:rPr>
              <w:t>62</w:t>
            </w:r>
          </w:p>
        </w:tc>
        <w:tc>
          <w:tcPr>
            <w:tcW w:w="6303" w:type="dxa"/>
            <w:noWrap w:val="0"/>
            <w:vAlign w:val="center"/>
          </w:tcPr>
          <w:p>
            <w:pPr>
              <w:widowControl/>
              <w:spacing w:line="31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建立健全政务数据共享协调机制，依托“江淮大数据中心”平台，推动政务数据跨层级、跨地域、跨部门、跨系统资源共享。编制我县政务数据资源目录，明确数据种类、标准、共享范围等，实现政务数据按需归集、标准统一、有效流转、有序共享。加快推进身份认证、电子印章、电子证照、电子签名、电子支付、电子档案等统一认定使用，重点推动高频电子证照同沪苏浙互认应用、全国标准化应用。加强对大数据的分析、挖掘、处理和应用，善于运用大数据辅助行政决策、行政立法、行政执法工作。</w:t>
            </w:r>
          </w:p>
        </w:tc>
        <w:tc>
          <w:tcPr>
            <w:tcW w:w="2967" w:type="dxa"/>
            <w:noWrap w:val="0"/>
            <w:vAlign w:val="center"/>
          </w:tcPr>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县数据资源局</w:t>
            </w:r>
          </w:p>
        </w:tc>
        <w:tc>
          <w:tcPr>
            <w:tcW w:w="2431" w:type="dxa"/>
            <w:noWrap w:val="0"/>
            <w:vAlign w:val="center"/>
          </w:tcPr>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县公安局</w:t>
            </w:r>
          </w:p>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县市场监管局</w:t>
            </w:r>
          </w:p>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县委党史和地方志</w:t>
            </w:r>
          </w:p>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研究室等部门</w:t>
            </w:r>
          </w:p>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07" w:hRule="atLeast"/>
          <w:jc w:val="center"/>
        </w:trPr>
        <w:tc>
          <w:tcPr>
            <w:tcW w:w="850" w:type="dxa"/>
            <w:vMerge w:val="continue"/>
            <w:noWrap w:val="0"/>
            <w:vAlign w:val="center"/>
          </w:tcPr>
          <w:p>
            <w:pPr>
              <w:widowControl/>
              <w:spacing w:line="310" w:lineRule="exact"/>
              <w:jc w:val="left"/>
              <w:textAlignment w:val="top"/>
              <w:rPr>
                <w:rFonts w:ascii="仿宋_GB2312" w:hAnsi="黑体" w:eastAsia="仿宋_GB2312" w:cs="黑体"/>
                <w:sz w:val="24"/>
              </w:rPr>
            </w:pPr>
          </w:p>
        </w:tc>
        <w:tc>
          <w:tcPr>
            <w:tcW w:w="875" w:type="dxa"/>
            <w:vMerge w:val="continue"/>
            <w:noWrap w:val="0"/>
            <w:vAlign w:val="center"/>
          </w:tcPr>
          <w:p>
            <w:pPr>
              <w:spacing w:line="310" w:lineRule="exact"/>
              <w:rPr>
                <w:rFonts w:ascii="仿宋_GB2312" w:hAnsi="楷体_GB2312" w:eastAsia="仿宋_GB2312" w:cs="楷体_GB2312"/>
                <w:kern w:val="0"/>
                <w:sz w:val="24"/>
              </w:rPr>
            </w:pPr>
          </w:p>
        </w:tc>
        <w:tc>
          <w:tcPr>
            <w:tcW w:w="490" w:type="dxa"/>
            <w:noWrap w:val="0"/>
            <w:vAlign w:val="center"/>
          </w:tcPr>
          <w:p>
            <w:pPr>
              <w:widowControl/>
              <w:spacing w:line="310" w:lineRule="exact"/>
              <w:jc w:val="center"/>
              <w:textAlignment w:val="center"/>
              <w:rPr>
                <w:rFonts w:hint="eastAsia" w:ascii="仿宋_GB2312" w:hAnsi="仿宋" w:eastAsia="仿宋_GB2312" w:cs="仿宋"/>
                <w:sz w:val="24"/>
              </w:rPr>
            </w:pPr>
            <w:r>
              <w:rPr>
                <w:rFonts w:hint="eastAsia" w:ascii="仿宋_GB2312" w:hAnsi="仿宋" w:eastAsia="仿宋_GB2312" w:cs="仿宋"/>
                <w:sz w:val="24"/>
              </w:rPr>
              <w:t>63</w:t>
            </w:r>
          </w:p>
        </w:tc>
        <w:tc>
          <w:tcPr>
            <w:tcW w:w="6303" w:type="dxa"/>
            <w:noWrap w:val="0"/>
            <w:vAlign w:val="center"/>
          </w:tcPr>
          <w:p>
            <w:pPr>
              <w:widowControl/>
              <w:spacing w:line="31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建立健全运用互联网、大数据、人工智能等技术手段进行行政管理的制度规则。在依法保护国家安全、商业秘密、自然人隐私和个人信息的同时，推进政府和公共服务机构数据开放共享，优先推动民生保障、公共服务、市场监管等领域政府数据向社会有序开放。</w:t>
            </w:r>
          </w:p>
        </w:tc>
        <w:tc>
          <w:tcPr>
            <w:tcW w:w="2967" w:type="dxa"/>
            <w:noWrap w:val="0"/>
            <w:vAlign w:val="center"/>
          </w:tcPr>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县政府办公室</w:t>
            </w:r>
          </w:p>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县数据资源局</w:t>
            </w:r>
          </w:p>
        </w:tc>
        <w:tc>
          <w:tcPr>
            <w:tcW w:w="2431" w:type="dxa"/>
            <w:noWrap w:val="0"/>
            <w:vAlign w:val="center"/>
          </w:tcPr>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widowControl/>
              <w:spacing w:line="310" w:lineRule="exact"/>
              <w:jc w:val="left"/>
              <w:textAlignment w:val="top"/>
              <w:rPr>
                <w:rFonts w:ascii="仿宋_GB2312" w:hAnsi="黑体" w:eastAsia="仿宋_GB2312" w:cs="黑体"/>
                <w:sz w:val="24"/>
              </w:rPr>
            </w:pPr>
          </w:p>
        </w:tc>
        <w:tc>
          <w:tcPr>
            <w:tcW w:w="875" w:type="dxa"/>
            <w:vMerge w:val="restart"/>
            <w:noWrap w:val="0"/>
            <w:vAlign w:val="top"/>
          </w:tcPr>
          <w:p>
            <w:pPr>
              <w:spacing w:line="300" w:lineRule="exact"/>
              <w:rPr>
                <w:rFonts w:ascii="仿宋_GB2312" w:hAnsi="楷体_GB2312" w:eastAsia="仿宋_GB2312" w:cs="楷体_GB2312"/>
                <w:sz w:val="24"/>
              </w:rPr>
            </w:pPr>
            <w:r>
              <w:rPr>
                <w:rFonts w:hint="eastAsia" w:ascii="楷体_GB2312" w:hAnsi="楷体_GB2312" w:eastAsia="楷体_GB2312" w:cs="楷体_GB2312"/>
                <w:kern w:val="0"/>
                <w:sz w:val="24"/>
              </w:rPr>
              <w:t>深入推进“互联网+”监管执法</w:t>
            </w:r>
          </w:p>
        </w:tc>
        <w:tc>
          <w:tcPr>
            <w:tcW w:w="490" w:type="dxa"/>
            <w:noWrap w:val="0"/>
            <w:vAlign w:val="center"/>
          </w:tcPr>
          <w:p>
            <w:pPr>
              <w:widowControl/>
              <w:spacing w:line="300" w:lineRule="exact"/>
              <w:jc w:val="center"/>
              <w:textAlignment w:val="center"/>
              <w:rPr>
                <w:rFonts w:ascii="仿宋_GB2312" w:hAnsi="仿宋" w:eastAsia="仿宋_GB2312" w:cs="仿宋"/>
                <w:sz w:val="24"/>
              </w:rPr>
            </w:pPr>
            <w:r>
              <w:rPr>
                <w:rFonts w:hint="eastAsia" w:ascii="仿宋_GB2312" w:hAnsi="仿宋" w:eastAsia="仿宋_GB2312" w:cs="仿宋"/>
                <w:sz w:val="24"/>
              </w:rPr>
              <w:t>64</w:t>
            </w:r>
          </w:p>
        </w:tc>
        <w:tc>
          <w:tcPr>
            <w:tcW w:w="6303" w:type="dxa"/>
            <w:noWrap w:val="0"/>
            <w:vAlign w:val="center"/>
          </w:tcPr>
          <w:p>
            <w:pPr>
              <w:widowControl/>
              <w:spacing w:line="30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依托省“互联网+监管”系统，2022年年底前实现各方面监管平台数据的联通汇聚，实现对执法活动的即时性、过程性、系统性监督。健全完善执法监管事项清单，统一标准规范体系，加强执法基础数据、执法程序流转、执法信息公开、执法考核监督等相关数据与省“互联网+监管”系统互联互通。</w:t>
            </w:r>
          </w:p>
        </w:tc>
        <w:tc>
          <w:tcPr>
            <w:tcW w:w="2967" w:type="dxa"/>
            <w:noWrap w:val="0"/>
            <w:vAlign w:val="center"/>
          </w:tcPr>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widowControl/>
              <w:spacing w:line="310" w:lineRule="exact"/>
              <w:jc w:val="left"/>
              <w:textAlignment w:val="top"/>
              <w:rPr>
                <w:rFonts w:ascii="仿宋_GB2312" w:hAnsi="黑体" w:eastAsia="仿宋_GB2312" w:cs="黑体"/>
                <w:sz w:val="24"/>
              </w:rPr>
            </w:pPr>
          </w:p>
        </w:tc>
        <w:tc>
          <w:tcPr>
            <w:tcW w:w="875" w:type="dxa"/>
            <w:vMerge w:val="continue"/>
            <w:noWrap w:val="0"/>
            <w:vAlign w:val="center"/>
          </w:tcPr>
          <w:p>
            <w:pPr>
              <w:spacing w:line="300" w:lineRule="exact"/>
              <w:rPr>
                <w:rFonts w:ascii="仿宋_GB2312" w:hAnsi="仿宋_GB2312" w:eastAsia="仿宋_GB2312" w:cs="仿宋_GB2312"/>
                <w:sz w:val="24"/>
              </w:rPr>
            </w:pPr>
          </w:p>
        </w:tc>
        <w:tc>
          <w:tcPr>
            <w:tcW w:w="490" w:type="dxa"/>
            <w:noWrap w:val="0"/>
            <w:vAlign w:val="center"/>
          </w:tcPr>
          <w:p>
            <w:pPr>
              <w:spacing w:line="300" w:lineRule="exact"/>
              <w:jc w:val="center"/>
              <w:rPr>
                <w:rFonts w:ascii="仿宋_GB2312" w:hAnsi="仿宋" w:eastAsia="仿宋_GB2312" w:cs="仿宋"/>
                <w:sz w:val="24"/>
              </w:rPr>
            </w:pPr>
            <w:r>
              <w:rPr>
                <w:rFonts w:hint="eastAsia" w:ascii="仿宋_GB2312" w:hAnsi="仿宋" w:eastAsia="仿宋_GB2312" w:cs="仿宋"/>
                <w:sz w:val="24"/>
              </w:rPr>
              <w:t>65</w:t>
            </w:r>
          </w:p>
        </w:tc>
        <w:tc>
          <w:tcPr>
            <w:tcW w:w="6303" w:type="dxa"/>
            <w:noWrap w:val="0"/>
            <w:vAlign w:val="center"/>
          </w:tcPr>
          <w:p>
            <w:pPr>
              <w:widowControl/>
              <w:spacing w:line="30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积极推进智慧执法，加强信息化技术、装备的配置和应用。</w:t>
            </w:r>
          </w:p>
        </w:tc>
        <w:tc>
          <w:tcPr>
            <w:tcW w:w="2967" w:type="dxa"/>
            <w:noWrap w:val="0"/>
            <w:vAlign w:val="center"/>
          </w:tcPr>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widowControl/>
              <w:spacing w:line="310" w:lineRule="exact"/>
              <w:textAlignment w:val="top"/>
              <w:rPr>
                <w:rFonts w:ascii="仿宋_GB2312" w:hAnsi="黑体" w:eastAsia="仿宋_GB2312" w:cs="黑体"/>
                <w:sz w:val="24"/>
              </w:rPr>
            </w:pPr>
          </w:p>
        </w:tc>
        <w:tc>
          <w:tcPr>
            <w:tcW w:w="875" w:type="dxa"/>
            <w:vMerge w:val="continue"/>
            <w:noWrap w:val="0"/>
            <w:vAlign w:val="center"/>
          </w:tcPr>
          <w:p>
            <w:pPr>
              <w:spacing w:line="310" w:lineRule="exact"/>
              <w:rPr>
                <w:rFonts w:ascii="仿宋_GB2312" w:hAnsi="仿宋_GB2312" w:eastAsia="仿宋_GB2312" w:cs="仿宋_GB2312"/>
                <w:sz w:val="24"/>
              </w:rPr>
            </w:pPr>
          </w:p>
        </w:tc>
        <w:tc>
          <w:tcPr>
            <w:tcW w:w="490" w:type="dxa"/>
            <w:noWrap w:val="0"/>
            <w:vAlign w:val="center"/>
          </w:tcPr>
          <w:p>
            <w:pPr>
              <w:spacing w:line="310" w:lineRule="exact"/>
              <w:jc w:val="center"/>
              <w:rPr>
                <w:rFonts w:ascii="仿宋_GB2312" w:hAnsi="仿宋" w:eastAsia="仿宋_GB2312" w:cs="仿宋"/>
                <w:sz w:val="24"/>
              </w:rPr>
            </w:pPr>
            <w:r>
              <w:rPr>
                <w:rFonts w:hint="eastAsia" w:ascii="仿宋_GB2312" w:hAnsi="仿宋" w:eastAsia="仿宋_GB2312" w:cs="仿宋"/>
                <w:sz w:val="24"/>
              </w:rPr>
              <w:t>66</w:t>
            </w:r>
          </w:p>
        </w:tc>
        <w:tc>
          <w:tcPr>
            <w:tcW w:w="6303" w:type="dxa"/>
            <w:noWrap w:val="0"/>
            <w:vAlign w:val="center"/>
          </w:tcPr>
          <w:p>
            <w:pPr>
              <w:widowControl/>
              <w:spacing w:line="310" w:lineRule="exact"/>
              <w:jc w:val="left"/>
              <w:textAlignment w:val="center"/>
              <w:rPr>
                <w:rFonts w:ascii="仿宋_GB2312" w:hAnsi="仿宋" w:eastAsia="仿宋_GB2312" w:cs="仿宋"/>
                <w:kern w:val="0"/>
                <w:sz w:val="24"/>
              </w:rPr>
            </w:pPr>
            <w:r>
              <w:rPr>
                <w:rFonts w:hint="eastAsia" w:ascii="仿宋_GB2312" w:hAnsi="仿宋" w:eastAsia="仿宋_GB2312" w:cs="仿宋"/>
                <w:kern w:val="0"/>
                <w:sz w:val="24"/>
              </w:rPr>
              <w:t>探索运用非现场监管手段，减少监管盲区、提升监管效能。</w:t>
            </w:r>
          </w:p>
        </w:tc>
        <w:tc>
          <w:tcPr>
            <w:tcW w:w="2967" w:type="dxa"/>
            <w:noWrap w:val="0"/>
            <w:vAlign w:val="center"/>
          </w:tcPr>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1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c>
          <w:tcPr>
            <w:tcW w:w="2431" w:type="dxa"/>
            <w:noWrap w:val="0"/>
            <w:vAlign w:val="center"/>
          </w:tcPr>
          <w:p>
            <w:pPr>
              <w:widowControl/>
              <w:spacing w:line="31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九、全面加强党的领导为法治政府建设提供坚强保证</w:t>
            </w:r>
          </w:p>
        </w:tc>
        <w:tc>
          <w:tcPr>
            <w:tcW w:w="875" w:type="dxa"/>
            <w:noWrap w:val="0"/>
            <w:vAlign w:val="center"/>
          </w:tcPr>
          <w:p>
            <w:pPr>
              <w:spacing w:line="400" w:lineRule="exact"/>
              <w:rPr>
                <w:rFonts w:ascii="仿宋_GB2312" w:hAnsi="楷体_GB2312" w:eastAsia="仿宋_GB2312" w:cs="楷体_GB2312"/>
                <w:kern w:val="0"/>
                <w:sz w:val="24"/>
              </w:rPr>
            </w:pPr>
            <w:r>
              <w:rPr>
                <w:rFonts w:hint="eastAsia" w:ascii="楷体_GB2312" w:hAnsi="楷体_GB2312" w:eastAsia="楷体_GB2312" w:cs="楷体_GB2312"/>
                <w:kern w:val="0"/>
                <w:sz w:val="24"/>
              </w:rPr>
              <w:t>切实加强党对法治政府建设的领导</w:t>
            </w:r>
          </w:p>
        </w:tc>
        <w:tc>
          <w:tcPr>
            <w:tcW w:w="490" w:type="dxa"/>
            <w:noWrap w:val="0"/>
            <w:vAlign w:val="center"/>
          </w:tcPr>
          <w:p>
            <w:pPr>
              <w:spacing w:line="340" w:lineRule="exact"/>
              <w:jc w:val="center"/>
              <w:rPr>
                <w:rFonts w:ascii="仿宋_GB2312" w:hAnsi="仿宋" w:eastAsia="仿宋_GB2312" w:cs="仿宋"/>
                <w:kern w:val="0"/>
                <w:sz w:val="24"/>
              </w:rPr>
            </w:pPr>
            <w:r>
              <w:rPr>
                <w:rFonts w:hint="eastAsia" w:ascii="仿宋_GB2312" w:hAnsi="仿宋" w:eastAsia="仿宋_GB2312" w:cs="仿宋"/>
                <w:kern w:val="0"/>
                <w:sz w:val="24"/>
              </w:rPr>
              <w:t>67</w:t>
            </w:r>
          </w:p>
        </w:tc>
        <w:tc>
          <w:tcPr>
            <w:tcW w:w="6303" w:type="dxa"/>
            <w:noWrap w:val="0"/>
            <w:vAlign w:val="center"/>
          </w:tcPr>
          <w:p>
            <w:pPr>
              <w:spacing w:line="340" w:lineRule="exact"/>
              <w:jc w:val="left"/>
              <w:rPr>
                <w:rFonts w:ascii="仿宋_GB2312" w:hAnsi="仿宋" w:eastAsia="仿宋_GB2312" w:cs="仿宋"/>
                <w:kern w:val="0"/>
                <w:sz w:val="24"/>
              </w:rPr>
            </w:pPr>
            <w:r>
              <w:rPr>
                <w:rFonts w:hint="eastAsia" w:ascii="仿宋_GB2312" w:hAnsi="仿宋" w:eastAsia="仿宋_GB2312" w:cs="仿宋"/>
                <w:kern w:val="0"/>
                <w:sz w:val="24"/>
              </w:rPr>
              <w:t>各级党委和政府要深入学习领会习近平法治思想，把习近平法治思想贯彻落实到法治政府建设全过程和各方面。各级党委要切实履行法治建设领导职责，安排听取有关工作汇报，及时研究解决影响法治政府建设重大问题，加强对法治政府建设的督促。各级政府要在党委统一领导下，履行法治政府建设主体责任，谋划落实好法治政府建设各项任务，主动向党委报告法治政府建设中的重大事项和重大问题，落实好法治政府建设规划和年度工作计划。各级政府及其部门主要负责人要切实履行推进本地区本部门法治政府建设第一责任人职责，作为重要工作定期部署推进，督促政府及其部门班子成员依法行政。各级党委法治建设议事协调机构及其办事机构要加强法治政府建设的协调督促推动。</w:t>
            </w:r>
          </w:p>
        </w:tc>
        <w:tc>
          <w:tcPr>
            <w:tcW w:w="2967" w:type="dxa"/>
            <w:noWrap w:val="0"/>
            <w:vAlign w:val="center"/>
          </w:tcPr>
          <w:p>
            <w:pPr>
              <w:spacing w:line="340" w:lineRule="exact"/>
              <w:jc w:val="center"/>
              <w:rPr>
                <w:rFonts w:ascii="仿宋_GB2312" w:hAnsi="仿宋" w:eastAsia="仿宋_GB2312" w:cs="仿宋"/>
                <w:kern w:val="0"/>
                <w:sz w:val="24"/>
              </w:rPr>
            </w:pPr>
            <w:r>
              <w:rPr>
                <w:rFonts w:hint="eastAsia" w:ascii="仿宋_GB2312" w:hAnsi="仿宋" w:eastAsia="仿宋_GB2312" w:cs="仿宋"/>
                <w:kern w:val="0"/>
                <w:sz w:val="24"/>
              </w:rPr>
              <w:t>县委办公室</w:t>
            </w:r>
          </w:p>
          <w:p>
            <w:pPr>
              <w:spacing w:line="340" w:lineRule="exact"/>
              <w:jc w:val="center"/>
              <w:rPr>
                <w:rFonts w:ascii="仿宋_GB2312" w:hAnsi="仿宋" w:eastAsia="仿宋_GB2312" w:cs="仿宋"/>
                <w:kern w:val="0"/>
                <w:sz w:val="24"/>
              </w:rPr>
            </w:pPr>
            <w:r>
              <w:rPr>
                <w:rFonts w:hint="eastAsia" w:ascii="仿宋_GB2312" w:hAnsi="仿宋" w:eastAsia="仿宋_GB2312" w:cs="仿宋"/>
                <w:kern w:val="0"/>
                <w:sz w:val="24"/>
              </w:rPr>
              <w:t>县政府办公室</w:t>
            </w:r>
          </w:p>
          <w:p>
            <w:pPr>
              <w:spacing w:line="340" w:lineRule="exact"/>
              <w:jc w:val="center"/>
              <w:rPr>
                <w:rFonts w:ascii="仿宋_GB2312" w:hAnsi="仿宋" w:eastAsia="仿宋_GB2312" w:cs="仿宋"/>
                <w:kern w:val="0"/>
                <w:sz w:val="24"/>
              </w:rPr>
            </w:pPr>
            <w:r>
              <w:rPr>
                <w:rFonts w:hint="eastAsia" w:ascii="仿宋_GB2312" w:hAnsi="仿宋" w:eastAsia="仿宋_GB2312" w:cs="仿宋"/>
                <w:kern w:val="0"/>
                <w:sz w:val="24"/>
              </w:rPr>
              <w:t>县委依法治县办</w:t>
            </w:r>
          </w:p>
        </w:tc>
        <w:tc>
          <w:tcPr>
            <w:tcW w:w="2431" w:type="dxa"/>
            <w:noWrap w:val="0"/>
            <w:vAlign w:val="center"/>
          </w:tcPr>
          <w:p>
            <w:pPr>
              <w:spacing w:line="340" w:lineRule="exact"/>
              <w:jc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40" w:lineRule="exact"/>
              <w:jc w:val="left"/>
              <w:rPr>
                <w:rFonts w:ascii="仿宋_GB2312" w:hAnsi="仿宋_GB2312" w:eastAsia="仿宋_GB2312" w:cs="仿宋_GB2312"/>
                <w:sz w:val="24"/>
              </w:rPr>
            </w:pPr>
          </w:p>
        </w:tc>
        <w:tc>
          <w:tcPr>
            <w:tcW w:w="875" w:type="dxa"/>
            <w:noWrap w:val="0"/>
            <w:vAlign w:val="center"/>
          </w:tcPr>
          <w:p>
            <w:pPr>
              <w:spacing w:line="400" w:lineRule="exact"/>
              <w:rPr>
                <w:rFonts w:ascii="仿宋_GB2312" w:hAnsi="仿宋_GB2312" w:eastAsia="仿宋_GB2312" w:cs="仿宋_GB2312"/>
                <w:sz w:val="24"/>
              </w:rPr>
            </w:pPr>
            <w:r>
              <w:rPr>
                <w:rFonts w:hint="eastAsia" w:ascii="楷体_GB2312" w:hAnsi="楷体_GB2312" w:eastAsia="楷体_GB2312" w:cs="楷体_GB2312"/>
                <w:kern w:val="0"/>
                <w:sz w:val="24"/>
              </w:rPr>
              <w:t>完善法治政府建设推进机制</w:t>
            </w:r>
          </w:p>
        </w:tc>
        <w:tc>
          <w:tcPr>
            <w:tcW w:w="490" w:type="dxa"/>
            <w:noWrap w:val="0"/>
            <w:vAlign w:val="center"/>
          </w:tcPr>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68</w:t>
            </w:r>
          </w:p>
        </w:tc>
        <w:tc>
          <w:tcPr>
            <w:tcW w:w="6303" w:type="dxa"/>
            <w:noWrap w:val="0"/>
            <w:vAlign w:val="top"/>
          </w:tcPr>
          <w:p>
            <w:pPr>
              <w:widowControl/>
              <w:spacing w:line="34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深入推进法治政府建设督察工作，2025年前实现对全县各级政府督察全覆盖。扎实做好法治政府建设示范创建活动，以创建促提升、以示范带发展，加强对法治政府建设薄弱地区和基层单位的指导、督促，不断激发法治政府建设的内生动力。严格执行法治政府建设年度报告制度，按时向社会公开。建立健全法治政府建设责任落实督察体系，实现对各类责任主体履行职责动态全方位督促推进。完善法治政府建设重点工作指引、提醒、警示清单和督办制度，形成系统高效的法治政府建设督察工作机制。紧盯法治政府建设重点领域关键环节，组织开展专项督察。</w:t>
            </w:r>
          </w:p>
        </w:tc>
        <w:tc>
          <w:tcPr>
            <w:tcW w:w="2967" w:type="dxa"/>
            <w:noWrap w:val="0"/>
            <w:vAlign w:val="center"/>
          </w:tcPr>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县委依法治县办</w:t>
            </w:r>
          </w:p>
          <w:p>
            <w:pPr>
              <w:widowControl/>
              <w:spacing w:line="34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县依法行政办</w:t>
            </w:r>
          </w:p>
        </w:tc>
        <w:tc>
          <w:tcPr>
            <w:tcW w:w="2431" w:type="dxa"/>
            <w:noWrap w:val="0"/>
            <w:vAlign w:val="center"/>
          </w:tcPr>
          <w:p>
            <w:pPr>
              <w:widowControl/>
              <w:spacing w:line="34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33"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九、全面加强党的领导为法治政府建设提供坚强保证</w:t>
            </w:r>
          </w:p>
        </w:tc>
        <w:tc>
          <w:tcPr>
            <w:tcW w:w="875" w:type="dxa"/>
            <w:noWrap w:val="0"/>
            <w:vAlign w:val="center"/>
          </w:tcPr>
          <w:p>
            <w:pPr>
              <w:spacing w:line="400" w:lineRule="exact"/>
              <w:rPr>
                <w:rFonts w:ascii="仿宋_GB2312" w:hAnsi="仿宋_GB2312" w:eastAsia="仿宋_GB2312" w:cs="仿宋_GB2312"/>
                <w:sz w:val="24"/>
              </w:rPr>
            </w:pPr>
            <w:r>
              <w:rPr>
                <w:rFonts w:hint="eastAsia" w:ascii="楷体_GB2312" w:hAnsi="楷体_GB2312" w:eastAsia="楷体_GB2312" w:cs="楷体_GB2312"/>
                <w:kern w:val="0"/>
                <w:sz w:val="24"/>
              </w:rPr>
              <w:t>完善法治政府建设推进机制</w:t>
            </w:r>
          </w:p>
        </w:tc>
        <w:tc>
          <w:tcPr>
            <w:tcW w:w="490" w:type="dxa"/>
            <w:noWrap w:val="0"/>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sz w:val="24"/>
              </w:rPr>
              <w:t>69</w:t>
            </w:r>
          </w:p>
        </w:tc>
        <w:tc>
          <w:tcPr>
            <w:tcW w:w="6303" w:type="dxa"/>
            <w:noWrap w:val="0"/>
            <w:vAlign w:val="center"/>
          </w:tcPr>
          <w:p>
            <w:pPr>
              <w:widowControl/>
              <w:spacing w:line="40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优化考核指标，围绕法治政府建设的薄弱环节和重点工作设置考核指标。坚持将法治政府建设情况纳入政府年度目标管理绩效考核，推进领导班子和党政主要负责人“述法”工作，纳入领导班子和领导干部综合考核，提升考核权重。</w:t>
            </w:r>
          </w:p>
        </w:tc>
        <w:tc>
          <w:tcPr>
            <w:tcW w:w="2967" w:type="dxa"/>
            <w:noWrap w:val="0"/>
            <w:vAlign w:val="center"/>
          </w:tcPr>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县委组织部</w:t>
            </w:r>
          </w:p>
          <w:p>
            <w:pPr>
              <w:widowControl/>
              <w:spacing w:line="40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县督查考核中心</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县委依法治县办</w:t>
            </w:r>
          </w:p>
        </w:tc>
        <w:tc>
          <w:tcPr>
            <w:tcW w:w="2431" w:type="dxa"/>
            <w:noWrap w:val="0"/>
            <w:vAlign w:val="center"/>
          </w:tcPr>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各乡镇党委和政府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22" w:hRule="atLeast"/>
          <w:jc w:val="center"/>
        </w:trPr>
        <w:tc>
          <w:tcPr>
            <w:tcW w:w="850" w:type="dxa"/>
            <w:vMerge w:val="continue"/>
            <w:noWrap w:val="0"/>
            <w:vAlign w:val="center"/>
          </w:tcPr>
          <w:p>
            <w:pPr>
              <w:spacing w:line="400" w:lineRule="exact"/>
              <w:jc w:val="left"/>
              <w:rPr>
                <w:rFonts w:ascii="仿宋_GB2312" w:hAnsi="仿宋_GB2312" w:eastAsia="仿宋_GB2312" w:cs="仿宋_GB2312"/>
                <w:sz w:val="24"/>
              </w:rPr>
            </w:pPr>
          </w:p>
        </w:tc>
        <w:tc>
          <w:tcPr>
            <w:tcW w:w="875" w:type="dxa"/>
            <w:vMerge w:val="restart"/>
            <w:noWrap w:val="0"/>
            <w:vAlign w:val="center"/>
          </w:tcPr>
          <w:p>
            <w:pPr>
              <w:spacing w:line="400" w:lineRule="exact"/>
              <w:rPr>
                <w:rFonts w:ascii="楷体_GB2312" w:hAnsi="仿宋_GB2312" w:eastAsia="楷体_GB2312" w:cs="仿宋_GB2312"/>
                <w:sz w:val="24"/>
              </w:rPr>
            </w:pPr>
            <w:r>
              <w:rPr>
                <w:rFonts w:hint="eastAsia" w:ascii="楷体_GB2312" w:hAnsi="楷体_GB2312" w:eastAsia="楷体_GB2312" w:cs="楷体_GB2312"/>
                <w:kern w:val="0"/>
                <w:sz w:val="24"/>
              </w:rPr>
              <w:t>全面加强依法行政能力建设</w:t>
            </w:r>
          </w:p>
        </w:tc>
        <w:tc>
          <w:tcPr>
            <w:tcW w:w="490" w:type="dxa"/>
            <w:noWrap w:val="0"/>
            <w:vAlign w:val="center"/>
          </w:tcPr>
          <w:p>
            <w:pPr>
              <w:widowControl/>
              <w:spacing w:line="40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70</w:t>
            </w:r>
          </w:p>
        </w:tc>
        <w:tc>
          <w:tcPr>
            <w:tcW w:w="6303" w:type="dxa"/>
            <w:noWrap w:val="0"/>
            <w:vAlign w:val="center"/>
          </w:tcPr>
          <w:p>
            <w:pPr>
              <w:widowControl/>
              <w:spacing w:line="40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推动行政机关负责人带头遵守执行宪法法律，建立行政机关工作人员应知应会法律法规清单。</w:t>
            </w:r>
          </w:p>
        </w:tc>
        <w:tc>
          <w:tcPr>
            <w:tcW w:w="2967" w:type="dxa"/>
            <w:noWrap w:val="0"/>
            <w:vAlign w:val="center"/>
          </w:tcPr>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县委依法治县办</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县依法行政办</w:t>
            </w:r>
          </w:p>
        </w:tc>
        <w:tc>
          <w:tcPr>
            <w:tcW w:w="2431" w:type="dxa"/>
            <w:noWrap w:val="0"/>
            <w:vAlign w:val="center"/>
          </w:tcPr>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县政府各部门</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03" w:hRule="atLeast"/>
          <w:jc w:val="center"/>
        </w:trPr>
        <w:tc>
          <w:tcPr>
            <w:tcW w:w="850" w:type="dxa"/>
            <w:vMerge w:val="continue"/>
            <w:noWrap w:val="0"/>
            <w:vAlign w:val="center"/>
          </w:tcPr>
          <w:p>
            <w:pPr>
              <w:spacing w:line="400" w:lineRule="exact"/>
              <w:rPr>
                <w:rFonts w:ascii="仿宋_GB2312" w:hAnsi="黑体" w:eastAsia="仿宋_GB2312" w:cs="黑体"/>
                <w:sz w:val="24"/>
              </w:rPr>
            </w:pPr>
          </w:p>
        </w:tc>
        <w:tc>
          <w:tcPr>
            <w:tcW w:w="875" w:type="dxa"/>
            <w:vMerge w:val="continue"/>
            <w:noWrap w:val="0"/>
            <w:vAlign w:val="center"/>
          </w:tcPr>
          <w:p>
            <w:pPr>
              <w:spacing w:line="400" w:lineRule="exact"/>
              <w:rPr>
                <w:rFonts w:ascii="仿宋_GB2312" w:hAnsi="楷体" w:eastAsia="仿宋_GB2312" w:cs="楷体"/>
                <w:sz w:val="24"/>
              </w:rPr>
            </w:pPr>
          </w:p>
        </w:tc>
        <w:tc>
          <w:tcPr>
            <w:tcW w:w="490" w:type="dxa"/>
            <w:noWrap w:val="0"/>
            <w:vAlign w:val="center"/>
          </w:tcPr>
          <w:p>
            <w:pPr>
              <w:widowControl/>
              <w:spacing w:line="40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71</w:t>
            </w:r>
          </w:p>
        </w:tc>
        <w:tc>
          <w:tcPr>
            <w:tcW w:w="6303" w:type="dxa"/>
            <w:noWrap w:val="0"/>
            <w:vAlign w:val="center"/>
          </w:tcPr>
          <w:p>
            <w:pPr>
              <w:widowControl/>
              <w:spacing w:line="40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坚持把民法典作为行政决策、行政管理、行政监督的重要标尺，不得违背法律法规随意作出减损公民、法人和其他组织合法权益或增加其义务的决定。</w:t>
            </w:r>
          </w:p>
        </w:tc>
        <w:tc>
          <w:tcPr>
            <w:tcW w:w="2967" w:type="dxa"/>
            <w:noWrap w:val="0"/>
            <w:vAlign w:val="center"/>
          </w:tcPr>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县政府各部门</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c>
          <w:tcPr>
            <w:tcW w:w="2431" w:type="dxa"/>
            <w:noWrap w:val="0"/>
            <w:vAlign w:val="center"/>
          </w:tcPr>
          <w:p>
            <w:pPr>
              <w:widowControl/>
              <w:spacing w:line="40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400" w:lineRule="exact"/>
              <w:rPr>
                <w:rFonts w:ascii="仿宋_GB2312" w:hAnsi="黑体" w:eastAsia="仿宋_GB2312" w:cs="黑体"/>
                <w:sz w:val="24"/>
              </w:rPr>
            </w:pPr>
          </w:p>
        </w:tc>
        <w:tc>
          <w:tcPr>
            <w:tcW w:w="875" w:type="dxa"/>
            <w:vMerge w:val="continue"/>
            <w:noWrap w:val="0"/>
            <w:vAlign w:val="center"/>
          </w:tcPr>
          <w:p>
            <w:pPr>
              <w:spacing w:line="400" w:lineRule="exact"/>
              <w:rPr>
                <w:rFonts w:ascii="仿宋_GB2312" w:hAnsi="楷体" w:eastAsia="仿宋_GB2312" w:cs="楷体"/>
                <w:sz w:val="24"/>
              </w:rPr>
            </w:pPr>
          </w:p>
        </w:tc>
        <w:tc>
          <w:tcPr>
            <w:tcW w:w="490" w:type="dxa"/>
            <w:noWrap w:val="0"/>
            <w:vAlign w:val="center"/>
          </w:tcPr>
          <w:p>
            <w:pPr>
              <w:widowControl/>
              <w:spacing w:line="40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72</w:t>
            </w:r>
          </w:p>
        </w:tc>
        <w:tc>
          <w:tcPr>
            <w:tcW w:w="6303" w:type="dxa"/>
            <w:noWrap w:val="0"/>
            <w:vAlign w:val="center"/>
          </w:tcPr>
          <w:p>
            <w:pPr>
              <w:widowControl/>
              <w:spacing w:line="40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健全领导干部学法用法机制，县政府各部门根据职能开展本部门本系统法治专题培训，县政府负责本地区领导干部法治专题培训，各级政府领导班子每年应当举办两期以上法治专题讲座。县政府承担行政执法职能的部门负责人任期内至少接受一次法治专题脱产培训。</w:t>
            </w:r>
          </w:p>
        </w:tc>
        <w:tc>
          <w:tcPr>
            <w:tcW w:w="2967" w:type="dxa"/>
            <w:noWrap w:val="0"/>
            <w:vAlign w:val="center"/>
          </w:tcPr>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县依法行政办</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县委组织部</w:t>
            </w:r>
          </w:p>
        </w:tc>
        <w:tc>
          <w:tcPr>
            <w:tcW w:w="2431" w:type="dxa"/>
            <w:noWrap w:val="0"/>
            <w:vAlign w:val="center"/>
          </w:tcPr>
          <w:p>
            <w:pPr>
              <w:widowControl/>
              <w:spacing w:line="40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400" w:lineRule="exact"/>
              <w:rPr>
                <w:rFonts w:ascii="仿宋_GB2312" w:hAnsi="黑体" w:eastAsia="仿宋_GB2312" w:cs="黑体"/>
                <w:sz w:val="24"/>
              </w:rPr>
            </w:pPr>
          </w:p>
        </w:tc>
        <w:tc>
          <w:tcPr>
            <w:tcW w:w="875" w:type="dxa"/>
            <w:vMerge w:val="continue"/>
            <w:noWrap w:val="0"/>
            <w:vAlign w:val="center"/>
          </w:tcPr>
          <w:p>
            <w:pPr>
              <w:spacing w:line="400" w:lineRule="exact"/>
              <w:rPr>
                <w:rFonts w:ascii="仿宋_GB2312" w:hAnsi="楷体" w:eastAsia="仿宋_GB2312" w:cs="楷体"/>
                <w:sz w:val="24"/>
              </w:rPr>
            </w:pPr>
          </w:p>
        </w:tc>
        <w:tc>
          <w:tcPr>
            <w:tcW w:w="490" w:type="dxa"/>
            <w:noWrap w:val="0"/>
            <w:vAlign w:val="center"/>
          </w:tcPr>
          <w:p>
            <w:pPr>
              <w:widowControl/>
              <w:spacing w:line="40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73</w:t>
            </w:r>
          </w:p>
        </w:tc>
        <w:tc>
          <w:tcPr>
            <w:tcW w:w="6303" w:type="dxa"/>
            <w:noWrap w:val="0"/>
            <w:vAlign w:val="center"/>
          </w:tcPr>
          <w:p>
            <w:pPr>
              <w:widowControl/>
              <w:spacing w:line="40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加强各部门和乡镇政府法治机构建设，优化基层司法所职能定位，保障人员力量、经费等与其职责任务相适应。</w:t>
            </w:r>
          </w:p>
        </w:tc>
        <w:tc>
          <w:tcPr>
            <w:tcW w:w="2967" w:type="dxa"/>
            <w:noWrap w:val="0"/>
            <w:vAlign w:val="center"/>
          </w:tcPr>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县委组织部</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县委编办</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县委依法治县办</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县财政局</w:t>
            </w:r>
          </w:p>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40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11"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九、全面加强党的领导为法治政府建设提供坚强保证</w:t>
            </w:r>
          </w:p>
        </w:tc>
        <w:tc>
          <w:tcPr>
            <w:tcW w:w="875" w:type="dxa"/>
            <w:vMerge w:val="restart"/>
            <w:noWrap w:val="0"/>
            <w:vAlign w:val="center"/>
          </w:tcPr>
          <w:p>
            <w:pPr>
              <w:spacing w:line="360" w:lineRule="exact"/>
              <w:rPr>
                <w:rFonts w:ascii="仿宋_GB2312" w:hAnsi="楷体" w:eastAsia="仿宋_GB2312" w:cs="楷体"/>
                <w:sz w:val="24"/>
              </w:rPr>
            </w:pPr>
            <w:r>
              <w:rPr>
                <w:rFonts w:hint="eastAsia" w:ascii="楷体_GB2312" w:hAnsi="楷体" w:eastAsia="楷体_GB2312" w:cs="楷体"/>
                <w:sz w:val="24"/>
              </w:rPr>
              <w:t>全面加强依法行政能力建设</w:t>
            </w: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74</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全面落实全县国家工作人员学法用法制度。强化国家工作人员法治培训，把法治教育纳入各级政府工作人员任职培训的必训内容。</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县委组织部</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各乡镇党委和政府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59"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 w:eastAsia="仿宋_GB2312" w:cs="楷体"/>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75</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鼓励和支持政府部门法治机构人员通过国家统一法律职业资格考试。</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县政府各部门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99"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 w:eastAsia="仿宋_GB2312" w:cs="楷体"/>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76</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对在法治政府建设中作出突出贡献的单位和个人，按规定给予表彰奖励。</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县人力资源社会保障局</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县委组织部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31"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 w:eastAsia="仿宋_GB2312" w:cs="楷体"/>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77</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加强行政执法队伍专业化职业化建设，在完成政治理论教育和党性教育学时的基础上，确保每人每年接受不少于60学时的业务知识和法律法规培训。采取多种形式加强基层行政执法队伍能力建设。</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县政府各有关部门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各乡镇党委和政府</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24"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 w:eastAsia="仿宋_GB2312" w:cs="楷体"/>
                <w:sz w:val="24"/>
              </w:rPr>
            </w:pP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78</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加强法律顾问和公职律师队伍建设，提升法律顾问和公职律师参与重大决策的能力水平。加强行政裁决工作队伍建设。</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restart"/>
            <w:noWrap w:val="0"/>
            <w:vAlign w:val="center"/>
          </w:tcPr>
          <w:p>
            <w:pPr>
              <w:spacing w:line="330" w:lineRule="exact"/>
              <w:jc w:val="left"/>
              <w:textAlignment w:val="top"/>
              <w:rPr>
                <w:rFonts w:ascii="仿宋_GB2312" w:hAnsi="黑体" w:eastAsia="仿宋_GB2312" w:cs="黑体"/>
                <w:sz w:val="24"/>
              </w:rPr>
            </w:pPr>
            <w:r>
              <w:rPr>
                <w:rFonts w:hint="eastAsia" w:ascii="黑体" w:hAnsi="黑体" w:eastAsia="黑体" w:cs="黑体"/>
                <w:kern w:val="0"/>
                <w:sz w:val="24"/>
              </w:rPr>
              <w:t>九、全面加强党的领导为法治政府建设提供坚强保证</w:t>
            </w:r>
          </w:p>
        </w:tc>
        <w:tc>
          <w:tcPr>
            <w:tcW w:w="875" w:type="dxa"/>
            <w:vMerge w:val="restart"/>
            <w:noWrap w:val="0"/>
            <w:vAlign w:val="center"/>
          </w:tcPr>
          <w:p>
            <w:pPr>
              <w:spacing w:line="360" w:lineRule="exact"/>
              <w:rPr>
                <w:rFonts w:ascii="楷体_GB2312" w:hAnsi="楷体" w:eastAsia="楷体_GB2312" w:cs="楷体"/>
                <w:sz w:val="24"/>
              </w:rPr>
            </w:pPr>
            <w:r>
              <w:rPr>
                <w:rFonts w:hint="eastAsia" w:ascii="楷体_GB2312" w:hAnsi="楷体" w:eastAsia="楷体_GB2312" w:cs="楷体"/>
                <w:sz w:val="24"/>
              </w:rPr>
              <w:t>加强理论研究和舆论宣传</w:t>
            </w:r>
          </w:p>
        </w:tc>
        <w:tc>
          <w:tcPr>
            <w:tcW w:w="490"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79</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加强中国特色社会主义法治政府理论研究，深入开展研究阐释，为强化法治政府建设提供学理支撑和决策参考。</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县委依法治县办</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县委宣传部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县委党校</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县法学会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 w:eastAsia="仿宋_GB2312" w:cs="楷体"/>
                <w:sz w:val="24"/>
              </w:rPr>
            </w:pPr>
          </w:p>
        </w:tc>
        <w:tc>
          <w:tcPr>
            <w:tcW w:w="490" w:type="dxa"/>
            <w:noWrap w:val="0"/>
            <w:vAlign w:val="center"/>
          </w:tcPr>
          <w:p>
            <w:pPr>
              <w:widowControl/>
              <w:spacing w:line="36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80</w:t>
            </w:r>
          </w:p>
        </w:tc>
        <w:tc>
          <w:tcPr>
            <w:tcW w:w="6303" w:type="dxa"/>
            <w:noWrap w:val="0"/>
            <w:vAlign w:val="center"/>
          </w:tcPr>
          <w:p>
            <w:pPr>
              <w:widowControl/>
              <w:spacing w:line="360" w:lineRule="exact"/>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建立法治政府建设评估专家库，进一步整合相关部门、法学会、高校、社会智力资源等，形成专家团队，提升评估专业化水平。</w:t>
            </w:r>
          </w:p>
        </w:tc>
        <w:tc>
          <w:tcPr>
            <w:tcW w:w="2967" w:type="dxa"/>
            <w:noWrap w:val="0"/>
            <w:vAlign w:val="center"/>
          </w:tcPr>
          <w:p>
            <w:pPr>
              <w:widowControl/>
              <w:spacing w:line="36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县委依法治县办</w:t>
            </w:r>
          </w:p>
          <w:p>
            <w:pPr>
              <w:widowControl/>
              <w:spacing w:line="36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850" w:type="dxa"/>
            <w:vMerge w:val="continue"/>
            <w:noWrap w:val="0"/>
            <w:vAlign w:val="center"/>
          </w:tcPr>
          <w:p>
            <w:pPr>
              <w:spacing w:line="360" w:lineRule="exact"/>
              <w:rPr>
                <w:rFonts w:ascii="仿宋_GB2312" w:hAnsi="黑体" w:eastAsia="仿宋_GB2312" w:cs="黑体"/>
                <w:sz w:val="24"/>
              </w:rPr>
            </w:pPr>
          </w:p>
        </w:tc>
        <w:tc>
          <w:tcPr>
            <w:tcW w:w="875" w:type="dxa"/>
            <w:vMerge w:val="continue"/>
            <w:noWrap w:val="0"/>
            <w:vAlign w:val="center"/>
          </w:tcPr>
          <w:p>
            <w:pPr>
              <w:spacing w:line="360" w:lineRule="exact"/>
              <w:rPr>
                <w:rFonts w:ascii="仿宋_GB2312" w:hAnsi="楷体" w:eastAsia="仿宋_GB2312" w:cs="楷体"/>
                <w:sz w:val="24"/>
              </w:rPr>
            </w:pPr>
          </w:p>
        </w:tc>
        <w:tc>
          <w:tcPr>
            <w:tcW w:w="490" w:type="dxa"/>
            <w:noWrap w:val="0"/>
            <w:vAlign w:val="center"/>
          </w:tcPr>
          <w:p>
            <w:pPr>
              <w:widowControl/>
              <w:spacing w:line="360" w:lineRule="exact"/>
              <w:jc w:val="center"/>
              <w:textAlignment w:val="center"/>
              <w:rPr>
                <w:rFonts w:hint="eastAsia" w:ascii="仿宋_GB2312" w:hAnsi="仿宋" w:eastAsia="仿宋_GB2312" w:cs="仿宋"/>
                <w:kern w:val="0"/>
                <w:sz w:val="24"/>
              </w:rPr>
            </w:pPr>
            <w:r>
              <w:rPr>
                <w:rFonts w:hint="eastAsia" w:ascii="仿宋_GB2312" w:hAnsi="仿宋" w:eastAsia="仿宋_GB2312" w:cs="仿宋"/>
                <w:kern w:val="0"/>
                <w:sz w:val="24"/>
              </w:rPr>
              <w:t>81</w:t>
            </w:r>
          </w:p>
        </w:tc>
        <w:tc>
          <w:tcPr>
            <w:tcW w:w="6303" w:type="dxa"/>
            <w:noWrap w:val="0"/>
            <w:vAlign w:val="center"/>
          </w:tcPr>
          <w:p>
            <w:pPr>
              <w:widowControl/>
              <w:spacing w:line="360" w:lineRule="exact"/>
              <w:textAlignment w:val="center"/>
              <w:rPr>
                <w:rFonts w:ascii="仿宋_GB2312" w:hAnsi="仿宋" w:eastAsia="仿宋_GB2312" w:cs="仿宋"/>
                <w:kern w:val="0"/>
                <w:sz w:val="24"/>
              </w:rPr>
            </w:pPr>
            <w:r>
              <w:rPr>
                <w:rFonts w:hint="eastAsia" w:ascii="仿宋_GB2312" w:hAnsi="仿宋" w:eastAsia="仿宋_GB2312" w:cs="仿宋"/>
                <w:kern w:val="0"/>
                <w:sz w:val="24"/>
              </w:rPr>
              <w:t>加大法治政府建设成就经验宣传力度，加强正面宣传引导，以报刊、广播、电视、网络、新媒体等为主要平台，加强传播手段建设与创新，通过个性化制作、可视化呈现、互动化传播的方式，广泛宣传法治政府建设目标任务、工作部署、先进经验、典型做法，积极营造法治政府建设良好社会氛围。</w:t>
            </w:r>
          </w:p>
        </w:tc>
        <w:tc>
          <w:tcPr>
            <w:tcW w:w="2967"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县委宣传部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县委依法治县办</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县司法局</w:t>
            </w:r>
          </w:p>
        </w:tc>
        <w:tc>
          <w:tcPr>
            <w:tcW w:w="2431" w:type="dxa"/>
            <w:noWrap w:val="0"/>
            <w:vAlign w:val="center"/>
          </w:tcPr>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县政府有关部门</w:t>
            </w:r>
          </w:p>
          <w:p>
            <w:pPr>
              <w:widowControl/>
              <w:spacing w:line="36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各县区政府</w:t>
            </w:r>
          </w:p>
        </w:tc>
      </w:tr>
    </w:tbl>
    <w:p>
      <w:pPr>
        <w:spacing w:line="560" w:lineRule="exact"/>
        <w:rPr>
          <w:rFonts w:ascii="仿宋_GB2312" w:eastAsia="仿宋_GB2312"/>
          <w:sz w:val="32"/>
          <w:szCs w:val="32"/>
        </w:rPr>
      </w:pPr>
    </w:p>
    <w:p/>
    <w:sectPr>
      <w:pgSz w:w="16838" w:h="11906" w:orient="landscape"/>
      <w:pgMar w:top="1531" w:right="1418" w:bottom="1531"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B579B"/>
    <w:rsid w:val="00033566"/>
    <w:rsid w:val="0008673F"/>
    <w:rsid w:val="00100551"/>
    <w:rsid w:val="00163924"/>
    <w:rsid w:val="001D3815"/>
    <w:rsid w:val="004636FB"/>
    <w:rsid w:val="004E715A"/>
    <w:rsid w:val="00643079"/>
    <w:rsid w:val="006F6868"/>
    <w:rsid w:val="00703267"/>
    <w:rsid w:val="008F3B7E"/>
    <w:rsid w:val="00925A43"/>
    <w:rsid w:val="00A03612"/>
    <w:rsid w:val="00AE634D"/>
    <w:rsid w:val="00BB6A6A"/>
    <w:rsid w:val="00C62BF7"/>
    <w:rsid w:val="00CB1DEA"/>
    <w:rsid w:val="00CF62F8"/>
    <w:rsid w:val="00D32351"/>
    <w:rsid w:val="00E55244"/>
    <w:rsid w:val="00E85B27"/>
    <w:rsid w:val="00EF37A6"/>
    <w:rsid w:val="010A552E"/>
    <w:rsid w:val="01147469"/>
    <w:rsid w:val="01151947"/>
    <w:rsid w:val="01193FF7"/>
    <w:rsid w:val="01211858"/>
    <w:rsid w:val="01260E84"/>
    <w:rsid w:val="012B7F9B"/>
    <w:rsid w:val="014162B5"/>
    <w:rsid w:val="01624CA3"/>
    <w:rsid w:val="016A388E"/>
    <w:rsid w:val="01706DE9"/>
    <w:rsid w:val="017336A7"/>
    <w:rsid w:val="018A20CA"/>
    <w:rsid w:val="01963EE2"/>
    <w:rsid w:val="01980C81"/>
    <w:rsid w:val="01A0163C"/>
    <w:rsid w:val="01B7525E"/>
    <w:rsid w:val="01D23F02"/>
    <w:rsid w:val="01EE1B66"/>
    <w:rsid w:val="01FA330C"/>
    <w:rsid w:val="0225384D"/>
    <w:rsid w:val="022B696C"/>
    <w:rsid w:val="022E508E"/>
    <w:rsid w:val="024C4782"/>
    <w:rsid w:val="0256645D"/>
    <w:rsid w:val="02656F21"/>
    <w:rsid w:val="0277389C"/>
    <w:rsid w:val="028238C3"/>
    <w:rsid w:val="028B0176"/>
    <w:rsid w:val="02A77869"/>
    <w:rsid w:val="02B13AE5"/>
    <w:rsid w:val="02BC1A1D"/>
    <w:rsid w:val="02CA1A21"/>
    <w:rsid w:val="02DC3AED"/>
    <w:rsid w:val="02DE5F04"/>
    <w:rsid w:val="02E6154B"/>
    <w:rsid w:val="03052379"/>
    <w:rsid w:val="030F001A"/>
    <w:rsid w:val="03107FE4"/>
    <w:rsid w:val="03204273"/>
    <w:rsid w:val="032B231A"/>
    <w:rsid w:val="032E337B"/>
    <w:rsid w:val="034326E5"/>
    <w:rsid w:val="03442D54"/>
    <w:rsid w:val="034441C6"/>
    <w:rsid w:val="035564C5"/>
    <w:rsid w:val="035B5565"/>
    <w:rsid w:val="03674E2D"/>
    <w:rsid w:val="038B76BE"/>
    <w:rsid w:val="03912903"/>
    <w:rsid w:val="039F0578"/>
    <w:rsid w:val="03A91255"/>
    <w:rsid w:val="03C20A0F"/>
    <w:rsid w:val="03D36483"/>
    <w:rsid w:val="04081086"/>
    <w:rsid w:val="04082A8D"/>
    <w:rsid w:val="040934AC"/>
    <w:rsid w:val="04125F60"/>
    <w:rsid w:val="042C22DE"/>
    <w:rsid w:val="044844AD"/>
    <w:rsid w:val="04536C1E"/>
    <w:rsid w:val="0467646C"/>
    <w:rsid w:val="0468261B"/>
    <w:rsid w:val="0481681B"/>
    <w:rsid w:val="049D19C0"/>
    <w:rsid w:val="04A874DA"/>
    <w:rsid w:val="04BA6AD3"/>
    <w:rsid w:val="04CC706E"/>
    <w:rsid w:val="04D51D5D"/>
    <w:rsid w:val="04E040AA"/>
    <w:rsid w:val="04E750BB"/>
    <w:rsid w:val="04FD4655"/>
    <w:rsid w:val="050306A5"/>
    <w:rsid w:val="05053303"/>
    <w:rsid w:val="0506062A"/>
    <w:rsid w:val="0521382F"/>
    <w:rsid w:val="052A57AF"/>
    <w:rsid w:val="05437C5F"/>
    <w:rsid w:val="05577E48"/>
    <w:rsid w:val="05580E0B"/>
    <w:rsid w:val="055D3861"/>
    <w:rsid w:val="05635E74"/>
    <w:rsid w:val="057664D9"/>
    <w:rsid w:val="05892EA4"/>
    <w:rsid w:val="0596181C"/>
    <w:rsid w:val="05992818"/>
    <w:rsid w:val="05B06C9E"/>
    <w:rsid w:val="05CB367B"/>
    <w:rsid w:val="05D420AF"/>
    <w:rsid w:val="05DE642B"/>
    <w:rsid w:val="05E13E53"/>
    <w:rsid w:val="05E60728"/>
    <w:rsid w:val="06193AC3"/>
    <w:rsid w:val="062B2D17"/>
    <w:rsid w:val="06322478"/>
    <w:rsid w:val="064C2A93"/>
    <w:rsid w:val="066038CD"/>
    <w:rsid w:val="06675621"/>
    <w:rsid w:val="06696773"/>
    <w:rsid w:val="068D1803"/>
    <w:rsid w:val="069527C8"/>
    <w:rsid w:val="069710B4"/>
    <w:rsid w:val="06990580"/>
    <w:rsid w:val="069E0C6F"/>
    <w:rsid w:val="06A85117"/>
    <w:rsid w:val="06AE4D24"/>
    <w:rsid w:val="06C26A37"/>
    <w:rsid w:val="06C443E2"/>
    <w:rsid w:val="06CB563E"/>
    <w:rsid w:val="06CF62BB"/>
    <w:rsid w:val="06F231E2"/>
    <w:rsid w:val="06F543CC"/>
    <w:rsid w:val="06FB53ED"/>
    <w:rsid w:val="07052A2A"/>
    <w:rsid w:val="070E4AD0"/>
    <w:rsid w:val="07253DC9"/>
    <w:rsid w:val="07266235"/>
    <w:rsid w:val="07285169"/>
    <w:rsid w:val="074B3B1E"/>
    <w:rsid w:val="074F5CDA"/>
    <w:rsid w:val="07500DBF"/>
    <w:rsid w:val="0756470F"/>
    <w:rsid w:val="076D0FF0"/>
    <w:rsid w:val="07794AE3"/>
    <w:rsid w:val="077B37B8"/>
    <w:rsid w:val="077F60FD"/>
    <w:rsid w:val="079242FE"/>
    <w:rsid w:val="079D7843"/>
    <w:rsid w:val="07B33520"/>
    <w:rsid w:val="07B365AA"/>
    <w:rsid w:val="07B75E77"/>
    <w:rsid w:val="07B922E1"/>
    <w:rsid w:val="07BF637C"/>
    <w:rsid w:val="07C0732C"/>
    <w:rsid w:val="07C71DD7"/>
    <w:rsid w:val="07F36162"/>
    <w:rsid w:val="07F73829"/>
    <w:rsid w:val="08047A30"/>
    <w:rsid w:val="080974DA"/>
    <w:rsid w:val="08297A00"/>
    <w:rsid w:val="08307274"/>
    <w:rsid w:val="08307E80"/>
    <w:rsid w:val="08385DF2"/>
    <w:rsid w:val="083E54ED"/>
    <w:rsid w:val="08575EC6"/>
    <w:rsid w:val="08685EBC"/>
    <w:rsid w:val="08691E3C"/>
    <w:rsid w:val="08812CDD"/>
    <w:rsid w:val="088C4B07"/>
    <w:rsid w:val="08980335"/>
    <w:rsid w:val="08A442F4"/>
    <w:rsid w:val="08AB21E0"/>
    <w:rsid w:val="08AB4B7A"/>
    <w:rsid w:val="08B0263E"/>
    <w:rsid w:val="08B35CCB"/>
    <w:rsid w:val="08B833CE"/>
    <w:rsid w:val="08E1449C"/>
    <w:rsid w:val="08E3126B"/>
    <w:rsid w:val="08E930B9"/>
    <w:rsid w:val="0904141B"/>
    <w:rsid w:val="090B296C"/>
    <w:rsid w:val="091F162E"/>
    <w:rsid w:val="093316F9"/>
    <w:rsid w:val="09363492"/>
    <w:rsid w:val="09386AC9"/>
    <w:rsid w:val="093B72B6"/>
    <w:rsid w:val="093B7F04"/>
    <w:rsid w:val="09474160"/>
    <w:rsid w:val="095303A1"/>
    <w:rsid w:val="0963015E"/>
    <w:rsid w:val="09676245"/>
    <w:rsid w:val="096C0812"/>
    <w:rsid w:val="09796FCD"/>
    <w:rsid w:val="097B3811"/>
    <w:rsid w:val="09820508"/>
    <w:rsid w:val="09893C4A"/>
    <w:rsid w:val="09AC03CB"/>
    <w:rsid w:val="09AE18A1"/>
    <w:rsid w:val="09B3038C"/>
    <w:rsid w:val="09B85172"/>
    <w:rsid w:val="09C27054"/>
    <w:rsid w:val="09E15BD2"/>
    <w:rsid w:val="09E96B5A"/>
    <w:rsid w:val="09EF1BD6"/>
    <w:rsid w:val="09F55782"/>
    <w:rsid w:val="09F92EE6"/>
    <w:rsid w:val="09FA39DA"/>
    <w:rsid w:val="09FD7C4F"/>
    <w:rsid w:val="0A1C1D98"/>
    <w:rsid w:val="0A323EBB"/>
    <w:rsid w:val="0A487AA7"/>
    <w:rsid w:val="0A5862A6"/>
    <w:rsid w:val="0A5C7D7B"/>
    <w:rsid w:val="0A5E6122"/>
    <w:rsid w:val="0A622FE9"/>
    <w:rsid w:val="0A7915A1"/>
    <w:rsid w:val="0A9D3184"/>
    <w:rsid w:val="0A9F4820"/>
    <w:rsid w:val="0AA92639"/>
    <w:rsid w:val="0AC52E4E"/>
    <w:rsid w:val="0ACA76BC"/>
    <w:rsid w:val="0AD56F4B"/>
    <w:rsid w:val="0B081775"/>
    <w:rsid w:val="0B284511"/>
    <w:rsid w:val="0B2A44FF"/>
    <w:rsid w:val="0B404BE7"/>
    <w:rsid w:val="0B415831"/>
    <w:rsid w:val="0B47221E"/>
    <w:rsid w:val="0B5C5509"/>
    <w:rsid w:val="0B625C3E"/>
    <w:rsid w:val="0B7057C1"/>
    <w:rsid w:val="0B7450CF"/>
    <w:rsid w:val="0B810CB5"/>
    <w:rsid w:val="0B815A86"/>
    <w:rsid w:val="0B8A403A"/>
    <w:rsid w:val="0B913AB7"/>
    <w:rsid w:val="0B934F59"/>
    <w:rsid w:val="0B98355D"/>
    <w:rsid w:val="0B9F519E"/>
    <w:rsid w:val="0BA12881"/>
    <w:rsid w:val="0BAB07F9"/>
    <w:rsid w:val="0BAE7EED"/>
    <w:rsid w:val="0BB70661"/>
    <w:rsid w:val="0BCF3795"/>
    <w:rsid w:val="0BE45FA9"/>
    <w:rsid w:val="0BE9362F"/>
    <w:rsid w:val="0C074B60"/>
    <w:rsid w:val="0C1E2485"/>
    <w:rsid w:val="0C1F1C62"/>
    <w:rsid w:val="0C2140C9"/>
    <w:rsid w:val="0C291A6D"/>
    <w:rsid w:val="0C313E2C"/>
    <w:rsid w:val="0C341390"/>
    <w:rsid w:val="0C372D11"/>
    <w:rsid w:val="0C3B1A3A"/>
    <w:rsid w:val="0C3D4F73"/>
    <w:rsid w:val="0C6C2C42"/>
    <w:rsid w:val="0C6E4599"/>
    <w:rsid w:val="0C720A91"/>
    <w:rsid w:val="0C7768D1"/>
    <w:rsid w:val="0C7C60F5"/>
    <w:rsid w:val="0C8044E7"/>
    <w:rsid w:val="0C8A23AA"/>
    <w:rsid w:val="0C942F23"/>
    <w:rsid w:val="0C967424"/>
    <w:rsid w:val="0C9B3C31"/>
    <w:rsid w:val="0C9E0692"/>
    <w:rsid w:val="0CD21739"/>
    <w:rsid w:val="0CED7ED4"/>
    <w:rsid w:val="0CEE4765"/>
    <w:rsid w:val="0D1B656C"/>
    <w:rsid w:val="0D1E7FDA"/>
    <w:rsid w:val="0D295061"/>
    <w:rsid w:val="0D3935A6"/>
    <w:rsid w:val="0D40637C"/>
    <w:rsid w:val="0D4652EA"/>
    <w:rsid w:val="0D4B4BA1"/>
    <w:rsid w:val="0D4D465B"/>
    <w:rsid w:val="0D6B1823"/>
    <w:rsid w:val="0D852A0D"/>
    <w:rsid w:val="0D86647E"/>
    <w:rsid w:val="0D882FF3"/>
    <w:rsid w:val="0DA26479"/>
    <w:rsid w:val="0DAF3AE5"/>
    <w:rsid w:val="0DCC4826"/>
    <w:rsid w:val="0DD81053"/>
    <w:rsid w:val="0DEA6063"/>
    <w:rsid w:val="0DEE2D52"/>
    <w:rsid w:val="0DF17636"/>
    <w:rsid w:val="0DF46B58"/>
    <w:rsid w:val="0DFB1CE9"/>
    <w:rsid w:val="0E1E2C9E"/>
    <w:rsid w:val="0E472476"/>
    <w:rsid w:val="0E484838"/>
    <w:rsid w:val="0E4D08DE"/>
    <w:rsid w:val="0E676619"/>
    <w:rsid w:val="0E6D3136"/>
    <w:rsid w:val="0E7C0461"/>
    <w:rsid w:val="0E813CE7"/>
    <w:rsid w:val="0E866AE9"/>
    <w:rsid w:val="0E8D148F"/>
    <w:rsid w:val="0E99736A"/>
    <w:rsid w:val="0E9E4096"/>
    <w:rsid w:val="0EB9492D"/>
    <w:rsid w:val="0EC94999"/>
    <w:rsid w:val="0ECE07A8"/>
    <w:rsid w:val="0EDB29D9"/>
    <w:rsid w:val="0EE21DD1"/>
    <w:rsid w:val="0EEB22DA"/>
    <w:rsid w:val="0EF22D91"/>
    <w:rsid w:val="0EFF5468"/>
    <w:rsid w:val="0F0406CD"/>
    <w:rsid w:val="0F076467"/>
    <w:rsid w:val="0F171AA3"/>
    <w:rsid w:val="0F1C1F6A"/>
    <w:rsid w:val="0F291689"/>
    <w:rsid w:val="0F2B314F"/>
    <w:rsid w:val="0F2D34AB"/>
    <w:rsid w:val="0F340421"/>
    <w:rsid w:val="0F347AAD"/>
    <w:rsid w:val="0F3C78B7"/>
    <w:rsid w:val="0F5C161D"/>
    <w:rsid w:val="0F633220"/>
    <w:rsid w:val="0F6D5291"/>
    <w:rsid w:val="0F885035"/>
    <w:rsid w:val="0F9B610D"/>
    <w:rsid w:val="0FA41F98"/>
    <w:rsid w:val="0FA5683E"/>
    <w:rsid w:val="0FA61355"/>
    <w:rsid w:val="0FC0438F"/>
    <w:rsid w:val="0FC2340E"/>
    <w:rsid w:val="0FC6149F"/>
    <w:rsid w:val="0FD256A7"/>
    <w:rsid w:val="0FDB590F"/>
    <w:rsid w:val="0FDC3700"/>
    <w:rsid w:val="0FED5E05"/>
    <w:rsid w:val="0FF855CB"/>
    <w:rsid w:val="0FFD6FCA"/>
    <w:rsid w:val="100D5372"/>
    <w:rsid w:val="101B7F49"/>
    <w:rsid w:val="1027722C"/>
    <w:rsid w:val="10486841"/>
    <w:rsid w:val="104A45E6"/>
    <w:rsid w:val="105328B7"/>
    <w:rsid w:val="10543CCA"/>
    <w:rsid w:val="106A7F6A"/>
    <w:rsid w:val="109B54CD"/>
    <w:rsid w:val="10A71703"/>
    <w:rsid w:val="10B145B6"/>
    <w:rsid w:val="10BA67BD"/>
    <w:rsid w:val="10EB1F68"/>
    <w:rsid w:val="10FD6E2B"/>
    <w:rsid w:val="111E359C"/>
    <w:rsid w:val="11286A9C"/>
    <w:rsid w:val="112A3972"/>
    <w:rsid w:val="112F0C1A"/>
    <w:rsid w:val="11326B43"/>
    <w:rsid w:val="1138515C"/>
    <w:rsid w:val="11390448"/>
    <w:rsid w:val="11533966"/>
    <w:rsid w:val="11596186"/>
    <w:rsid w:val="1165582A"/>
    <w:rsid w:val="116579B7"/>
    <w:rsid w:val="11992132"/>
    <w:rsid w:val="11A628D6"/>
    <w:rsid w:val="11D0337A"/>
    <w:rsid w:val="11D62CD9"/>
    <w:rsid w:val="11E8481C"/>
    <w:rsid w:val="11EF5E6F"/>
    <w:rsid w:val="11F13888"/>
    <w:rsid w:val="11FC3B27"/>
    <w:rsid w:val="11FE72D1"/>
    <w:rsid w:val="11FF75C3"/>
    <w:rsid w:val="120B48CE"/>
    <w:rsid w:val="121F546F"/>
    <w:rsid w:val="123C6268"/>
    <w:rsid w:val="1240559B"/>
    <w:rsid w:val="124C632B"/>
    <w:rsid w:val="126064F0"/>
    <w:rsid w:val="126B1709"/>
    <w:rsid w:val="126F2129"/>
    <w:rsid w:val="12725309"/>
    <w:rsid w:val="12754D04"/>
    <w:rsid w:val="127829C9"/>
    <w:rsid w:val="12974347"/>
    <w:rsid w:val="129A0A38"/>
    <w:rsid w:val="12AE0700"/>
    <w:rsid w:val="12D04E32"/>
    <w:rsid w:val="12D35242"/>
    <w:rsid w:val="12DE22FC"/>
    <w:rsid w:val="12E60DB9"/>
    <w:rsid w:val="12E90EBC"/>
    <w:rsid w:val="12F63F51"/>
    <w:rsid w:val="13014DC0"/>
    <w:rsid w:val="13077B3A"/>
    <w:rsid w:val="1312458B"/>
    <w:rsid w:val="131517DD"/>
    <w:rsid w:val="131B166A"/>
    <w:rsid w:val="131F4F7F"/>
    <w:rsid w:val="132270B7"/>
    <w:rsid w:val="132C0DE4"/>
    <w:rsid w:val="132C3747"/>
    <w:rsid w:val="13412598"/>
    <w:rsid w:val="13524C05"/>
    <w:rsid w:val="13561C05"/>
    <w:rsid w:val="1358052C"/>
    <w:rsid w:val="135831D4"/>
    <w:rsid w:val="13636049"/>
    <w:rsid w:val="137814A4"/>
    <w:rsid w:val="137C3E52"/>
    <w:rsid w:val="138411F9"/>
    <w:rsid w:val="138725C1"/>
    <w:rsid w:val="138F4329"/>
    <w:rsid w:val="139A43D2"/>
    <w:rsid w:val="13B64FF7"/>
    <w:rsid w:val="13B72627"/>
    <w:rsid w:val="13BD7351"/>
    <w:rsid w:val="13BD7FD8"/>
    <w:rsid w:val="13C75739"/>
    <w:rsid w:val="13DE223A"/>
    <w:rsid w:val="13E3425F"/>
    <w:rsid w:val="13EA657B"/>
    <w:rsid w:val="142B1A0A"/>
    <w:rsid w:val="142B4FA6"/>
    <w:rsid w:val="143B13CA"/>
    <w:rsid w:val="143F57D9"/>
    <w:rsid w:val="14432968"/>
    <w:rsid w:val="144C5A05"/>
    <w:rsid w:val="14791AF3"/>
    <w:rsid w:val="14796F60"/>
    <w:rsid w:val="14867E5F"/>
    <w:rsid w:val="148E625F"/>
    <w:rsid w:val="14965044"/>
    <w:rsid w:val="14AF2478"/>
    <w:rsid w:val="14CA0169"/>
    <w:rsid w:val="14DB3571"/>
    <w:rsid w:val="14F662DE"/>
    <w:rsid w:val="14FC7E3F"/>
    <w:rsid w:val="150259E1"/>
    <w:rsid w:val="1516129C"/>
    <w:rsid w:val="15191316"/>
    <w:rsid w:val="15260167"/>
    <w:rsid w:val="15345C6F"/>
    <w:rsid w:val="15361DA1"/>
    <w:rsid w:val="15420BB0"/>
    <w:rsid w:val="154221D1"/>
    <w:rsid w:val="154B1BA5"/>
    <w:rsid w:val="154F340E"/>
    <w:rsid w:val="15551328"/>
    <w:rsid w:val="15572396"/>
    <w:rsid w:val="15667E2E"/>
    <w:rsid w:val="15744933"/>
    <w:rsid w:val="157873EC"/>
    <w:rsid w:val="157A7787"/>
    <w:rsid w:val="157B21AC"/>
    <w:rsid w:val="157F397A"/>
    <w:rsid w:val="15900747"/>
    <w:rsid w:val="15A43062"/>
    <w:rsid w:val="15AB4B47"/>
    <w:rsid w:val="15B62CDA"/>
    <w:rsid w:val="15BD44D4"/>
    <w:rsid w:val="15C37532"/>
    <w:rsid w:val="15CA6DFD"/>
    <w:rsid w:val="15D12C3D"/>
    <w:rsid w:val="15DE6C16"/>
    <w:rsid w:val="15E80EBB"/>
    <w:rsid w:val="15F1771E"/>
    <w:rsid w:val="15F228D0"/>
    <w:rsid w:val="15F642E3"/>
    <w:rsid w:val="16013288"/>
    <w:rsid w:val="16101C0E"/>
    <w:rsid w:val="16142D29"/>
    <w:rsid w:val="16180236"/>
    <w:rsid w:val="163B18BD"/>
    <w:rsid w:val="1651112D"/>
    <w:rsid w:val="16534B94"/>
    <w:rsid w:val="16534FF6"/>
    <w:rsid w:val="16741801"/>
    <w:rsid w:val="1678080F"/>
    <w:rsid w:val="167A57AC"/>
    <w:rsid w:val="167A7F18"/>
    <w:rsid w:val="168532BE"/>
    <w:rsid w:val="168C5BF8"/>
    <w:rsid w:val="168F6B1A"/>
    <w:rsid w:val="169538B9"/>
    <w:rsid w:val="16A8742A"/>
    <w:rsid w:val="16B07032"/>
    <w:rsid w:val="16B32AF0"/>
    <w:rsid w:val="16C5762A"/>
    <w:rsid w:val="16DF213C"/>
    <w:rsid w:val="16E00EFC"/>
    <w:rsid w:val="16F04308"/>
    <w:rsid w:val="16F97271"/>
    <w:rsid w:val="16FA5833"/>
    <w:rsid w:val="170415AE"/>
    <w:rsid w:val="17047A05"/>
    <w:rsid w:val="171450A9"/>
    <w:rsid w:val="171956A0"/>
    <w:rsid w:val="17217B33"/>
    <w:rsid w:val="17292AE3"/>
    <w:rsid w:val="172A3F25"/>
    <w:rsid w:val="1738064A"/>
    <w:rsid w:val="17437928"/>
    <w:rsid w:val="174F5888"/>
    <w:rsid w:val="175C61E3"/>
    <w:rsid w:val="176C4609"/>
    <w:rsid w:val="179D080D"/>
    <w:rsid w:val="17B211E5"/>
    <w:rsid w:val="17B21CF7"/>
    <w:rsid w:val="17B33C1B"/>
    <w:rsid w:val="17B97A3B"/>
    <w:rsid w:val="17BA1F30"/>
    <w:rsid w:val="17C401D5"/>
    <w:rsid w:val="17D025AD"/>
    <w:rsid w:val="17D04FC8"/>
    <w:rsid w:val="17DB209A"/>
    <w:rsid w:val="17DC18FB"/>
    <w:rsid w:val="17DC2F5E"/>
    <w:rsid w:val="17DD38FD"/>
    <w:rsid w:val="17EE30CE"/>
    <w:rsid w:val="17F02392"/>
    <w:rsid w:val="17F02C2F"/>
    <w:rsid w:val="17F714FD"/>
    <w:rsid w:val="18001DBA"/>
    <w:rsid w:val="18100288"/>
    <w:rsid w:val="18111571"/>
    <w:rsid w:val="1811724F"/>
    <w:rsid w:val="1819791F"/>
    <w:rsid w:val="18337350"/>
    <w:rsid w:val="185E73E0"/>
    <w:rsid w:val="18600059"/>
    <w:rsid w:val="18680E24"/>
    <w:rsid w:val="186C47A6"/>
    <w:rsid w:val="186D558F"/>
    <w:rsid w:val="18953D98"/>
    <w:rsid w:val="189D750E"/>
    <w:rsid w:val="18A7402D"/>
    <w:rsid w:val="18B16615"/>
    <w:rsid w:val="18BF18F8"/>
    <w:rsid w:val="18C51511"/>
    <w:rsid w:val="18E4799D"/>
    <w:rsid w:val="18FA46D7"/>
    <w:rsid w:val="18FD1B80"/>
    <w:rsid w:val="18FD339C"/>
    <w:rsid w:val="190262AB"/>
    <w:rsid w:val="19057743"/>
    <w:rsid w:val="192744E3"/>
    <w:rsid w:val="19342175"/>
    <w:rsid w:val="1946255C"/>
    <w:rsid w:val="19493A3F"/>
    <w:rsid w:val="1965218D"/>
    <w:rsid w:val="196E7F82"/>
    <w:rsid w:val="197808F4"/>
    <w:rsid w:val="198464EE"/>
    <w:rsid w:val="19923D36"/>
    <w:rsid w:val="19976518"/>
    <w:rsid w:val="199A12F8"/>
    <w:rsid w:val="199B4852"/>
    <w:rsid w:val="19A545EC"/>
    <w:rsid w:val="19B11AE6"/>
    <w:rsid w:val="19DC1502"/>
    <w:rsid w:val="19DC507F"/>
    <w:rsid w:val="19E37837"/>
    <w:rsid w:val="19F11887"/>
    <w:rsid w:val="19F75533"/>
    <w:rsid w:val="1A1E05C1"/>
    <w:rsid w:val="1A2661CF"/>
    <w:rsid w:val="1A28702D"/>
    <w:rsid w:val="1A341298"/>
    <w:rsid w:val="1A3528E8"/>
    <w:rsid w:val="1A527113"/>
    <w:rsid w:val="1A83699D"/>
    <w:rsid w:val="1A8933E0"/>
    <w:rsid w:val="1A8A3359"/>
    <w:rsid w:val="1AC31DB3"/>
    <w:rsid w:val="1AC40E9D"/>
    <w:rsid w:val="1ACE5706"/>
    <w:rsid w:val="1AFC66CA"/>
    <w:rsid w:val="1B072A6F"/>
    <w:rsid w:val="1B0976F2"/>
    <w:rsid w:val="1B0D6494"/>
    <w:rsid w:val="1B1168CF"/>
    <w:rsid w:val="1B183F16"/>
    <w:rsid w:val="1B1D60AC"/>
    <w:rsid w:val="1B4E0A87"/>
    <w:rsid w:val="1B64025D"/>
    <w:rsid w:val="1B8216D6"/>
    <w:rsid w:val="1B926136"/>
    <w:rsid w:val="1BA55DBC"/>
    <w:rsid w:val="1BC834C5"/>
    <w:rsid w:val="1BD9018B"/>
    <w:rsid w:val="1BE3198A"/>
    <w:rsid w:val="1BED212D"/>
    <w:rsid w:val="1BF90BF7"/>
    <w:rsid w:val="1BFD4EB5"/>
    <w:rsid w:val="1C0877AC"/>
    <w:rsid w:val="1C0C3A41"/>
    <w:rsid w:val="1C120B38"/>
    <w:rsid w:val="1C220C76"/>
    <w:rsid w:val="1C237107"/>
    <w:rsid w:val="1C2A60C3"/>
    <w:rsid w:val="1C346FBA"/>
    <w:rsid w:val="1C3815AA"/>
    <w:rsid w:val="1C450575"/>
    <w:rsid w:val="1C4F35D0"/>
    <w:rsid w:val="1C591874"/>
    <w:rsid w:val="1C5C5C46"/>
    <w:rsid w:val="1C754AB7"/>
    <w:rsid w:val="1C8A7083"/>
    <w:rsid w:val="1CBA7718"/>
    <w:rsid w:val="1CC57490"/>
    <w:rsid w:val="1CC80738"/>
    <w:rsid w:val="1CC81889"/>
    <w:rsid w:val="1CC90642"/>
    <w:rsid w:val="1CC940EA"/>
    <w:rsid w:val="1CDC2FF9"/>
    <w:rsid w:val="1CE43AFE"/>
    <w:rsid w:val="1CE77951"/>
    <w:rsid w:val="1CEA3BBE"/>
    <w:rsid w:val="1CEE7828"/>
    <w:rsid w:val="1CF05193"/>
    <w:rsid w:val="1CF429FA"/>
    <w:rsid w:val="1D15728D"/>
    <w:rsid w:val="1D1F44B9"/>
    <w:rsid w:val="1D212E4F"/>
    <w:rsid w:val="1D213C17"/>
    <w:rsid w:val="1D4024AB"/>
    <w:rsid w:val="1D526AAA"/>
    <w:rsid w:val="1D5F663A"/>
    <w:rsid w:val="1D5F7D98"/>
    <w:rsid w:val="1D622D75"/>
    <w:rsid w:val="1D9740E5"/>
    <w:rsid w:val="1DA86BD4"/>
    <w:rsid w:val="1DC42B90"/>
    <w:rsid w:val="1DCC5BDC"/>
    <w:rsid w:val="1DD65302"/>
    <w:rsid w:val="1DE3051A"/>
    <w:rsid w:val="1DEC3EEB"/>
    <w:rsid w:val="1DF41F02"/>
    <w:rsid w:val="1DF64912"/>
    <w:rsid w:val="1DFD3217"/>
    <w:rsid w:val="1E010BA9"/>
    <w:rsid w:val="1E0B5E3D"/>
    <w:rsid w:val="1E133505"/>
    <w:rsid w:val="1E156FA2"/>
    <w:rsid w:val="1E1B2BBC"/>
    <w:rsid w:val="1E416C7C"/>
    <w:rsid w:val="1E481F8A"/>
    <w:rsid w:val="1E4D29CF"/>
    <w:rsid w:val="1E564E55"/>
    <w:rsid w:val="1E776D99"/>
    <w:rsid w:val="1E8D2BFE"/>
    <w:rsid w:val="1E8E06F2"/>
    <w:rsid w:val="1E911FB9"/>
    <w:rsid w:val="1EAC6DC3"/>
    <w:rsid w:val="1EB300F3"/>
    <w:rsid w:val="1EBB3DFE"/>
    <w:rsid w:val="1EC62C98"/>
    <w:rsid w:val="1EC82BDD"/>
    <w:rsid w:val="1ED334A6"/>
    <w:rsid w:val="1ED567F1"/>
    <w:rsid w:val="1ED6220B"/>
    <w:rsid w:val="1ED73FE4"/>
    <w:rsid w:val="1ED914DE"/>
    <w:rsid w:val="1EDE54C2"/>
    <w:rsid w:val="1EDF79D5"/>
    <w:rsid w:val="1EE93D3D"/>
    <w:rsid w:val="1EE97E62"/>
    <w:rsid w:val="1EEF4773"/>
    <w:rsid w:val="1EFF7619"/>
    <w:rsid w:val="1F0F6D00"/>
    <w:rsid w:val="1F1A0A5D"/>
    <w:rsid w:val="1F1C2CB2"/>
    <w:rsid w:val="1F200187"/>
    <w:rsid w:val="1F346329"/>
    <w:rsid w:val="1F431DD5"/>
    <w:rsid w:val="1F482627"/>
    <w:rsid w:val="1F573191"/>
    <w:rsid w:val="1F6F5E10"/>
    <w:rsid w:val="1F7A660C"/>
    <w:rsid w:val="1F7A6B4B"/>
    <w:rsid w:val="1F866707"/>
    <w:rsid w:val="1F936D9D"/>
    <w:rsid w:val="1FA21709"/>
    <w:rsid w:val="1FB11360"/>
    <w:rsid w:val="1FB4368C"/>
    <w:rsid w:val="1FBB58F5"/>
    <w:rsid w:val="1FC037DF"/>
    <w:rsid w:val="1FD4261F"/>
    <w:rsid w:val="1FDA499C"/>
    <w:rsid w:val="1FDB4D3D"/>
    <w:rsid w:val="1FE24FF9"/>
    <w:rsid w:val="1FE73D3D"/>
    <w:rsid w:val="1FF27124"/>
    <w:rsid w:val="1FF5579A"/>
    <w:rsid w:val="1FF82878"/>
    <w:rsid w:val="20024A27"/>
    <w:rsid w:val="20133C14"/>
    <w:rsid w:val="20160DB7"/>
    <w:rsid w:val="20170CBB"/>
    <w:rsid w:val="201D7CB6"/>
    <w:rsid w:val="20246230"/>
    <w:rsid w:val="20253FB0"/>
    <w:rsid w:val="202E686D"/>
    <w:rsid w:val="203A7D35"/>
    <w:rsid w:val="203F06E3"/>
    <w:rsid w:val="20405CA1"/>
    <w:rsid w:val="20545D41"/>
    <w:rsid w:val="2060345F"/>
    <w:rsid w:val="20806FDD"/>
    <w:rsid w:val="20835DB7"/>
    <w:rsid w:val="20985CC5"/>
    <w:rsid w:val="209F1104"/>
    <w:rsid w:val="209F3B33"/>
    <w:rsid w:val="20A1471E"/>
    <w:rsid w:val="20B077B5"/>
    <w:rsid w:val="20C32AE0"/>
    <w:rsid w:val="20CC1F62"/>
    <w:rsid w:val="20D349F1"/>
    <w:rsid w:val="20D429A6"/>
    <w:rsid w:val="20DF4377"/>
    <w:rsid w:val="20F07523"/>
    <w:rsid w:val="20F17572"/>
    <w:rsid w:val="210A536A"/>
    <w:rsid w:val="210D27AA"/>
    <w:rsid w:val="21174170"/>
    <w:rsid w:val="2121457A"/>
    <w:rsid w:val="2129040B"/>
    <w:rsid w:val="21304CE4"/>
    <w:rsid w:val="213A232C"/>
    <w:rsid w:val="213B37EC"/>
    <w:rsid w:val="213E1508"/>
    <w:rsid w:val="214109B1"/>
    <w:rsid w:val="215B4561"/>
    <w:rsid w:val="217C7E89"/>
    <w:rsid w:val="21865D5F"/>
    <w:rsid w:val="218D4144"/>
    <w:rsid w:val="218E5452"/>
    <w:rsid w:val="219D7FAD"/>
    <w:rsid w:val="21A3232A"/>
    <w:rsid w:val="21B236C6"/>
    <w:rsid w:val="21D21A0F"/>
    <w:rsid w:val="21E47951"/>
    <w:rsid w:val="21E9067C"/>
    <w:rsid w:val="21F97255"/>
    <w:rsid w:val="22016F81"/>
    <w:rsid w:val="22034FA7"/>
    <w:rsid w:val="22083028"/>
    <w:rsid w:val="220B76B2"/>
    <w:rsid w:val="22144EBB"/>
    <w:rsid w:val="221C1081"/>
    <w:rsid w:val="22250AFA"/>
    <w:rsid w:val="222F44C9"/>
    <w:rsid w:val="22385B33"/>
    <w:rsid w:val="224B5500"/>
    <w:rsid w:val="225E3337"/>
    <w:rsid w:val="225F6D72"/>
    <w:rsid w:val="22774BD5"/>
    <w:rsid w:val="22787B8E"/>
    <w:rsid w:val="22813A8E"/>
    <w:rsid w:val="228C4FE0"/>
    <w:rsid w:val="228C632E"/>
    <w:rsid w:val="228C73B5"/>
    <w:rsid w:val="229D2587"/>
    <w:rsid w:val="22A5508D"/>
    <w:rsid w:val="22B720FF"/>
    <w:rsid w:val="22C05562"/>
    <w:rsid w:val="22C27475"/>
    <w:rsid w:val="22C4426A"/>
    <w:rsid w:val="22C8295A"/>
    <w:rsid w:val="22F22927"/>
    <w:rsid w:val="2304675D"/>
    <w:rsid w:val="230858D4"/>
    <w:rsid w:val="23091B84"/>
    <w:rsid w:val="230C6CAA"/>
    <w:rsid w:val="23137DF8"/>
    <w:rsid w:val="23290604"/>
    <w:rsid w:val="23390889"/>
    <w:rsid w:val="233F62D0"/>
    <w:rsid w:val="234073E4"/>
    <w:rsid w:val="234524E5"/>
    <w:rsid w:val="235857DF"/>
    <w:rsid w:val="23666148"/>
    <w:rsid w:val="23683821"/>
    <w:rsid w:val="236C6D4A"/>
    <w:rsid w:val="23753C93"/>
    <w:rsid w:val="2380005C"/>
    <w:rsid w:val="2385492F"/>
    <w:rsid w:val="238F3B97"/>
    <w:rsid w:val="23926370"/>
    <w:rsid w:val="23990BAE"/>
    <w:rsid w:val="23A002EC"/>
    <w:rsid w:val="23A43904"/>
    <w:rsid w:val="23C11D57"/>
    <w:rsid w:val="23D079B7"/>
    <w:rsid w:val="23DA755C"/>
    <w:rsid w:val="23ED4068"/>
    <w:rsid w:val="240B1349"/>
    <w:rsid w:val="243A1319"/>
    <w:rsid w:val="244826FA"/>
    <w:rsid w:val="24491EB1"/>
    <w:rsid w:val="24502199"/>
    <w:rsid w:val="24522CD5"/>
    <w:rsid w:val="245563D3"/>
    <w:rsid w:val="24670449"/>
    <w:rsid w:val="246F52DB"/>
    <w:rsid w:val="2478465B"/>
    <w:rsid w:val="248E1899"/>
    <w:rsid w:val="24920E28"/>
    <w:rsid w:val="24947D4B"/>
    <w:rsid w:val="249837F7"/>
    <w:rsid w:val="249A1781"/>
    <w:rsid w:val="249D1C81"/>
    <w:rsid w:val="24B71E97"/>
    <w:rsid w:val="24BC2C4B"/>
    <w:rsid w:val="24BF09F0"/>
    <w:rsid w:val="24CD3C5E"/>
    <w:rsid w:val="24D20B9D"/>
    <w:rsid w:val="24E503FC"/>
    <w:rsid w:val="24EA7B16"/>
    <w:rsid w:val="24F36126"/>
    <w:rsid w:val="251A6235"/>
    <w:rsid w:val="252251DA"/>
    <w:rsid w:val="25295046"/>
    <w:rsid w:val="252F6C68"/>
    <w:rsid w:val="25390639"/>
    <w:rsid w:val="255B362D"/>
    <w:rsid w:val="255B3FD2"/>
    <w:rsid w:val="256F0F47"/>
    <w:rsid w:val="258516AF"/>
    <w:rsid w:val="258630DB"/>
    <w:rsid w:val="258D398C"/>
    <w:rsid w:val="259038B5"/>
    <w:rsid w:val="2599094A"/>
    <w:rsid w:val="25A0347B"/>
    <w:rsid w:val="25B402DE"/>
    <w:rsid w:val="25BA399A"/>
    <w:rsid w:val="25DB017B"/>
    <w:rsid w:val="25E148E0"/>
    <w:rsid w:val="25EC4296"/>
    <w:rsid w:val="25F22040"/>
    <w:rsid w:val="25F27F9F"/>
    <w:rsid w:val="25F438FB"/>
    <w:rsid w:val="2602288B"/>
    <w:rsid w:val="260C3AC8"/>
    <w:rsid w:val="260F76BE"/>
    <w:rsid w:val="2611728D"/>
    <w:rsid w:val="26130BE0"/>
    <w:rsid w:val="2614708A"/>
    <w:rsid w:val="261F4DE4"/>
    <w:rsid w:val="2640605E"/>
    <w:rsid w:val="26521210"/>
    <w:rsid w:val="265A7AFA"/>
    <w:rsid w:val="265E2DAC"/>
    <w:rsid w:val="265E453E"/>
    <w:rsid w:val="2673232D"/>
    <w:rsid w:val="26766A60"/>
    <w:rsid w:val="26861992"/>
    <w:rsid w:val="268E18DA"/>
    <w:rsid w:val="26922FAB"/>
    <w:rsid w:val="2699132F"/>
    <w:rsid w:val="269A638E"/>
    <w:rsid w:val="269B632C"/>
    <w:rsid w:val="26A41136"/>
    <w:rsid w:val="26A61FD2"/>
    <w:rsid w:val="26A828C6"/>
    <w:rsid w:val="26A85AEA"/>
    <w:rsid w:val="26B07F6D"/>
    <w:rsid w:val="26BF2C99"/>
    <w:rsid w:val="26C14377"/>
    <w:rsid w:val="26ED617B"/>
    <w:rsid w:val="26F532D3"/>
    <w:rsid w:val="26FE01C0"/>
    <w:rsid w:val="27040C83"/>
    <w:rsid w:val="27097C66"/>
    <w:rsid w:val="271D0ECF"/>
    <w:rsid w:val="271D14C6"/>
    <w:rsid w:val="271F1752"/>
    <w:rsid w:val="273A78E3"/>
    <w:rsid w:val="2743016D"/>
    <w:rsid w:val="274579A4"/>
    <w:rsid w:val="27506F2E"/>
    <w:rsid w:val="277508AA"/>
    <w:rsid w:val="2781510C"/>
    <w:rsid w:val="27834E56"/>
    <w:rsid w:val="27986BCA"/>
    <w:rsid w:val="27A23660"/>
    <w:rsid w:val="27A83A0A"/>
    <w:rsid w:val="27AD5A51"/>
    <w:rsid w:val="27B96B54"/>
    <w:rsid w:val="27C10F86"/>
    <w:rsid w:val="27CA179A"/>
    <w:rsid w:val="27CB1854"/>
    <w:rsid w:val="27CF603F"/>
    <w:rsid w:val="27E468C2"/>
    <w:rsid w:val="27F16E9A"/>
    <w:rsid w:val="27F8179E"/>
    <w:rsid w:val="27FD2ADB"/>
    <w:rsid w:val="27FF2751"/>
    <w:rsid w:val="28100381"/>
    <w:rsid w:val="2811063F"/>
    <w:rsid w:val="28195887"/>
    <w:rsid w:val="2829185A"/>
    <w:rsid w:val="28295EFE"/>
    <w:rsid w:val="282B65C0"/>
    <w:rsid w:val="28311706"/>
    <w:rsid w:val="284409CF"/>
    <w:rsid w:val="284B5EE3"/>
    <w:rsid w:val="28505E52"/>
    <w:rsid w:val="28695098"/>
    <w:rsid w:val="289501AA"/>
    <w:rsid w:val="28964374"/>
    <w:rsid w:val="289A1A02"/>
    <w:rsid w:val="289A3AEC"/>
    <w:rsid w:val="28BD261D"/>
    <w:rsid w:val="28C21E3F"/>
    <w:rsid w:val="28CA7A89"/>
    <w:rsid w:val="28CD70BC"/>
    <w:rsid w:val="28CE32D8"/>
    <w:rsid w:val="28D75D59"/>
    <w:rsid w:val="28DA1B30"/>
    <w:rsid w:val="28DF0C6D"/>
    <w:rsid w:val="28E43B22"/>
    <w:rsid w:val="28EE58E2"/>
    <w:rsid w:val="28F11B91"/>
    <w:rsid w:val="28FC2270"/>
    <w:rsid w:val="291B11D9"/>
    <w:rsid w:val="29311FE8"/>
    <w:rsid w:val="294330B0"/>
    <w:rsid w:val="295B1735"/>
    <w:rsid w:val="295B1A4D"/>
    <w:rsid w:val="29662E9E"/>
    <w:rsid w:val="29694592"/>
    <w:rsid w:val="296B3672"/>
    <w:rsid w:val="296C4FDE"/>
    <w:rsid w:val="2986523D"/>
    <w:rsid w:val="29894A4D"/>
    <w:rsid w:val="298C0964"/>
    <w:rsid w:val="29A4249B"/>
    <w:rsid w:val="29AE00E4"/>
    <w:rsid w:val="29B52391"/>
    <w:rsid w:val="29CA1056"/>
    <w:rsid w:val="29CB2658"/>
    <w:rsid w:val="29DA4912"/>
    <w:rsid w:val="29DB5F57"/>
    <w:rsid w:val="29F76C3D"/>
    <w:rsid w:val="2A0970A6"/>
    <w:rsid w:val="2A116144"/>
    <w:rsid w:val="2A127916"/>
    <w:rsid w:val="2A127BC3"/>
    <w:rsid w:val="2A172318"/>
    <w:rsid w:val="2A1E7EF4"/>
    <w:rsid w:val="2A302288"/>
    <w:rsid w:val="2A314162"/>
    <w:rsid w:val="2A32724B"/>
    <w:rsid w:val="2A4245D1"/>
    <w:rsid w:val="2A436807"/>
    <w:rsid w:val="2A4A45CD"/>
    <w:rsid w:val="2A520CC7"/>
    <w:rsid w:val="2A6F352B"/>
    <w:rsid w:val="2A704669"/>
    <w:rsid w:val="2A790F1D"/>
    <w:rsid w:val="2A7C16AB"/>
    <w:rsid w:val="2A8B646C"/>
    <w:rsid w:val="2A8C14B0"/>
    <w:rsid w:val="2A9533C6"/>
    <w:rsid w:val="2A984C91"/>
    <w:rsid w:val="2A9A7B46"/>
    <w:rsid w:val="2A9B47F7"/>
    <w:rsid w:val="2AAD65AF"/>
    <w:rsid w:val="2AB92D37"/>
    <w:rsid w:val="2ACC24A7"/>
    <w:rsid w:val="2AD67513"/>
    <w:rsid w:val="2AD75E7F"/>
    <w:rsid w:val="2AFF0AE2"/>
    <w:rsid w:val="2B0C0E54"/>
    <w:rsid w:val="2B120EA5"/>
    <w:rsid w:val="2B5E10FA"/>
    <w:rsid w:val="2B624AB6"/>
    <w:rsid w:val="2B6E7005"/>
    <w:rsid w:val="2B7E1B2E"/>
    <w:rsid w:val="2B80523E"/>
    <w:rsid w:val="2B841513"/>
    <w:rsid w:val="2B9331C7"/>
    <w:rsid w:val="2B98516E"/>
    <w:rsid w:val="2BC519FE"/>
    <w:rsid w:val="2BD64080"/>
    <w:rsid w:val="2BDA66E7"/>
    <w:rsid w:val="2BFB611A"/>
    <w:rsid w:val="2BFC181B"/>
    <w:rsid w:val="2C126933"/>
    <w:rsid w:val="2C140726"/>
    <w:rsid w:val="2C163CB5"/>
    <w:rsid w:val="2C2475F6"/>
    <w:rsid w:val="2C282B94"/>
    <w:rsid w:val="2C2F0F53"/>
    <w:rsid w:val="2C37633E"/>
    <w:rsid w:val="2C3C553E"/>
    <w:rsid w:val="2C3D4A40"/>
    <w:rsid w:val="2C4140B5"/>
    <w:rsid w:val="2C414FB4"/>
    <w:rsid w:val="2C46195B"/>
    <w:rsid w:val="2C470D82"/>
    <w:rsid w:val="2C5742AE"/>
    <w:rsid w:val="2C8F2FE0"/>
    <w:rsid w:val="2CAD0C1E"/>
    <w:rsid w:val="2CB70F42"/>
    <w:rsid w:val="2CBD6447"/>
    <w:rsid w:val="2CD56665"/>
    <w:rsid w:val="2CDD2856"/>
    <w:rsid w:val="2CEC775A"/>
    <w:rsid w:val="2CF54FED"/>
    <w:rsid w:val="2CF8438B"/>
    <w:rsid w:val="2CFF1854"/>
    <w:rsid w:val="2CFF5B8E"/>
    <w:rsid w:val="2D063687"/>
    <w:rsid w:val="2D1D1F85"/>
    <w:rsid w:val="2D221A34"/>
    <w:rsid w:val="2D414525"/>
    <w:rsid w:val="2D447019"/>
    <w:rsid w:val="2D484C38"/>
    <w:rsid w:val="2D861867"/>
    <w:rsid w:val="2D9920FF"/>
    <w:rsid w:val="2DAD054F"/>
    <w:rsid w:val="2DC120EF"/>
    <w:rsid w:val="2DC970E9"/>
    <w:rsid w:val="2DCF6930"/>
    <w:rsid w:val="2DDE0B66"/>
    <w:rsid w:val="2DE3069C"/>
    <w:rsid w:val="2DEC41B1"/>
    <w:rsid w:val="2DEF4E8C"/>
    <w:rsid w:val="2DFB3CBE"/>
    <w:rsid w:val="2DFD24B2"/>
    <w:rsid w:val="2E0231DF"/>
    <w:rsid w:val="2E061202"/>
    <w:rsid w:val="2E0D2E31"/>
    <w:rsid w:val="2E0F2FFA"/>
    <w:rsid w:val="2E127324"/>
    <w:rsid w:val="2E427E9A"/>
    <w:rsid w:val="2E4D3769"/>
    <w:rsid w:val="2E4E3DE8"/>
    <w:rsid w:val="2E515199"/>
    <w:rsid w:val="2E5A519D"/>
    <w:rsid w:val="2E67381D"/>
    <w:rsid w:val="2E69175C"/>
    <w:rsid w:val="2E6A026C"/>
    <w:rsid w:val="2E6E3BFF"/>
    <w:rsid w:val="2E7125DF"/>
    <w:rsid w:val="2E781707"/>
    <w:rsid w:val="2E8E1E8F"/>
    <w:rsid w:val="2E973A25"/>
    <w:rsid w:val="2E9B56D1"/>
    <w:rsid w:val="2E9D7202"/>
    <w:rsid w:val="2ECF128C"/>
    <w:rsid w:val="2ECF3B29"/>
    <w:rsid w:val="2ED0344E"/>
    <w:rsid w:val="2ED46177"/>
    <w:rsid w:val="2EDE363C"/>
    <w:rsid w:val="2EE13401"/>
    <w:rsid w:val="2EE25F3E"/>
    <w:rsid w:val="2EE91EAF"/>
    <w:rsid w:val="2EEB1E5B"/>
    <w:rsid w:val="2EEB1F02"/>
    <w:rsid w:val="2EFE774E"/>
    <w:rsid w:val="2F0A6390"/>
    <w:rsid w:val="2F157AFC"/>
    <w:rsid w:val="2F261D29"/>
    <w:rsid w:val="2F2D1A29"/>
    <w:rsid w:val="2F2F30D0"/>
    <w:rsid w:val="2F346878"/>
    <w:rsid w:val="2F423D4B"/>
    <w:rsid w:val="2F624BFF"/>
    <w:rsid w:val="2F885FE0"/>
    <w:rsid w:val="2F8E13B5"/>
    <w:rsid w:val="2FA26E15"/>
    <w:rsid w:val="2FA57B93"/>
    <w:rsid w:val="2FBE059A"/>
    <w:rsid w:val="2FC17D26"/>
    <w:rsid w:val="2FE65963"/>
    <w:rsid w:val="2FF8640E"/>
    <w:rsid w:val="2FF9008B"/>
    <w:rsid w:val="2FFE5C1A"/>
    <w:rsid w:val="30134191"/>
    <w:rsid w:val="3014281C"/>
    <w:rsid w:val="301E2872"/>
    <w:rsid w:val="303421C7"/>
    <w:rsid w:val="30385718"/>
    <w:rsid w:val="303A1094"/>
    <w:rsid w:val="303A6B7D"/>
    <w:rsid w:val="303D353A"/>
    <w:rsid w:val="30514D30"/>
    <w:rsid w:val="30527911"/>
    <w:rsid w:val="305B4FCE"/>
    <w:rsid w:val="30661936"/>
    <w:rsid w:val="308706C5"/>
    <w:rsid w:val="30911FC6"/>
    <w:rsid w:val="30A228FD"/>
    <w:rsid w:val="30A609E3"/>
    <w:rsid w:val="30AC481D"/>
    <w:rsid w:val="30C118C3"/>
    <w:rsid w:val="30C716E2"/>
    <w:rsid w:val="30D662B4"/>
    <w:rsid w:val="30D821FA"/>
    <w:rsid w:val="30E45B66"/>
    <w:rsid w:val="30F6535E"/>
    <w:rsid w:val="30FC79DB"/>
    <w:rsid w:val="3109213D"/>
    <w:rsid w:val="311149D3"/>
    <w:rsid w:val="31141FA4"/>
    <w:rsid w:val="31190411"/>
    <w:rsid w:val="31286CB1"/>
    <w:rsid w:val="31490700"/>
    <w:rsid w:val="314C4F20"/>
    <w:rsid w:val="315C6113"/>
    <w:rsid w:val="315F0AB0"/>
    <w:rsid w:val="3161408A"/>
    <w:rsid w:val="31787F19"/>
    <w:rsid w:val="317C6936"/>
    <w:rsid w:val="31845EE7"/>
    <w:rsid w:val="319B4E98"/>
    <w:rsid w:val="31A044A6"/>
    <w:rsid w:val="31A170A9"/>
    <w:rsid w:val="31A26528"/>
    <w:rsid w:val="31AA4B78"/>
    <w:rsid w:val="31F26247"/>
    <w:rsid w:val="31F9307A"/>
    <w:rsid w:val="31FC5523"/>
    <w:rsid w:val="31FF3D3A"/>
    <w:rsid w:val="32014C38"/>
    <w:rsid w:val="32042ABE"/>
    <w:rsid w:val="32074950"/>
    <w:rsid w:val="320777F9"/>
    <w:rsid w:val="321450F4"/>
    <w:rsid w:val="32152170"/>
    <w:rsid w:val="32166525"/>
    <w:rsid w:val="32343F76"/>
    <w:rsid w:val="325A7043"/>
    <w:rsid w:val="325F45F9"/>
    <w:rsid w:val="32697515"/>
    <w:rsid w:val="32732FC5"/>
    <w:rsid w:val="32780DBC"/>
    <w:rsid w:val="327A0EC8"/>
    <w:rsid w:val="327A6474"/>
    <w:rsid w:val="32A5009A"/>
    <w:rsid w:val="32B01AEE"/>
    <w:rsid w:val="32C56593"/>
    <w:rsid w:val="32CC6345"/>
    <w:rsid w:val="32D020A5"/>
    <w:rsid w:val="32D96ED8"/>
    <w:rsid w:val="32EE02A1"/>
    <w:rsid w:val="32F1019F"/>
    <w:rsid w:val="32F36037"/>
    <w:rsid w:val="32FB3CF3"/>
    <w:rsid w:val="330C3A5D"/>
    <w:rsid w:val="33475C2A"/>
    <w:rsid w:val="33496457"/>
    <w:rsid w:val="337F2730"/>
    <w:rsid w:val="339737C1"/>
    <w:rsid w:val="339F470D"/>
    <w:rsid w:val="33A94F08"/>
    <w:rsid w:val="33B171AE"/>
    <w:rsid w:val="33C80040"/>
    <w:rsid w:val="33CA15D8"/>
    <w:rsid w:val="33CE114E"/>
    <w:rsid w:val="33D62565"/>
    <w:rsid w:val="34014C79"/>
    <w:rsid w:val="340E17FB"/>
    <w:rsid w:val="341B30CF"/>
    <w:rsid w:val="341C6AF0"/>
    <w:rsid w:val="341D7FB6"/>
    <w:rsid w:val="34202EA5"/>
    <w:rsid w:val="34257023"/>
    <w:rsid w:val="342738CD"/>
    <w:rsid w:val="34302E0C"/>
    <w:rsid w:val="343D5BC1"/>
    <w:rsid w:val="343E0965"/>
    <w:rsid w:val="344366BE"/>
    <w:rsid w:val="34467CCA"/>
    <w:rsid w:val="344C2312"/>
    <w:rsid w:val="34641E13"/>
    <w:rsid w:val="34687D95"/>
    <w:rsid w:val="346F036C"/>
    <w:rsid w:val="34745448"/>
    <w:rsid w:val="347A4C99"/>
    <w:rsid w:val="347E1FC2"/>
    <w:rsid w:val="348011C3"/>
    <w:rsid w:val="348558ED"/>
    <w:rsid w:val="34865EE2"/>
    <w:rsid w:val="348B66AD"/>
    <w:rsid w:val="34924F8A"/>
    <w:rsid w:val="349D3F78"/>
    <w:rsid w:val="34A15753"/>
    <w:rsid w:val="34AD475D"/>
    <w:rsid w:val="34B03F6F"/>
    <w:rsid w:val="34B205D3"/>
    <w:rsid w:val="34F13939"/>
    <w:rsid w:val="35005257"/>
    <w:rsid w:val="35123630"/>
    <w:rsid w:val="351940D7"/>
    <w:rsid w:val="3523091D"/>
    <w:rsid w:val="353A24D8"/>
    <w:rsid w:val="353D714F"/>
    <w:rsid w:val="3542077B"/>
    <w:rsid w:val="354962F4"/>
    <w:rsid w:val="356426C6"/>
    <w:rsid w:val="356677DC"/>
    <w:rsid w:val="35673422"/>
    <w:rsid w:val="356C0111"/>
    <w:rsid w:val="35766DCD"/>
    <w:rsid w:val="357E7AE7"/>
    <w:rsid w:val="35D601E4"/>
    <w:rsid w:val="35D85AD9"/>
    <w:rsid w:val="35DA51F2"/>
    <w:rsid w:val="35F2075E"/>
    <w:rsid w:val="360016D3"/>
    <w:rsid w:val="360C0C61"/>
    <w:rsid w:val="360E6137"/>
    <w:rsid w:val="360F7D7B"/>
    <w:rsid w:val="361A1E85"/>
    <w:rsid w:val="361A77B3"/>
    <w:rsid w:val="361B579B"/>
    <w:rsid w:val="362B691F"/>
    <w:rsid w:val="362F165F"/>
    <w:rsid w:val="362F4B59"/>
    <w:rsid w:val="365A4B88"/>
    <w:rsid w:val="365C6BD2"/>
    <w:rsid w:val="366D4C88"/>
    <w:rsid w:val="36842B4E"/>
    <w:rsid w:val="369F17B1"/>
    <w:rsid w:val="36A05992"/>
    <w:rsid w:val="36AB1764"/>
    <w:rsid w:val="36B16BEC"/>
    <w:rsid w:val="36C90BA3"/>
    <w:rsid w:val="36CA633C"/>
    <w:rsid w:val="36D04C72"/>
    <w:rsid w:val="36D53554"/>
    <w:rsid w:val="36DE7A3A"/>
    <w:rsid w:val="36EB2A08"/>
    <w:rsid w:val="36F81057"/>
    <w:rsid w:val="371E4248"/>
    <w:rsid w:val="37301575"/>
    <w:rsid w:val="3738568A"/>
    <w:rsid w:val="373B5700"/>
    <w:rsid w:val="373E39DF"/>
    <w:rsid w:val="3744205D"/>
    <w:rsid w:val="37480357"/>
    <w:rsid w:val="375D5CFD"/>
    <w:rsid w:val="3777462C"/>
    <w:rsid w:val="37921526"/>
    <w:rsid w:val="379B5750"/>
    <w:rsid w:val="37A622FF"/>
    <w:rsid w:val="37AF0D7A"/>
    <w:rsid w:val="37BA05CD"/>
    <w:rsid w:val="37BA4097"/>
    <w:rsid w:val="37C956FB"/>
    <w:rsid w:val="37E26155"/>
    <w:rsid w:val="37EF7ED1"/>
    <w:rsid w:val="37F7566D"/>
    <w:rsid w:val="38074A9D"/>
    <w:rsid w:val="38194B9B"/>
    <w:rsid w:val="384158CC"/>
    <w:rsid w:val="384644B3"/>
    <w:rsid w:val="384B74AE"/>
    <w:rsid w:val="38541EEB"/>
    <w:rsid w:val="386051BF"/>
    <w:rsid w:val="3866203A"/>
    <w:rsid w:val="386F1A2F"/>
    <w:rsid w:val="38784100"/>
    <w:rsid w:val="388B04D9"/>
    <w:rsid w:val="38A0502F"/>
    <w:rsid w:val="38B61113"/>
    <w:rsid w:val="38C27802"/>
    <w:rsid w:val="38C77E78"/>
    <w:rsid w:val="38CD01CD"/>
    <w:rsid w:val="38F24EB4"/>
    <w:rsid w:val="38FA11E8"/>
    <w:rsid w:val="38FA7B60"/>
    <w:rsid w:val="390E396C"/>
    <w:rsid w:val="391036E2"/>
    <w:rsid w:val="39104085"/>
    <w:rsid w:val="39117D27"/>
    <w:rsid w:val="39132A78"/>
    <w:rsid w:val="391D26B1"/>
    <w:rsid w:val="3920135D"/>
    <w:rsid w:val="39221319"/>
    <w:rsid w:val="39237A67"/>
    <w:rsid w:val="3926089B"/>
    <w:rsid w:val="392B56C6"/>
    <w:rsid w:val="392C2013"/>
    <w:rsid w:val="394E23AD"/>
    <w:rsid w:val="394F553D"/>
    <w:rsid w:val="39622E0F"/>
    <w:rsid w:val="396C3CF7"/>
    <w:rsid w:val="39770917"/>
    <w:rsid w:val="397B33E5"/>
    <w:rsid w:val="397E4925"/>
    <w:rsid w:val="39877B04"/>
    <w:rsid w:val="398851D2"/>
    <w:rsid w:val="399444F0"/>
    <w:rsid w:val="39AA4E11"/>
    <w:rsid w:val="39B36E69"/>
    <w:rsid w:val="39BF3DDB"/>
    <w:rsid w:val="39CA54CC"/>
    <w:rsid w:val="39CC525D"/>
    <w:rsid w:val="3A054C55"/>
    <w:rsid w:val="3A0E4E48"/>
    <w:rsid w:val="3A12215F"/>
    <w:rsid w:val="3A2B6F2F"/>
    <w:rsid w:val="3A401655"/>
    <w:rsid w:val="3A5113E3"/>
    <w:rsid w:val="3A59638E"/>
    <w:rsid w:val="3A5E7764"/>
    <w:rsid w:val="3A6707C5"/>
    <w:rsid w:val="3A7B0F26"/>
    <w:rsid w:val="3A926084"/>
    <w:rsid w:val="3AAF2BD9"/>
    <w:rsid w:val="3ACA487E"/>
    <w:rsid w:val="3AE46203"/>
    <w:rsid w:val="3AF25705"/>
    <w:rsid w:val="3B0331EC"/>
    <w:rsid w:val="3B0D7687"/>
    <w:rsid w:val="3B0E25E3"/>
    <w:rsid w:val="3B160C22"/>
    <w:rsid w:val="3B212A6E"/>
    <w:rsid w:val="3B305F8F"/>
    <w:rsid w:val="3B357A18"/>
    <w:rsid w:val="3B3A4C82"/>
    <w:rsid w:val="3B5469B6"/>
    <w:rsid w:val="3B596755"/>
    <w:rsid w:val="3B5E42C5"/>
    <w:rsid w:val="3B6D62E0"/>
    <w:rsid w:val="3B8F427D"/>
    <w:rsid w:val="3B9010BF"/>
    <w:rsid w:val="3B9534AE"/>
    <w:rsid w:val="3B994D1C"/>
    <w:rsid w:val="3BCC091F"/>
    <w:rsid w:val="3BCF0DAF"/>
    <w:rsid w:val="3BD0135B"/>
    <w:rsid w:val="3BDA66CB"/>
    <w:rsid w:val="3BE56EA9"/>
    <w:rsid w:val="3BF36736"/>
    <w:rsid w:val="3BF6260F"/>
    <w:rsid w:val="3C0A7139"/>
    <w:rsid w:val="3C14460F"/>
    <w:rsid w:val="3C557944"/>
    <w:rsid w:val="3C5840EF"/>
    <w:rsid w:val="3C662B7F"/>
    <w:rsid w:val="3C6E1DE5"/>
    <w:rsid w:val="3C7F62F0"/>
    <w:rsid w:val="3C822471"/>
    <w:rsid w:val="3C92561F"/>
    <w:rsid w:val="3C93213C"/>
    <w:rsid w:val="3CB0115C"/>
    <w:rsid w:val="3CB45945"/>
    <w:rsid w:val="3CCC6A21"/>
    <w:rsid w:val="3CD82168"/>
    <w:rsid w:val="3D0B4E2A"/>
    <w:rsid w:val="3D0C35BC"/>
    <w:rsid w:val="3D206249"/>
    <w:rsid w:val="3D2161FC"/>
    <w:rsid w:val="3D347EF7"/>
    <w:rsid w:val="3D430FC5"/>
    <w:rsid w:val="3D473299"/>
    <w:rsid w:val="3D4B1C11"/>
    <w:rsid w:val="3D540B4C"/>
    <w:rsid w:val="3D783002"/>
    <w:rsid w:val="3D86599B"/>
    <w:rsid w:val="3D941538"/>
    <w:rsid w:val="3D953C52"/>
    <w:rsid w:val="3D975109"/>
    <w:rsid w:val="3D9A1B0D"/>
    <w:rsid w:val="3DAE123E"/>
    <w:rsid w:val="3DBD339B"/>
    <w:rsid w:val="3DD130FE"/>
    <w:rsid w:val="3DE508EF"/>
    <w:rsid w:val="3E0176A8"/>
    <w:rsid w:val="3E0F4872"/>
    <w:rsid w:val="3E14224C"/>
    <w:rsid w:val="3E1630BB"/>
    <w:rsid w:val="3E1853AF"/>
    <w:rsid w:val="3E327A55"/>
    <w:rsid w:val="3E476189"/>
    <w:rsid w:val="3E4A2352"/>
    <w:rsid w:val="3E5B56B3"/>
    <w:rsid w:val="3E7452BD"/>
    <w:rsid w:val="3E7F1E01"/>
    <w:rsid w:val="3E834C6C"/>
    <w:rsid w:val="3E886349"/>
    <w:rsid w:val="3E8C4CFE"/>
    <w:rsid w:val="3E983FC5"/>
    <w:rsid w:val="3E9C1598"/>
    <w:rsid w:val="3EA12BEF"/>
    <w:rsid w:val="3ED878BA"/>
    <w:rsid w:val="3EF15063"/>
    <w:rsid w:val="3F234918"/>
    <w:rsid w:val="3F294838"/>
    <w:rsid w:val="3F31714A"/>
    <w:rsid w:val="3F336045"/>
    <w:rsid w:val="3F3F19EB"/>
    <w:rsid w:val="3F401D43"/>
    <w:rsid w:val="3F493517"/>
    <w:rsid w:val="3F531791"/>
    <w:rsid w:val="3F60026F"/>
    <w:rsid w:val="3F6B4B55"/>
    <w:rsid w:val="3F84427F"/>
    <w:rsid w:val="3F891CD7"/>
    <w:rsid w:val="3F8B64C9"/>
    <w:rsid w:val="3F8E3BB8"/>
    <w:rsid w:val="3FA803FD"/>
    <w:rsid w:val="3FE16C18"/>
    <w:rsid w:val="3FE31FD4"/>
    <w:rsid w:val="3FF60676"/>
    <w:rsid w:val="3FFA6E50"/>
    <w:rsid w:val="400B45DA"/>
    <w:rsid w:val="400F2439"/>
    <w:rsid w:val="401C519B"/>
    <w:rsid w:val="402545A0"/>
    <w:rsid w:val="402D6EB9"/>
    <w:rsid w:val="40346E31"/>
    <w:rsid w:val="403A0DD1"/>
    <w:rsid w:val="40580ABD"/>
    <w:rsid w:val="405C0F27"/>
    <w:rsid w:val="406A2AE0"/>
    <w:rsid w:val="40747CD2"/>
    <w:rsid w:val="407726DD"/>
    <w:rsid w:val="40772E76"/>
    <w:rsid w:val="407B1943"/>
    <w:rsid w:val="407D6F17"/>
    <w:rsid w:val="407F2B85"/>
    <w:rsid w:val="407F699B"/>
    <w:rsid w:val="40880AFC"/>
    <w:rsid w:val="408A7541"/>
    <w:rsid w:val="408D48CF"/>
    <w:rsid w:val="408E14BA"/>
    <w:rsid w:val="40A32A10"/>
    <w:rsid w:val="40C80406"/>
    <w:rsid w:val="40FE7704"/>
    <w:rsid w:val="410371A4"/>
    <w:rsid w:val="4110274B"/>
    <w:rsid w:val="41173CA8"/>
    <w:rsid w:val="41415DB4"/>
    <w:rsid w:val="415F46AE"/>
    <w:rsid w:val="4175339D"/>
    <w:rsid w:val="41847F0A"/>
    <w:rsid w:val="418A1D34"/>
    <w:rsid w:val="419027D2"/>
    <w:rsid w:val="41942FE4"/>
    <w:rsid w:val="41944023"/>
    <w:rsid w:val="41A23107"/>
    <w:rsid w:val="41A2423C"/>
    <w:rsid w:val="41A54CDA"/>
    <w:rsid w:val="41BB2DA7"/>
    <w:rsid w:val="41E07D8C"/>
    <w:rsid w:val="42051BE7"/>
    <w:rsid w:val="420865C0"/>
    <w:rsid w:val="42155E6E"/>
    <w:rsid w:val="42163DE3"/>
    <w:rsid w:val="421F59A0"/>
    <w:rsid w:val="4225100F"/>
    <w:rsid w:val="42257C25"/>
    <w:rsid w:val="4233585F"/>
    <w:rsid w:val="423916BB"/>
    <w:rsid w:val="42597477"/>
    <w:rsid w:val="425A78BC"/>
    <w:rsid w:val="427968C7"/>
    <w:rsid w:val="429A3F7D"/>
    <w:rsid w:val="42A23466"/>
    <w:rsid w:val="42A27F6B"/>
    <w:rsid w:val="42A81993"/>
    <w:rsid w:val="42B933FB"/>
    <w:rsid w:val="42BA6551"/>
    <w:rsid w:val="42C4488D"/>
    <w:rsid w:val="42CB4CB5"/>
    <w:rsid w:val="42D33324"/>
    <w:rsid w:val="42E53613"/>
    <w:rsid w:val="42EE268F"/>
    <w:rsid w:val="42F23643"/>
    <w:rsid w:val="42F67129"/>
    <w:rsid w:val="42F67DDB"/>
    <w:rsid w:val="43104C99"/>
    <w:rsid w:val="432A0D23"/>
    <w:rsid w:val="4333587A"/>
    <w:rsid w:val="433912F3"/>
    <w:rsid w:val="434A1976"/>
    <w:rsid w:val="436904B3"/>
    <w:rsid w:val="43703C4D"/>
    <w:rsid w:val="43782D18"/>
    <w:rsid w:val="43910671"/>
    <w:rsid w:val="439527FD"/>
    <w:rsid w:val="439E1EFA"/>
    <w:rsid w:val="43A375C0"/>
    <w:rsid w:val="43B03D31"/>
    <w:rsid w:val="43C20C3D"/>
    <w:rsid w:val="43C73E7C"/>
    <w:rsid w:val="440B2AAA"/>
    <w:rsid w:val="44172E09"/>
    <w:rsid w:val="441E49E4"/>
    <w:rsid w:val="44323716"/>
    <w:rsid w:val="443A36C2"/>
    <w:rsid w:val="443C43D1"/>
    <w:rsid w:val="44414FD9"/>
    <w:rsid w:val="444710B6"/>
    <w:rsid w:val="44566BE9"/>
    <w:rsid w:val="445C49AB"/>
    <w:rsid w:val="44666D6B"/>
    <w:rsid w:val="446F387A"/>
    <w:rsid w:val="44844BFD"/>
    <w:rsid w:val="448C3631"/>
    <w:rsid w:val="448F2A21"/>
    <w:rsid w:val="44AF5E01"/>
    <w:rsid w:val="44B21185"/>
    <w:rsid w:val="44BC0095"/>
    <w:rsid w:val="44C745BA"/>
    <w:rsid w:val="44D45F04"/>
    <w:rsid w:val="44DA1DB4"/>
    <w:rsid w:val="44DD74C9"/>
    <w:rsid w:val="44E83405"/>
    <w:rsid w:val="44FA378E"/>
    <w:rsid w:val="44FB6630"/>
    <w:rsid w:val="44FF677E"/>
    <w:rsid w:val="450001A2"/>
    <w:rsid w:val="45071F7C"/>
    <w:rsid w:val="45137A27"/>
    <w:rsid w:val="45152333"/>
    <w:rsid w:val="451C3B9F"/>
    <w:rsid w:val="45243DC3"/>
    <w:rsid w:val="45361467"/>
    <w:rsid w:val="45437FBB"/>
    <w:rsid w:val="455D659B"/>
    <w:rsid w:val="455F5CB9"/>
    <w:rsid w:val="4560763B"/>
    <w:rsid w:val="456B46AA"/>
    <w:rsid w:val="457B21E6"/>
    <w:rsid w:val="457E4D59"/>
    <w:rsid w:val="457F58DF"/>
    <w:rsid w:val="459023F3"/>
    <w:rsid w:val="459E0BF5"/>
    <w:rsid w:val="459E68B8"/>
    <w:rsid w:val="45A905E6"/>
    <w:rsid w:val="45B06AA3"/>
    <w:rsid w:val="45B245BC"/>
    <w:rsid w:val="45BE442F"/>
    <w:rsid w:val="45C405CE"/>
    <w:rsid w:val="45C750FE"/>
    <w:rsid w:val="45C908F0"/>
    <w:rsid w:val="45F32C66"/>
    <w:rsid w:val="45F53FE8"/>
    <w:rsid w:val="45F63BF5"/>
    <w:rsid w:val="46083E22"/>
    <w:rsid w:val="460D6AB4"/>
    <w:rsid w:val="46256B69"/>
    <w:rsid w:val="465A0755"/>
    <w:rsid w:val="465E20F1"/>
    <w:rsid w:val="46727C09"/>
    <w:rsid w:val="46845F0B"/>
    <w:rsid w:val="468B597F"/>
    <w:rsid w:val="46983752"/>
    <w:rsid w:val="46B148F7"/>
    <w:rsid w:val="46B46719"/>
    <w:rsid w:val="46B50B94"/>
    <w:rsid w:val="46BF4816"/>
    <w:rsid w:val="46C66150"/>
    <w:rsid w:val="46EB0585"/>
    <w:rsid w:val="46EF6459"/>
    <w:rsid w:val="46F42232"/>
    <w:rsid w:val="470B01F6"/>
    <w:rsid w:val="47180433"/>
    <w:rsid w:val="47191355"/>
    <w:rsid w:val="471B772B"/>
    <w:rsid w:val="47203816"/>
    <w:rsid w:val="472A652C"/>
    <w:rsid w:val="47330A94"/>
    <w:rsid w:val="47375652"/>
    <w:rsid w:val="474018F7"/>
    <w:rsid w:val="47540F8D"/>
    <w:rsid w:val="475A4A80"/>
    <w:rsid w:val="475E7FB9"/>
    <w:rsid w:val="477855A4"/>
    <w:rsid w:val="478E18E3"/>
    <w:rsid w:val="47936483"/>
    <w:rsid w:val="479429A7"/>
    <w:rsid w:val="47AB29AF"/>
    <w:rsid w:val="47B3705E"/>
    <w:rsid w:val="47B9429C"/>
    <w:rsid w:val="47BA55E7"/>
    <w:rsid w:val="47BC1AE0"/>
    <w:rsid w:val="47C303ED"/>
    <w:rsid w:val="47C85AAB"/>
    <w:rsid w:val="47D534F2"/>
    <w:rsid w:val="47D826EF"/>
    <w:rsid w:val="47E042B0"/>
    <w:rsid w:val="47F63D89"/>
    <w:rsid w:val="48036122"/>
    <w:rsid w:val="480513E9"/>
    <w:rsid w:val="48064A22"/>
    <w:rsid w:val="48096622"/>
    <w:rsid w:val="48337851"/>
    <w:rsid w:val="4835004F"/>
    <w:rsid w:val="48465B68"/>
    <w:rsid w:val="484737D3"/>
    <w:rsid w:val="484B0F86"/>
    <w:rsid w:val="485663CE"/>
    <w:rsid w:val="487337C9"/>
    <w:rsid w:val="487D1E41"/>
    <w:rsid w:val="48962A99"/>
    <w:rsid w:val="489E0B6F"/>
    <w:rsid w:val="48A168F0"/>
    <w:rsid w:val="48AC79FC"/>
    <w:rsid w:val="48BF73B4"/>
    <w:rsid w:val="48C94FD0"/>
    <w:rsid w:val="48CE3349"/>
    <w:rsid w:val="48D340D2"/>
    <w:rsid w:val="48D82909"/>
    <w:rsid w:val="48D90874"/>
    <w:rsid w:val="48E4448F"/>
    <w:rsid w:val="48EC5E11"/>
    <w:rsid w:val="48F3282E"/>
    <w:rsid w:val="48F664D8"/>
    <w:rsid w:val="48F76640"/>
    <w:rsid w:val="48F825B5"/>
    <w:rsid w:val="49065DC8"/>
    <w:rsid w:val="49083ED4"/>
    <w:rsid w:val="49084A8E"/>
    <w:rsid w:val="49087DDB"/>
    <w:rsid w:val="490A2DCD"/>
    <w:rsid w:val="49144827"/>
    <w:rsid w:val="491A7EFF"/>
    <w:rsid w:val="491F40FE"/>
    <w:rsid w:val="492D12F2"/>
    <w:rsid w:val="493B2FBB"/>
    <w:rsid w:val="4943340E"/>
    <w:rsid w:val="494A3915"/>
    <w:rsid w:val="4952622B"/>
    <w:rsid w:val="49566E8F"/>
    <w:rsid w:val="496F4AC5"/>
    <w:rsid w:val="497C0456"/>
    <w:rsid w:val="49AB0F1E"/>
    <w:rsid w:val="49AD3A72"/>
    <w:rsid w:val="49AD3C0C"/>
    <w:rsid w:val="49B5040B"/>
    <w:rsid w:val="49C15711"/>
    <w:rsid w:val="49C34593"/>
    <w:rsid w:val="49C60651"/>
    <w:rsid w:val="49C63D0A"/>
    <w:rsid w:val="49CD047D"/>
    <w:rsid w:val="49D5014A"/>
    <w:rsid w:val="49E54867"/>
    <w:rsid w:val="49F14841"/>
    <w:rsid w:val="4A15659D"/>
    <w:rsid w:val="4A181EF1"/>
    <w:rsid w:val="4A2115DD"/>
    <w:rsid w:val="4A291880"/>
    <w:rsid w:val="4A2D3355"/>
    <w:rsid w:val="4A387192"/>
    <w:rsid w:val="4A4F1C07"/>
    <w:rsid w:val="4A6D5003"/>
    <w:rsid w:val="4A6E556E"/>
    <w:rsid w:val="4A806F7E"/>
    <w:rsid w:val="4A8D1804"/>
    <w:rsid w:val="4A8D6A3E"/>
    <w:rsid w:val="4A9364AB"/>
    <w:rsid w:val="4A9825D6"/>
    <w:rsid w:val="4AA34266"/>
    <w:rsid w:val="4AA86EC8"/>
    <w:rsid w:val="4AC60576"/>
    <w:rsid w:val="4AC80751"/>
    <w:rsid w:val="4ACE2A91"/>
    <w:rsid w:val="4ACF4A57"/>
    <w:rsid w:val="4AD22F70"/>
    <w:rsid w:val="4AD57411"/>
    <w:rsid w:val="4AE16A62"/>
    <w:rsid w:val="4AE564C7"/>
    <w:rsid w:val="4AEE5F02"/>
    <w:rsid w:val="4B1B68E0"/>
    <w:rsid w:val="4B1C5599"/>
    <w:rsid w:val="4B48437A"/>
    <w:rsid w:val="4B4D30E3"/>
    <w:rsid w:val="4B6402EA"/>
    <w:rsid w:val="4B6817CF"/>
    <w:rsid w:val="4B711391"/>
    <w:rsid w:val="4B847992"/>
    <w:rsid w:val="4B8E5BA1"/>
    <w:rsid w:val="4B990F31"/>
    <w:rsid w:val="4B9C1B8F"/>
    <w:rsid w:val="4B9F6BA2"/>
    <w:rsid w:val="4BA946A1"/>
    <w:rsid w:val="4BC65400"/>
    <w:rsid w:val="4BD83791"/>
    <w:rsid w:val="4BE66730"/>
    <w:rsid w:val="4BF62A8E"/>
    <w:rsid w:val="4BFA060D"/>
    <w:rsid w:val="4BFD2A82"/>
    <w:rsid w:val="4C130369"/>
    <w:rsid w:val="4C1857F3"/>
    <w:rsid w:val="4C2B5DB9"/>
    <w:rsid w:val="4C2C32B0"/>
    <w:rsid w:val="4C371D72"/>
    <w:rsid w:val="4C4D2543"/>
    <w:rsid w:val="4C4E0F2A"/>
    <w:rsid w:val="4C5B2551"/>
    <w:rsid w:val="4C834296"/>
    <w:rsid w:val="4C8436E7"/>
    <w:rsid w:val="4C906754"/>
    <w:rsid w:val="4C9321F0"/>
    <w:rsid w:val="4C942BA3"/>
    <w:rsid w:val="4C974648"/>
    <w:rsid w:val="4C9C681C"/>
    <w:rsid w:val="4CAE7A81"/>
    <w:rsid w:val="4CB41C5E"/>
    <w:rsid w:val="4CB62AE1"/>
    <w:rsid w:val="4CB91FB6"/>
    <w:rsid w:val="4CC826CC"/>
    <w:rsid w:val="4CDD4BCE"/>
    <w:rsid w:val="4CE70F8B"/>
    <w:rsid w:val="4CE874D5"/>
    <w:rsid w:val="4CEE28F0"/>
    <w:rsid w:val="4CFA4256"/>
    <w:rsid w:val="4D035C7F"/>
    <w:rsid w:val="4D1E2E9B"/>
    <w:rsid w:val="4D2B7F00"/>
    <w:rsid w:val="4D2E39EA"/>
    <w:rsid w:val="4D36698D"/>
    <w:rsid w:val="4D4370F7"/>
    <w:rsid w:val="4D457236"/>
    <w:rsid w:val="4D5F4A58"/>
    <w:rsid w:val="4D630F1B"/>
    <w:rsid w:val="4D6504AA"/>
    <w:rsid w:val="4D8C10E6"/>
    <w:rsid w:val="4D926C3D"/>
    <w:rsid w:val="4D9D128A"/>
    <w:rsid w:val="4DAB3332"/>
    <w:rsid w:val="4DBB3783"/>
    <w:rsid w:val="4DBD192E"/>
    <w:rsid w:val="4DC67D76"/>
    <w:rsid w:val="4DCA262D"/>
    <w:rsid w:val="4DCE0383"/>
    <w:rsid w:val="4DD0310E"/>
    <w:rsid w:val="4DD61324"/>
    <w:rsid w:val="4DD75A1D"/>
    <w:rsid w:val="4DE56AB0"/>
    <w:rsid w:val="4DEA289B"/>
    <w:rsid w:val="4DEC5A7D"/>
    <w:rsid w:val="4DED03A5"/>
    <w:rsid w:val="4E06437A"/>
    <w:rsid w:val="4E0C57B5"/>
    <w:rsid w:val="4E1402BE"/>
    <w:rsid w:val="4E146DCB"/>
    <w:rsid w:val="4E1858BE"/>
    <w:rsid w:val="4E3A501B"/>
    <w:rsid w:val="4E5630C5"/>
    <w:rsid w:val="4E5B1C4C"/>
    <w:rsid w:val="4E677721"/>
    <w:rsid w:val="4E930C6A"/>
    <w:rsid w:val="4E93587E"/>
    <w:rsid w:val="4E953574"/>
    <w:rsid w:val="4EA43ECA"/>
    <w:rsid w:val="4EB34794"/>
    <w:rsid w:val="4EBE4DFE"/>
    <w:rsid w:val="4ED526AA"/>
    <w:rsid w:val="4EDA7742"/>
    <w:rsid w:val="4EE3795A"/>
    <w:rsid w:val="4EE577E9"/>
    <w:rsid w:val="4EEA2F58"/>
    <w:rsid w:val="4EF66E46"/>
    <w:rsid w:val="4F080505"/>
    <w:rsid w:val="4F121639"/>
    <w:rsid w:val="4F1D621D"/>
    <w:rsid w:val="4F1F272D"/>
    <w:rsid w:val="4F20281A"/>
    <w:rsid w:val="4F24730E"/>
    <w:rsid w:val="4F2853FF"/>
    <w:rsid w:val="4F2C738A"/>
    <w:rsid w:val="4F2E0A13"/>
    <w:rsid w:val="4F3B366E"/>
    <w:rsid w:val="4F4044EF"/>
    <w:rsid w:val="4F584285"/>
    <w:rsid w:val="4F5B479F"/>
    <w:rsid w:val="4F667B8B"/>
    <w:rsid w:val="4F68038D"/>
    <w:rsid w:val="4F7615E5"/>
    <w:rsid w:val="4F8816E7"/>
    <w:rsid w:val="4F8E4A60"/>
    <w:rsid w:val="4F904C64"/>
    <w:rsid w:val="4F957772"/>
    <w:rsid w:val="4F9F35EB"/>
    <w:rsid w:val="4FA41F99"/>
    <w:rsid w:val="4FA848B2"/>
    <w:rsid w:val="4FAA0AA6"/>
    <w:rsid w:val="4FAB70D2"/>
    <w:rsid w:val="4FC16AE8"/>
    <w:rsid w:val="4FC20272"/>
    <w:rsid w:val="4FC65B07"/>
    <w:rsid w:val="4FD21E42"/>
    <w:rsid w:val="4FDF1244"/>
    <w:rsid w:val="4FE5179B"/>
    <w:rsid w:val="50005472"/>
    <w:rsid w:val="500F59F0"/>
    <w:rsid w:val="50101148"/>
    <w:rsid w:val="502245C3"/>
    <w:rsid w:val="502A11E2"/>
    <w:rsid w:val="502D01D0"/>
    <w:rsid w:val="50383DC3"/>
    <w:rsid w:val="503A21A4"/>
    <w:rsid w:val="504060DC"/>
    <w:rsid w:val="50465E6B"/>
    <w:rsid w:val="50467F7E"/>
    <w:rsid w:val="50474F17"/>
    <w:rsid w:val="50533B6A"/>
    <w:rsid w:val="506F64B2"/>
    <w:rsid w:val="50761AAD"/>
    <w:rsid w:val="507B33BF"/>
    <w:rsid w:val="508C693E"/>
    <w:rsid w:val="5095724C"/>
    <w:rsid w:val="509B6F4B"/>
    <w:rsid w:val="50BA4142"/>
    <w:rsid w:val="50BB6B03"/>
    <w:rsid w:val="50D9123B"/>
    <w:rsid w:val="50DE493A"/>
    <w:rsid w:val="50E312AB"/>
    <w:rsid w:val="50E62207"/>
    <w:rsid w:val="50F762BE"/>
    <w:rsid w:val="5124199D"/>
    <w:rsid w:val="512B2E43"/>
    <w:rsid w:val="513146C7"/>
    <w:rsid w:val="513818B6"/>
    <w:rsid w:val="513F2733"/>
    <w:rsid w:val="51445332"/>
    <w:rsid w:val="514E4EE9"/>
    <w:rsid w:val="517026EB"/>
    <w:rsid w:val="5182619A"/>
    <w:rsid w:val="51885DE2"/>
    <w:rsid w:val="51916B38"/>
    <w:rsid w:val="51940730"/>
    <w:rsid w:val="519E36C0"/>
    <w:rsid w:val="519F18EC"/>
    <w:rsid w:val="51A33B4A"/>
    <w:rsid w:val="51A673D9"/>
    <w:rsid w:val="51AF3547"/>
    <w:rsid w:val="51DD0EA8"/>
    <w:rsid w:val="51E57FB1"/>
    <w:rsid w:val="51E6446C"/>
    <w:rsid w:val="51F00D8F"/>
    <w:rsid w:val="51F412A4"/>
    <w:rsid w:val="51FF72BB"/>
    <w:rsid w:val="520328A2"/>
    <w:rsid w:val="52073EB2"/>
    <w:rsid w:val="52345CAF"/>
    <w:rsid w:val="523505A2"/>
    <w:rsid w:val="52361BDC"/>
    <w:rsid w:val="525544B8"/>
    <w:rsid w:val="525731B8"/>
    <w:rsid w:val="52686102"/>
    <w:rsid w:val="52710EC6"/>
    <w:rsid w:val="527F6F79"/>
    <w:rsid w:val="52844471"/>
    <w:rsid w:val="52857A49"/>
    <w:rsid w:val="528E4D65"/>
    <w:rsid w:val="52A57F45"/>
    <w:rsid w:val="52A946E8"/>
    <w:rsid w:val="52C823A4"/>
    <w:rsid w:val="52D41877"/>
    <w:rsid w:val="52D92EEC"/>
    <w:rsid w:val="52DB2424"/>
    <w:rsid w:val="52E03707"/>
    <w:rsid w:val="52E244AC"/>
    <w:rsid w:val="52E6036F"/>
    <w:rsid w:val="52EB473C"/>
    <w:rsid w:val="52EB723E"/>
    <w:rsid w:val="52F425A9"/>
    <w:rsid w:val="52F627AE"/>
    <w:rsid w:val="5313226C"/>
    <w:rsid w:val="53160F83"/>
    <w:rsid w:val="531E19AB"/>
    <w:rsid w:val="53207165"/>
    <w:rsid w:val="53217474"/>
    <w:rsid w:val="5327559C"/>
    <w:rsid w:val="53350066"/>
    <w:rsid w:val="53407ECD"/>
    <w:rsid w:val="534C2D34"/>
    <w:rsid w:val="5360405A"/>
    <w:rsid w:val="536C0AC4"/>
    <w:rsid w:val="53790C2B"/>
    <w:rsid w:val="537D572C"/>
    <w:rsid w:val="538878AA"/>
    <w:rsid w:val="5391430B"/>
    <w:rsid w:val="53970CEE"/>
    <w:rsid w:val="5399263F"/>
    <w:rsid w:val="53A119C0"/>
    <w:rsid w:val="53A864E7"/>
    <w:rsid w:val="53B75DBA"/>
    <w:rsid w:val="53B84134"/>
    <w:rsid w:val="53D15B4A"/>
    <w:rsid w:val="53DC4343"/>
    <w:rsid w:val="53E12B07"/>
    <w:rsid w:val="53F2544F"/>
    <w:rsid w:val="54022C0D"/>
    <w:rsid w:val="54182B22"/>
    <w:rsid w:val="54381F6B"/>
    <w:rsid w:val="54676507"/>
    <w:rsid w:val="547573A2"/>
    <w:rsid w:val="547C5522"/>
    <w:rsid w:val="548356FB"/>
    <w:rsid w:val="54872555"/>
    <w:rsid w:val="549922C2"/>
    <w:rsid w:val="54C30D49"/>
    <w:rsid w:val="54EC740A"/>
    <w:rsid w:val="55026D8A"/>
    <w:rsid w:val="550A5F84"/>
    <w:rsid w:val="5512279A"/>
    <w:rsid w:val="551F27F1"/>
    <w:rsid w:val="55382D91"/>
    <w:rsid w:val="553B754B"/>
    <w:rsid w:val="55494386"/>
    <w:rsid w:val="555C16B7"/>
    <w:rsid w:val="55655D72"/>
    <w:rsid w:val="558C5D26"/>
    <w:rsid w:val="5594653E"/>
    <w:rsid w:val="559776CC"/>
    <w:rsid w:val="55A61CDE"/>
    <w:rsid w:val="55BD25A5"/>
    <w:rsid w:val="55D42B1A"/>
    <w:rsid w:val="55D80DFB"/>
    <w:rsid w:val="55E31CA9"/>
    <w:rsid w:val="55EF36D4"/>
    <w:rsid w:val="55F11289"/>
    <w:rsid w:val="55FE0AD5"/>
    <w:rsid w:val="56027D21"/>
    <w:rsid w:val="56171953"/>
    <w:rsid w:val="56184059"/>
    <w:rsid w:val="56217A3D"/>
    <w:rsid w:val="56382CCC"/>
    <w:rsid w:val="565261B4"/>
    <w:rsid w:val="56625DD1"/>
    <w:rsid w:val="567C133B"/>
    <w:rsid w:val="567F11C5"/>
    <w:rsid w:val="56823F63"/>
    <w:rsid w:val="5690462F"/>
    <w:rsid w:val="569B1FAC"/>
    <w:rsid w:val="56A53B8E"/>
    <w:rsid w:val="56B740E8"/>
    <w:rsid w:val="56CD23DB"/>
    <w:rsid w:val="56D8578A"/>
    <w:rsid w:val="56E022E5"/>
    <w:rsid w:val="56ED0299"/>
    <w:rsid w:val="56EF42A8"/>
    <w:rsid w:val="570E442C"/>
    <w:rsid w:val="572F4429"/>
    <w:rsid w:val="57341FF5"/>
    <w:rsid w:val="573454AC"/>
    <w:rsid w:val="57376333"/>
    <w:rsid w:val="5750405B"/>
    <w:rsid w:val="57536FAF"/>
    <w:rsid w:val="5767419C"/>
    <w:rsid w:val="576E7DBD"/>
    <w:rsid w:val="578A6200"/>
    <w:rsid w:val="57910F9F"/>
    <w:rsid w:val="57A04E5A"/>
    <w:rsid w:val="57AA530A"/>
    <w:rsid w:val="57C033C8"/>
    <w:rsid w:val="57C879AE"/>
    <w:rsid w:val="57E00C44"/>
    <w:rsid w:val="57E15752"/>
    <w:rsid w:val="57E52FAE"/>
    <w:rsid w:val="5806568C"/>
    <w:rsid w:val="580D034E"/>
    <w:rsid w:val="58147E47"/>
    <w:rsid w:val="581C676D"/>
    <w:rsid w:val="581F2B87"/>
    <w:rsid w:val="583614F1"/>
    <w:rsid w:val="58532F0A"/>
    <w:rsid w:val="58552153"/>
    <w:rsid w:val="58554972"/>
    <w:rsid w:val="585E47D8"/>
    <w:rsid w:val="585F3349"/>
    <w:rsid w:val="58687473"/>
    <w:rsid w:val="5870424F"/>
    <w:rsid w:val="5884120C"/>
    <w:rsid w:val="58845F6A"/>
    <w:rsid w:val="588D6A2C"/>
    <w:rsid w:val="588F43B5"/>
    <w:rsid w:val="58D10F5E"/>
    <w:rsid w:val="58D22C4D"/>
    <w:rsid w:val="58D43CFB"/>
    <w:rsid w:val="58D50CA1"/>
    <w:rsid w:val="58EB0B31"/>
    <w:rsid w:val="5907319B"/>
    <w:rsid w:val="590B2BEA"/>
    <w:rsid w:val="590D7687"/>
    <w:rsid w:val="59135C3F"/>
    <w:rsid w:val="59145D56"/>
    <w:rsid w:val="591E2FE5"/>
    <w:rsid w:val="591E42B0"/>
    <w:rsid w:val="5920082D"/>
    <w:rsid w:val="592508C4"/>
    <w:rsid w:val="592B7D35"/>
    <w:rsid w:val="593606BD"/>
    <w:rsid w:val="59387EF4"/>
    <w:rsid w:val="595A324F"/>
    <w:rsid w:val="595C2CDD"/>
    <w:rsid w:val="595E5759"/>
    <w:rsid w:val="596A50A0"/>
    <w:rsid w:val="597E0B2B"/>
    <w:rsid w:val="598111A1"/>
    <w:rsid w:val="598D23B3"/>
    <w:rsid w:val="5992070A"/>
    <w:rsid w:val="59A53DB7"/>
    <w:rsid w:val="59A94B50"/>
    <w:rsid w:val="59A96022"/>
    <w:rsid w:val="59AE3B5D"/>
    <w:rsid w:val="59B2028D"/>
    <w:rsid w:val="59B872D5"/>
    <w:rsid w:val="59B944E3"/>
    <w:rsid w:val="59BE473E"/>
    <w:rsid w:val="59C407BC"/>
    <w:rsid w:val="59D85F41"/>
    <w:rsid w:val="59F11FD2"/>
    <w:rsid w:val="59F54F54"/>
    <w:rsid w:val="59F7720D"/>
    <w:rsid w:val="5A025415"/>
    <w:rsid w:val="5A1B4C0C"/>
    <w:rsid w:val="5A1C27BF"/>
    <w:rsid w:val="5A27351D"/>
    <w:rsid w:val="5A2E14D9"/>
    <w:rsid w:val="5A406265"/>
    <w:rsid w:val="5A4A7AA5"/>
    <w:rsid w:val="5A55422F"/>
    <w:rsid w:val="5A602EF1"/>
    <w:rsid w:val="5A78316F"/>
    <w:rsid w:val="5A864D42"/>
    <w:rsid w:val="5A8E1F36"/>
    <w:rsid w:val="5A904C2F"/>
    <w:rsid w:val="5A96481D"/>
    <w:rsid w:val="5AA5213D"/>
    <w:rsid w:val="5AA56704"/>
    <w:rsid w:val="5AA90887"/>
    <w:rsid w:val="5AB96C47"/>
    <w:rsid w:val="5ABF4F8B"/>
    <w:rsid w:val="5AC139E6"/>
    <w:rsid w:val="5AE774FC"/>
    <w:rsid w:val="5AFC2686"/>
    <w:rsid w:val="5B0C7C6C"/>
    <w:rsid w:val="5B1512A3"/>
    <w:rsid w:val="5B2B52FD"/>
    <w:rsid w:val="5B305F2C"/>
    <w:rsid w:val="5B411606"/>
    <w:rsid w:val="5B59276F"/>
    <w:rsid w:val="5B5F1DB2"/>
    <w:rsid w:val="5B756F3F"/>
    <w:rsid w:val="5B765B30"/>
    <w:rsid w:val="5B94406A"/>
    <w:rsid w:val="5B9F3E22"/>
    <w:rsid w:val="5BA11945"/>
    <w:rsid w:val="5BA47968"/>
    <w:rsid w:val="5BB67D70"/>
    <w:rsid w:val="5BBB4C40"/>
    <w:rsid w:val="5BD369E9"/>
    <w:rsid w:val="5BD87E91"/>
    <w:rsid w:val="5BDD77A5"/>
    <w:rsid w:val="5BEB7DE0"/>
    <w:rsid w:val="5BEC2361"/>
    <w:rsid w:val="5C095D7C"/>
    <w:rsid w:val="5C2C296E"/>
    <w:rsid w:val="5C3276F3"/>
    <w:rsid w:val="5C356987"/>
    <w:rsid w:val="5C3F1327"/>
    <w:rsid w:val="5C4C1E3C"/>
    <w:rsid w:val="5C4C7810"/>
    <w:rsid w:val="5C5057C7"/>
    <w:rsid w:val="5C5177F9"/>
    <w:rsid w:val="5C535EA5"/>
    <w:rsid w:val="5C64330B"/>
    <w:rsid w:val="5C653C39"/>
    <w:rsid w:val="5C6B0197"/>
    <w:rsid w:val="5C7A494D"/>
    <w:rsid w:val="5C7C64D3"/>
    <w:rsid w:val="5C86315F"/>
    <w:rsid w:val="5C960ADB"/>
    <w:rsid w:val="5CA50717"/>
    <w:rsid w:val="5CAB14FC"/>
    <w:rsid w:val="5CAF4DE0"/>
    <w:rsid w:val="5CB360F0"/>
    <w:rsid w:val="5CB60A73"/>
    <w:rsid w:val="5CBB291C"/>
    <w:rsid w:val="5CC9498E"/>
    <w:rsid w:val="5CDF2DB7"/>
    <w:rsid w:val="5CE32C91"/>
    <w:rsid w:val="5CED486C"/>
    <w:rsid w:val="5CF65C14"/>
    <w:rsid w:val="5D096E2E"/>
    <w:rsid w:val="5D2752FA"/>
    <w:rsid w:val="5D3B7674"/>
    <w:rsid w:val="5D3C440D"/>
    <w:rsid w:val="5D401CE9"/>
    <w:rsid w:val="5D501E9F"/>
    <w:rsid w:val="5D560557"/>
    <w:rsid w:val="5D5C4814"/>
    <w:rsid w:val="5D624EAB"/>
    <w:rsid w:val="5D685624"/>
    <w:rsid w:val="5D6B386D"/>
    <w:rsid w:val="5D900F60"/>
    <w:rsid w:val="5D9F4AC9"/>
    <w:rsid w:val="5DA23169"/>
    <w:rsid w:val="5DA45138"/>
    <w:rsid w:val="5DA83417"/>
    <w:rsid w:val="5DAC20F8"/>
    <w:rsid w:val="5DB06D0A"/>
    <w:rsid w:val="5DB62C58"/>
    <w:rsid w:val="5DB8360D"/>
    <w:rsid w:val="5DBC370E"/>
    <w:rsid w:val="5DC01073"/>
    <w:rsid w:val="5DC70114"/>
    <w:rsid w:val="5DCB66FF"/>
    <w:rsid w:val="5DD25FF3"/>
    <w:rsid w:val="5DFA6035"/>
    <w:rsid w:val="5E1933A1"/>
    <w:rsid w:val="5E217919"/>
    <w:rsid w:val="5E252294"/>
    <w:rsid w:val="5E570D3A"/>
    <w:rsid w:val="5E6A205F"/>
    <w:rsid w:val="5E7841A4"/>
    <w:rsid w:val="5E847436"/>
    <w:rsid w:val="5E8717F6"/>
    <w:rsid w:val="5E8C3616"/>
    <w:rsid w:val="5E9215FB"/>
    <w:rsid w:val="5EA36828"/>
    <w:rsid w:val="5EA74A99"/>
    <w:rsid w:val="5EAF4937"/>
    <w:rsid w:val="5EB65989"/>
    <w:rsid w:val="5ED144BF"/>
    <w:rsid w:val="5ED16A06"/>
    <w:rsid w:val="5ED755FC"/>
    <w:rsid w:val="5ED92A1A"/>
    <w:rsid w:val="5EE24E06"/>
    <w:rsid w:val="5EE73934"/>
    <w:rsid w:val="5EEE0218"/>
    <w:rsid w:val="5EEE63F6"/>
    <w:rsid w:val="5EF22CD0"/>
    <w:rsid w:val="5EFB5126"/>
    <w:rsid w:val="5EFD5445"/>
    <w:rsid w:val="5F071856"/>
    <w:rsid w:val="5F18763B"/>
    <w:rsid w:val="5F227324"/>
    <w:rsid w:val="5F245C78"/>
    <w:rsid w:val="5F2A1A46"/>
    <w:rsid w:val="5F2C31E5"/>
    <w:rsid w:val="5F471EF1"/>
    <w:rsid w:val="5F47503C"/>
    <w:rsid w:val="5F6040D2"/>
    <w:rsid w:val="5F6D7DE2"/>
    <w:rsid w:val="5F6E70EC"/>
    <w:rsid w:val="5F7D764E"/>
    <w:rsid w:val="5F97260E"/>
    <w:rsid w:val="5F976F08"/>
    <w:rsid w:val="5FAB066E"/>
    <w:rsid w:val="5FB1788A"/>
    <w:rsid w:val="5FBE1B3D"/>
    <w:rsid w:val="5FC87C22"/>
    <w:rsid w:val="5FE97B53"/>
    <w:rsid w:val="5FEC3889"/>
    <w:rsid w:val="60010025"/>
    <w:rsid w:val="600E62BF"/>
    <w:rsid w:val="60120951"/>
    <w:rsid w:val="601927EB"/>
    <w:rsid w:val="60230040"/>
    <w:rsid w:val="602905EB"/>
    <w:rsid w:val="602E3DAA"/>
    <w:rsid w:val="602F1D8D"/>
    <w:rsid w:val="60474B7E"/>
    <w:rsid w:val="604B42CF"/>
    <w:rsid w:val="604C7CF5"/>
    <w:rsid w:val="605C31B1"/>
    <w:rsid w:val="605D42A8"/>
    <w:rsid w:val="607C74DE"/>
    <w:rsid w:val="60913D18"/>
    <w:rsid w:val="609B045F"/>
    <w:rsid w:val="609E4580"/>
    <w:rsid w:val="60A5152B"/>
    <w:rsid w:val="60AB1583"/>
    <w:rsid w:val="60AF51F5"/>
    <w:rsid w:val="60C953ED"/>
    <w:rsid w:val="60CB1CA2"/>
    <w:rsid w:val="60D017EE"/>
    <w:rsid w:val="60D029B7"/>
    <w:rsid w:val="60DA399F"/>
    <w:rsid w:val="60E30A1C"/>
    <w:rsid w:val="60E8224B"/>
    <w:rsid w:val="61042925"/>
    <w:rsid w:val="61062B0E"/>
    <w:rsid w:val="61093393"/>
    <w:rsid w:val="61170F86"/>
    <w:rsid w:val="61292C89"/>
    <w:rsid w:val="612C6A8C"/>
    <w:rsid w:val="612D3241"/>
    <w:rsid w:val="614147C8"/>
    <w:rsid w:val="61431B35"/>
    <w:rsid w:val="61586131"/>
    <w:rsid w:val="61775A4D"/>
    <w:rsid w:val="617D49A5"/>
    <w:rsid w:val="61853DDA"/>
    <w:rsid w:val="61B11E88"/>
    <w:rsid w:val="61C25DCA"/>
    <w:rsid w:val="61CC10F5"/>
    <w:rsid w:val="61E56929"/>
    <w:rsid w:val="61EE0898"/>
    <w:rsid w:val="61F776CB"/>
    <w:rsid w:val="620B34E1"/>
    <w:rsid w:val="620C03DF"/>
    <w:rsid w:val="62222734"/>
    <w:rsid w:val="62230DE5"/>
    <w:rsid w:val="623931B3"/>
    <w:rsid w:val="624468D1"/>
    <w:rsid w:val="62571204"/>
    <w:rsid w:val="625874E7"/>
    <w:rsid w:val="62607D46"/>
    <w:rsid w:val="6273185E"/>
    <w:rsid w:val="627C2658"/>
    <w:rsid w:val="62802D45"/>
    <w:rsid w:val="62894611"/>
    <w:rsid w:val="628F1064"/>
    <w:rsid w:val="62973A04"/>
    <w:rsid w:val="629C48D3"/>
    <w:rsid w:val="62A57DD4"/>
    <w:rsid w:val="62B31977"/>
    <w:rsid w:val="62B34A21"/>
    <w:rsid w:val="62C06F46"/>
    <w:rsid w:val="62D037B4"/>
    <w:rsid w:val="62D953F6"/>
    <w:rsid w:val="630936D4"/>
    <w:rsid w:val="6310613D"/>
    <w:rsid w:val="63185B29"/>
    <w:rsid w:val="63277855"/>
    <w:rsid w:val="633810FF"/>
    <w:rsid w:val="633F59FD"/>
    <w:rsid w:val="634A55F3"/>
    <w:rsid w:val="634C799E"/>
    <w:rsid w:val="63527C84"/>
    <w:rsid w:val="63575511"/>
    <w:rsid w:val="636712F4"/>
    <w:rsid w:val="637378CD"/>
    <w:rsid w:val="63771EDC"/>
    <w:rsid w:val="637744DD"/>
    <w:rsid w:val="637D47C2"/>
    <w:rsid w:val="63895335"/>
    <w:rsid w:val="63A01110"/>
    <w:rsid w:val="63AB1948"/>
    <w:rsid w:val="63BF1389"/>
    <w:rsid w:val="63C95128"/>
    <w:rsid w:val="63CD434D"/>
    <w:rsid w:val="63E10C88"/>
    <w:rsid w:val="63E139AC"/>
    <w:rsid w:val="63EC1165"/>
    <w:rsid w:val="63F604DB"/>
    <w:rsid w:val="63FE7D7E"/>
    <w:rsid w:val="63FF25CF"/>
    <w:rsid w:val="642132EB"/>
    <w:rsid w:val="64226441"/>
    <w:rsid w:val="64271425"/>
    <w:rsid w:val="643063BE"/>
    <w:rsid w:val="643853EA"/>
    <w:rsid w:val="64396691"/>
    <w:rsid w:val="643C1845"/>
    <w:rsid w:val="64444E12"/>
    <w:rsid w:val="645D587D"/>
    <w:rsid w:val="645E6818"/>
    <w:rsid w:val="648B575B"/>
    <w:rsid w:val="648D758B"/>
    <w:rsid w:val="64937267"/>
    <w:rsid w:val="64B534BA"/>
    <w:rsid w:val="64C4518B"/>
    <w:rsid w:val="64CB2566"/>
    <w:rsid w:val="64D15432"/>
    <w:rsid w:val="64D52839"/>
    <w:rsid w:val="64E23329"/>
    <w:rsid w:val="64E75FA8"/>
    <w:rsid w:val="64E87997"/>
    <w:rsid w:val="64F15F09"/>
    <w:rsid w:val="650F3022"/>
    <w:rsid w:val="651A1D03"/>
    <w:rsid w:val="652F272D"/>
    <w:rsid w:val="654877B9"/>
    <w:rsid w:val="654C12E4"/>
    <w:rsid w:val="65582786"/>
    <w:rsid w:val="65634D10"/>
    <w:rsid w:val="65636412"/>
    <w:rsid w:val="656E260B"/>
    <w:rsid w:val="656F35D7"/>
    <w:rsid w:val="659E3BCA"/>
    <w:rsid w:val="65A44A37"/>
    <w:rsid w:val="65A92E8F"/>
    <w:rsid w:val="65B17815"/>
    <w:rsid w:val="65B70C73"/>
    <w:rsid w:val="65C06D32"/>
    <w:rsid w:val="65C812EA"/>
    <w:rsid w:val="65CF44CD"/>
    <w:rsid w:val="65D5358C"/>
    <w:rsid w:val="65DF72BA"/>
    <w:rsid w:val="65E56CC2"/>
    <w:rsid w:val="65E804C5"/>
    <w:rsid w:val="65E821F6"/>
    <w:rsid w:val="65FC5D43"/>
    <w:rsid w:val="661226C6"/>
    <w:rsid w:val="66183AC2"/>
    <w:rsid w:val="661A2CE9"/>
    <w:rsid w:val="661B1C33"/>
    <w:rsid w:val="66261B69"/>
    <w:rsid w:val="662B4D8D"/>
    <w:rsid w:val="663511C4"/>
    <w:rsid w:val="6643017F"/>
    <w:rsid w:val="66645565"/>
    <w:rsid w:val="6667661D"/>
    <w:rsid w:val="666A584F"/>
    <w:rsid w:val="666B5E42"/>
    <w:rsid w:val="668227EB"/>
    <w:rsid w:val="66827C59"/>
    <w:rsid w:val="669350E0"/>
    <w:rsid w:val="6696138B"/>
    <w:rsid w:val="66983864"/>
    <w:rsid w:val="669938C9"/>
    <w:rsid w:val="669D5ACF"/>
    <w:rsid w:val="66B42683"/>
    <w:rsid w:val="66B82FAD"/>
    <w:rsid w:val="66BE2686"/>
    <w:rsid w:val="66C64F05"/>
    <w:rsid w:val="66DC5DD9"/>
    <w:rsid w:val="66E049FE"/>
    <w:rsid w:val="66E623E6"/>
    <w:rsid w:val="66E7497F"/>
    <w:rsid w:val="66F315B6"/>
    <w:rsid w:val="66F5735C"/>
    <w:rsid w:val="67556811"/>
    <w:rsid w:val="675B5F85"/>
    <w:rsid w:val="675E3EEE"/>
    <w:rsid w:val="676E37D1"/>
    <w:rsid w:val="678D6FD6"/>
    <w:rsid w:val="678E6077"/>
    <w:rsid w:val="67A3550F"/>
    <w:rsid w:val="67B03FC7"/>
    <w:rsid w:val="67B11EF1"/>
    <w:rsid w:val="67B54D5F"/>
    <w:rsid w:val="67B9423B"/>
    <w:rsid w:val="67BB48C2"/>
    <w:rsid w:val="67BD4FBD"/>
    <w:rsid w:val="67CC0DF7"/>
    <w:rsid w:val="67CC2961"/>
    <w:rsid w:val="67D05CAD"/>
    <w:rsid w:val="67D46534"/>
    <w:rsid w:val="67D5405C"/>
    <w:rsid w:val="67E82673"/>
    <w:rsid w:val="67E84EC1"/>
    <w:rsid w:val="67EE7F83"/>
    <w:rsid w:val="67FC293B"/>
    <w:rsid w:val="68101143"/>
    <w:rsid w:val="68117B0C"/>
    <w:rsid w:val="6812542E"/>
    <w:rsid w:val="68153BB5"/>
    <w:rsid w:val="68253B9A"/>
    <w:rsid w:val="683121B5"/>
    <w:rsid w:val="68460745"/>
    <w:rsid w:val="684D4448"/>
    <w:rsid w:val="687215D8"/>
    <w:rsid w:val="687A3048"/>
    <w:rsid w:val="68804984"/>
    <w:rsid w:val="688B56B0"/>
    <w:rsid w:val="68A903E6"/>
    <w:rsid w:val="68AE4CA8"/>
    <w:rsid w:val="68B12DED"/>
    <w:rsid w:val="68B23C49"/>
    <w:rsid w:val="68B85EEF"/>
    <w:rsid w:val="68B97D07"/>
    <w:rsid w:val="68D22B87"/>
    <w:rsid w:val="68D8234C"/>
    <w:rsid w:val="690047DF"/>
    <w:rsid w:val="690F39FB"/>
    <w:rsid w:val="691253A3"/>
    <w:rsid w:val="692A7720"/>
    <w:rsid w:val="69314784"/>
    <w:rsid w:val="69382CB9"/>
    <w:rsid w:val="694F3CEB"/>
    <w:rsid w:val="695B32D9"/>
    <w:rsid w:val="69640CEE"/>
    <w:rsid w:val="696C733A"/>
    <w:rsid w:val="697224CB"/>
    <w:rsid w:val="697C44E3"/>
    <w:rsid w:val="6983565E"/>
    <w:rsid w:val="69872B7B"/>
    <w:rsid w:val="6989559B"/>
    <w:rsid w:val="698E2723"/>
    <w:rsid w:val="6992557B"/>
    <w:rsid w:val="699A4165"/>
    <w:rsid w:val="69A06428"/>
    <w:rsid w:val="69A5052C"/>
    <w:rsid w:val="69A819A5"/>
    <w:rsid w:val="69AA3B76"/>
    <w:rsid w:val="69BC7448"/>
    <w:rsid w:val="69C850C6"/>
    <w:rsid w:val="69D0028D"/>
    <w:rsid w:val="69D57482"/>
    <w:rsid w:val="69DD4688"/>
    <w:rsid w:val="69E1324A"/>
    <w:rsid w:val="69EB0837"/>
    <w:rsid w:val="69FE77CF"/>
    <w:rsid w:val="6A087666"/>
    <w:rsid w:val="6A240D64"/>
    <w:rsid w:val="6A256AE2"/>
    <w:rsid w:val="6A342BB9"/>
    <w:rsid w:val="6A366546"/>
    <w:rsid w:val="6A3F3B66"/>
    <w:rsid w:val="6A424C9D"/>
    <w:rsid w:val="6A465781"/>
    <w:rsid w:val="6A481F0B"/>
    <w:rsid w:val="6A487185"/>
    <w:rsid w:val="6A511B16"/>
    <w:rsid w:val="6A5201AD"/>
    <w:rsid w:val="6A5562E4"/>
    <w:rsid w:val="6A6D19E6"/>
    <w:rsid w:val="6A987128"/>
    <w:rsid w:val="6A9D187F"/>
    <w:rsid w:val="6AA07E21"/>
    <w:rsid w:val="6AA97BD8"/>
    <w:rsid w:val="6AAA62E8"/>
    <w:rsid w:val="6AAF4F82"/>
    <w:rsid w:val="6AD122C5"/>
    <w:rsid w:val="6AEB2042"/>
    <w:rsid w:val="6AEF1DC1"/>
    <w:rsid w:val="6AF115BD"/>
    <w:rsid w:val="6AFA23FB"/>
    <w:rsid w:val="6B0B3CC7"/>
    <w:rsid w:val="6B2369C5"/>
    <w:rsid w:val="6B2D6A52"/>
    <w:rsid w:val="6B361C33"/>
    <w:rsid w:val="6B3B0787"/>
    <w:rsid w:val="6B3B533D"/>
    <w:rsid w:val="6B5D3092"/>
    <w:rsid w:val="6B780D6F"/>
    <w:rsid w:val="6B7E77D7"/>
    <w:rsid w:val="6B8005D0"/>
    <w:rsid w:val="6B8A0DBC"/>
    <w:rsid w:val="6B8B7D32"/>
    <w:rsid w:val="6B8E0386"/>
    <w:rsid w:val="6BAC41E5"/>
    <w:rsid w:val="6BAE534A"/>
    <w:rsid w:val="6BC11A68"/>
    <w:rsid w:val="6BC630C7"/>
    <w:rsid w:val="6BD44163"/>
    <w:rsid w:val="6BDC43C0"/>
    <w:rsid w:val="6BDE72A1"/>
    <w:rsid w:val="6BE13476"/>
    <w:rsid w:val="6BE32E25"/>
    <w:rsid w:val="6BF4106F"/>
    <w:rsid w:val="6BF50564"/>
    <w:rsid w:val="6BFB08CE"/>
    <w:rsid w:val="6C037A0F"/>
    <w:rsid w:val="6C0D1AF4"/>
    <w:rsid w:val="6C1640D1"/>
    <w:rsid w:val="6C1A383C"/>
    <w:rsid w:val="6C202BE1"/>
    <w:rsid w:val="6C230E12"/>
    <w:rsid w:val="6C2A53B7"/>
    <w:rsid w:val="6C2D2393"/>
    <w:rsid w:val="6C372AE2"/>
    <w:rsid w:val="6C410D49"/>
    <w:rsid w:val="6C472B52"/>
    <w:rsid w:val="6C485B31"/>
    <w:rsid w:val="6C4A385C"/>
    <w:rsid w:val="6C673BDF"/>
    <w:rsid w:val="6C6D08DE"/>
    <w:rsid w:val="6C82331D"/>
    <w:rsid w:val="6C8F0353"/>
    <w:rsid w:val="6C961388"/>
    <w:rsid w:val="6CB05454"/>
    <w:rsid w:val="6CD615CA"/>
    <w:rsid w:val="6CDB0414"/>
    <w:rsid w:val="6CEA30A5"/>
    <w:rsid w:val="6CF46465"/>
    <w:rsid w:val="6CF81ED5"/>
    <w:rsid w:val="6CF8755E"/>
    <w:rsid w:val="6D0D4491"/>
    <w:rsid w:val="6D1F27FC"/>
    <w:rsid w:val="6D3307B0"/>
    <w:rsid w:val="6D3E64D9"/>
    <w:rsid w:val="6D400312"/>
    <w:rsid w:val="6D557C13"/>
    <w:rsid w:val="6D5E0716"/>
    <w:rsid w:val="6D60243A"/>
    <w:rsid w:val="6D72781C"/>
    <w:rsid w:val="6D7425F5"/>
    <w:rsid w:val="6D865917"/>
    <w:rsid w:val="6D8D7AA3"/>
    <w:rsid w:val="6D933D20"/>
    <w:rsid w:val="6D9667EE"/>
    <w:rsid w:val="6DAB6A8B"/>
    <w:rsid w:val="6DAF4234"/>
    <w:rsid w:val="6DB04372"/>
    <w:rsid w:val="6DB07AFA"/>
    <w:rsid w:val="6DC20D48"/>
    <w:rsid w:val="6DCC1C84"/>
    <w:rsid w:val="6DD470EB"/>
    <w:rsid w:val="6DD50456"/>
    <w:rsid w:val="6DD55827"/>
    <w:rsid w:val="6DEB58B4"/>
    <w:rsid w:val="6DFC52C7"/>
    <w:rsid w:val="6E0E2454"/>
    <w:rsid w:val="6E156B10"/>
    <w:rsid w:val="6E1571D9"/>
    <w:rsid w:val="6E172E98"/>
    <w:rsid w:val="6E332619"/>
    <w:rsid w:val="6E5443F9"/>
    <w:rsid w:val="6E5853C2"/>
    <w:rsid w:val="6E670DD5"/>
    <w:rsid w:val="6E6777BB"/>
    <w:rsid w:val="6E712DCE"/>
    <w:rsid w:val="6E872EF6"/>
    <w:rsid w:val="6E8967A0"/>
    <w:rsid w:val="6E8A6DA9"/>
    <w:rsid w:val="6E8D64AA"/>
    <w:rsid w:val="6E9E1243"/>
    <w:rsid w:val="6EB36B9A"/>
    <w:rsid w:val="6EBB70E3"/>
    <w:rsid w:val="6EBE6FBF"/>
    <w:rsid w:val="6EDA6E4C"/>
    <w:rsid w:val="6EE544F5"/>
    <w:rsid w:val="6EE82541"/>
    <w:rsid w:val="6EFB773E"/>
    <w:rsid w:val="6F0D420B"/>
    <w:rsid w:val="6F1556F4"/>
    <w:rsid w:val="6F22300E"/>
    <w:rsid w:val="6F2C1A08"/>
    <w:rsid w:val="6F3340CC"/>
    <w:rsid w:val="6F363C25"/>
    <w:rsid w:val="6F375890"/>
    <w:rsid w:val="6F37611E"/>
    <w:rsid w:val="6F3B6380"/>
    <w:rsid w:val="6F3F67E5"/>
    <w:rsid w:val="6F4F5087"/>
    <w:rsid w:val="6F504AF2"/>
    <w:rsid w:val="6F5E4CE0"/>
    <w:rsid w:val="6F74542D"/>
    <w:rsid w:val="6F8C0084"/>
    <w:rsid w:val="6FB737A4"/>
    <w:rsid w:val="6FC53069"/>
    <w:rsid w:val="6FD52DE9"/>
    <w:rsid w:val="6FE31B4D"/>
    <w:rsid w:val="6FF34CB2"/>
    <w:rsid w:val="6FFA4470"/>
    <w:rsid w:val="6FFD2BFC"/>
    <w:rsid w:val="70077AF3"/>
    <w:rsid w:val="700F352A"/>
    <w:rsid w:val="7017739A"/>
    <w:rsid w:val="701E4180"/>
    <w:rsid w:val="702E31BD"/>
    <w:rsid w:val="70344060"/>
    <w:rsid w:val="70344400"/>
    <w:rsid w:val="70475913"/>
    <w:rsid w:val="705A305D"/>
    <w:rsid w:val="70650F26"/>
    <w:rsid w:val="706D5D2B"/>
    <w:rsid w:val="706F5980"/>
    <w:rsid w:val="707A5546"/>
    <w:rsid w:val="709D1173"/>
    <w:rsid w:val="70A909ED"/>
    <w:rsid w:val="70AA285E"/>
    <w:rsid w:val="70BF56BD"/>
    <w:rsid w:val="70C12698"/>
    <w:rsid w:val="70D26825"/>
    <w:rsid w:val="70DF13D7"/>
    <w:rsid w:val="70E54E2B"/>
    <w:rsid w:val="70E60809"/>
    <w:rsid w:val="7107270B"/>
    <w:rsid w:val="7108450F"/>
    <w:rsid w:val="71145C9D"/>
    <w:rsid w:val="711E2F52"/>
    <w:rsid w:val="71273A0D"/>
    <w:rsid w:val="712D49BE"/>
    <w:rsid w:val="71345CDA"/>
    <w:rsid w:val="713E2939"/>
    <w:rsid w:val="71406ED3"/>
    <w:rsid w:val="71422927"/>
    <w:rsid w:val="71455ED4"/>
    <w:rsid w:val="716604E1"/>
    <w:rsid w:val="716A14FF"/>
    <w:rsid w:val="716E13B2"/>
    <w:rsid w:val="717D2E24"/>
    <w:rsid w:val="71853E8C"/>
    <w:rsid w:val="719A3484"/>
    <w:rsid w:val="71B01127"/>
    <w:rsid w:val="71B112D4"/>
    <w:rsid w:val="71C81793"/>
    <w:rsid w:val="71D62167"/>
    <w:rsid w:val="71E555AC"/>
    <w:rsid w:val="71E97D6D"/>
    <w:rsid w:val="71EE03BB"/>
    <w:rsid w:val="71FD106B"/>
    <w:rsid w:val="720102DC"/>
    <w:rsid w:val="722772E7"/>
    <w:rsid w:val="72282321"/>
    <w:rsid w:val="722C2FED"/>
    <w:rsid w:val="723A2500"/>
    <w:rsid w:val="7240648F"/>
    <w:rsid w:val="726F2FFD"/>
    <w:rsid w:val="729B359B"/>
    <w:rsid w:val="72B046BF"/>
    <w:rsid w:val="72B13081"/>
    <w:rsid w:val="72B44495"/>
    <w:rsid w:val="72B50D2F"/>
    <w:rsid w:val="72BC2829"/>
    <w:rsid w:val="72C40D43"/>
    <w:rsid w:val="72C8124D"/>
    <w:rsid w:val="72D444B1"/>
    <w:rsid w:val="72D513E3"/>
    <w:rsid w:val="72F6227D"/>
    <w:rsid w:val="73102C90"/>
    <w:rsid w:val="731064CB"/>
    <w:rsid w:val="7312294F"/>
    <w:rsid w:val="73176417"/>
    <w:rsid w:val="7318452E"/>
    <w:rsid w:val="731C1CE2"/>
    <w:rsid w:val="733F396B"/>
    <w:rsid w:val="73414B78"/>
    <w:rsid w:val="734D4261"/>
    <w:rsid w:val="736D058B"/>
    <w:rsid w:val="7373017B"/>
    <w:rsid w:val="737D68ED"/>
    <w:rsid w:val="73875C12"/>
    <w:rsid w:val="738F4903"/>
    <w:rsid w:val="73A135BE"/>
    <w:rsid w:val="73A417CD"/>
    <w:rsid w:val="73AB5855"/>
    <w:rsid w:val="73BB11AF"/>
    <w:rsid w:val="73C52A60"/>
    <w:rsid w:val="73C74D53"/>
    <w:rsid w:val="73CF7CF2"/>
    <w:rsid w:val="73D70BE8"/>
    <w:rsid w:val="73DB54A6"/>
    <w:rsid w:val="73F240EA"/>
    <w:rsid w:val="74060384"/>
    <w:rsid w:val="740908BA"/>
    <w:rsid w:val="74190B0B"/>
    <w:rsid w:val="741C479E"/>
    <w:rsid w:val="74282325"/>
    <w:rsid w:val="742849EE"/>
    <w:rsid w:val="7436335D"/>
    <w:rsid w:val="743676DB"/>
    <w:rsid w:val="744A02F7"/>
    <w:rsid w:val="745E7B7D"/>
    <w:rsid w:val="7465595B"/>
    <w:rsid w:val="74672D99"/>
    <w:rsid w:val="746B0764"/>
    <w:rsid w:val="746D5DCF"/>
    <w:rsid w:val="74721376"/>
    <w:rsid w:val="747A5156"/>
    <w:rsid w:val="747F2A8B"/>
    <w:rsid w:val="748710CD"/>
    <w:rsid w:val="74952353"/>
    <w:rsid w:val="749626CE"/>
    <w:rsid w:val="74A72EB7"/>
    <w:rsid w:val="74AA4A9F"/>
    <w:rsid w:val="74B0038B"/>
    <w:rsid w:val="74B75171"/>
    <w:rsid w:val="74EA4147"/>
    <w:rsid w:val="75035A1F"/>
    <w:rsid w:val="75175363"/>
    <w:rsid w:val="75230B92"/>
    <w:rsid w:val="75381D9F"/>
    <w:rsid w:val="753B272C"/>
    <w:rsid w:val="753C77E3"/>
    <w:rsid w:val="753E7044"/>
    <w:rsid w:val="75445AC7"/>
    <w:rsid w:val="754E5B7B"/>
    <w:rsid w:val="75576682"/>
    <w:rsid w:val="757B7AAB"/>
    <w:rsid w:val="75800489"/>
    <w:rsid w:val="758D3211"/>
    <w:rsid w:val="759679F6"/>
    <w:rsid w:val="759E4055"/>
    <w:rsid w:val="75A70E88"/>
    <w:rsid w:val="75A94BBB"/>
    <w:rsid w:val="75AF07F6"/>
    <w:rsid w:val="75AF1783"/>
    <w:rsid w:val="75C95895"/>
    <w:rsid w:val="75CE6FCD"/>
    <w:rsid w:val="75D22492"/>
    <w:rsid w:val="75D635E3"/>
    <w:rsid w:val="75DA01E0"/>
    <w:rsid w:val="75EA305C"/>
    <w:rsid w:val="75EF3FD6"/>
    <w:rsid w:val="75FE617D"/>
    <w:rsid w:val="761812E7"/>
    <w:rsid w:val="76621C03"/>
    <w:rsid w:val="76632CCC"/>
    <w:rsid w:val="76750009"/>
    <w:rsid w:val="7675511B"/>
    <w:rsid w:val="767B1538"/>
    <w:rsid w:val="767C4C8B"/>
    <w:rsid w:val="76814AE0"/>
    <w:rsid w:val="768507CF"/>
    <w:rsid w:val="768A5CD3"/>
    <w:rsid w:val="768C2E75"/>
    <w:rsid w:val="768F4549"/>
    <w:rsid w:val="76966F31"/>
    <w:rsid w:val="769F2646"/>
    <w:rsid w:val="76A81DC2"/>
    <w:rsid w:val="76AC7435"/>
    <w:rsid w:val="76BC04DF"/>
    <w:rsid w:val="76CC2956"/>
    <w:rsid w:val="770818C0"/>
    <w:rsid w:val="770F4CB8"/>
    <w:rsid w:val="7714593C"/>
    <w:rsid w:val="77374101"/>
    <w:rsid w:val="773F0E21"/>
    <w:rsid w:val="774A36FF"/>
    <w:rsid w:val="777C2037"/>
    <w:rsid w:val="777C5DBE"/>
    <w:rsid w:val="77985A76"/>
    <w:rsid w:val="77A86EE1"/>
    <w:rsid w:val="77AA0833"/>
    <w:rsid w:val="77CA4A4E"/>
    <w:rsid w:val="77DC068A"/>
    <w:rsid w:val="77E8457D"/>
    <w:rsid w:val="77E9474A"/>
    <w:rsid w:val="77EA13D9"/>
    <w:rsid w:val="77EC1425"/>
    <w:rsid w:val="77FE12E5"/>
    <w:rsid w:val="7803225F"/>
    <w:rsid w:val="78187A5D"/>
    <w:rsid w:val="78285B17"/>
    <w:rsid w:val="782F0C6B"/>
    <w:rsid w:val="78394CE5"/>
    <w:rsid w:val="783D5D04"/>
    <w:rsid w:val="78472C3B"/>
    <w:rsid w:val="785857F9"/>
    <w:rsid w:val="786461C5"/>
    <w:rsid w:val="786638C7"/>
    <w:rsid w:val="786D5BC3"/>
    <w:rsid w:val="787674E4"/>
    <w:rsid w:val="788E0DE0"/>
    <w:rsid w:val="78913E4D"/>
    <w:rsid w:val="789B4DF9"/>
    <w:rsid w:val="78A61284"/>
    <w:rsid w:val="78AF2D54"/>
    <w:rsid w:val="78B23CBD"/>
    <w:rsid w:val="78C263DB"/>
    <w:rsid w:val="78D92A78"/>
    <w:rsid w:val="78F320F1"/>
    <w:rsid w:val="78F919FA"/>
    <w:rsid w:val="790B5270"/>
    <w:rsid w:val="792A287C"/>
    <w:rsid w:val="792B4557"/>
    <w:rsid w:val="792D5349"/>
    <w:rsid w:val="79311C3C"/>
    <w:rsid w:val="79315FE3"/>
    <w:rsid w:val="79351E9E"/>
    <w:rsid w:val="794443DE"/>
    <w:rsid w:val="79451C37"/>
    <w:rsid w:val="794A33DB"/>
    <w:rsid w:val="794D4B13"/>
    <w:rsid w:val="794E2DCB"/>
    <w:rsid w:val="79554DF4"/>
    <w:rsid w:val="795A442A"/>
    <w:rsid w:val="795D4B1B"/>
    <w:rsid w:val="79647EAE"/>
    <w:rsid w:val="79660C74"/>
    <w:rsid w:val="79665210"/>
    <w:rsid w:val="796D2B4B"/>
    <w:rsid w:val="796D3353"/>
    <w:rsid w:val="796D3356"/>
    <w:rsid w:val="796F5746"/>
    <w:rsid w:val="7971748E"/>
    <w:rsid w:val="7982219D"/>
    <w:rsid w:val="798F0E5F"/>
    <w:rsid w:val="7996341A"/>
    <w:rsid w:val="79993F48"/>
    <w:rsid w:val="79A44FA4"/>
    <w:rsid w:val="79A60738"/>
    <w:rsid w:val="79AB02E5"/>
    <w:rsid w:val="79AF1129"/>
    <w:rsid w:val="79C36906"/>
    <w:rsid w:val="79D33485"/>
    <w:rsid w:val="7A03065F"/>
    <w:rsid w:val="7A0A13ED"/>
    <w:rsid w:val="7A0A4BB5"/>
    <w:rsid w:val="7A1818FB"/>
    <w:rsid w:val="7A1A3EF0"/>
    <w:rsid w:val="7A1A5A9C"/>
    <w:rsid w:val="7A1C3C0A"/>
    <w:rsid w:val="7A35155A"/>
    <w:rsid w:val="7A3D5C7F"/>
    <w:rsid w:val="7A440CC7"/>
    <w:rsid w:val="7A4E0369"/>
    <w:rsid w:val="7A571EDB"/>
    <w:rsid w:val="7A5A29CD"/>
    <w:rsid w:val="7A5C1008"/>
    <w:rsid w:val="7A5C5D54"/>
    <w:rsid w:val="7A603654"/>
    <w:rsid w:val="7A656602"/>
    <w:rsid w:val="7A6C54CD"/>
    <w:rsid w:val="7A742E98"/>
    <w:rsid w:val="7A7721E8"/>
    <w:rsid w:val="7A7961C7"/>
    <w:rsid w:val="7A7E3C1B"/>
    <w:rsid w:val="7A845092"/>
    <w:rsid w:val="7A953677"/>
    <w:rsid w:val="7A9547FF"/>
    <w:rsid w:val="7AA847DD"/>
    <w:rsid w:val="7AAD4DCD"/>
    <w:rsid w:val="7AC949B4"/>
    <w:rsid w:val="7AD20858"/>
    <w:rsid w:val="7AD27692"/>
    <w:rsid w:val="7AED1AD7"/>
    <w:rsid w:val="7B12733F"/>
    <w:rsid w:val="7B18725E"/>
    <w:rsid w:val="7B2A07A5"/>
    <w:rsid w:val="7B473076"/>
    <w:rsid w:val="7B5C48B9"/>
    <w:rsid w:val="7B673DC9"/>
    <w:rsid w:val="7B9A688B"/>
    <w:rsid w:val="7BB55ADD"/>
    <w:rsid w:val="7BB70480"/>
    <w:rsid w:val="7BF075F2"/>
    <w:rsid w:val="7BFA3403"/>
    <w:rsid w:val="7C0467D5"/>
    <w:rsid w:val="7C0D39AB"/>
    <w:rsid w:val="7C1535FC"/>
    <w:rsid w:val="7C171518"/>
    <w:rsid w:val="7C1949D6"/>
    <w:rsid w:val="7C1B2516"/>
    <w:rsid w:val="7C205F0A"/>
    <w:rsid w:val="7C2F7887"/>
    <w:rsid w:val="7C3D7C4A"/>
    <w:rsid w:val="7C406FDE"/>
    <w:rsid w:val="7C457EF0"/>
    <w:rsid w:val="7C645F70"/>
    <w:rsid w:val="7C6C10CC"/>
    <w:rsid w:val="7C6C7CD2"/>
    <w:rsid w:val="7C732965"/>
    <w:rsid w:val="7C787D82"/>
    <w:rsid w:val="7CA7632B"/>
    <w:rsid w:val="7CAE5662"/>
    <w:rsid w:val="7CBC3786"/>
    <w:rsid w:val="7CBC744F"/>
    <w:rsid w:val="7CC26486"/>
    <w:rsid w:val="7CCC60E8"/>
    <w:rsid w:val="7CD02CCB"/>
    <w:rsid w:val="7CF13F70"/>
    <w:rsid w:val="7D144B61"/>
    <w:rsid w:val="7D15238E"/>
    <w:rsid w:val="7D195544"/>
    <w:rsid w:val="7D1E76DE"/>
    <w:rsid w:val="7D2322C8"/>
    <w:rsid w:val="7D2D53A7"/>
    <w:rsid w:val="7D3F2654"/>
    <w:rsid w:val="7D54492E"/>
    <w:rsid w:val="7D5664D0"/>
    <w:rsid w:val="7D686B36"/>
    <w:rsid w:val="7D703924"/>
    <w:rsid w:val="7D7B63FA"/>
    <w:rsid w:val="7D893DD9"/>
    <w:rsid w:val="7D927FC4"/>
    <w:rsid w:val="7DA25C70"/>
    <w:rsid w:val="7DC46355"/>
    <w:rsid w:val="7DC664AB"/>
    <w:rsid w:val="7DCF5AA1"/>
    <w:rsid w:val="7DD4541A"/>
    <w:rsid w:val="7DDD2361"/>
    <w:rsid w:val="7DE2436E"/>
    <w:rsid w:val="7E032DE5"/>
    <w:rsid w:val="7E0D4EEB"/>
    <w:rsid w:val="7E121A63"/>
    <w:rsid w:val="7E151D47"/>
    <w:rsid w:val="7E1F57D1"/>
    <w:rsid w:val="7E294851"/>
    <w:rsid w:val="7E2D1FA1"/>
    <w:rsid w:val="7E3D747C"/>
    <w:rsid w:val="7E3F3DFE"/>
    <w:rsid w:val="7E425AE2"/>
    <w:rsid w:val="7E4B4459"/>
    <w:rsid w:val="7E4E7C96"/>
    <w:rsid w:val="7E4F30E1"/>
    <w:rsid w:val="7E501AA6"/>
    <w:rsid w:val="7E5179F0"/>
    <w:rsid w:val="7E75510C"/>
    <w:rsid w:val="7E936B02"/>
    <w:rsid w:val="7E945828"/>
    <w:rsid w:val="7E9E04F4"/>
    <w:rsid w:val="7EC85613"/>
    <w:rsid w:val="7EC90BBC"/>
    <w:rsid w:val="7EFE1002"/>
    <w:rsid w:val="7F0320A1"/>
    <w:rsid w:val="7F0C0F59"/>
    <w:rsid w:val="7F3B00DD"/>
    <w:rsid w:val="7F4B2AF3"/>
    <w:rsid w:val="7F52163F"/>
    <w:rsid w:val="7F661DF4"/>
    <w:rsid w:val="7F775A72"/>
    <w:rsid w:val="7F7F4354"/>
    <w:rsid w:val="7F814982"/>
    <w:rsid w:val="7F821F65"/>
    <w:rsid w:val="7F825C0B"/>
    <w:rsid w:val="7F9D246D"/>
    <w:rsid w:val="7F9F39E2"/>
    <w:rsid w:val="7FA8658A"/>
    <w:rsid w:val="7FB874C0"/>
    <w:rsid w:val="7FBB438E"/>
    <w:rsid w:val="7FBC2036"/>
    <w:rsid w:val="7FC91A1B"/>
    <w:rsid w:val="7FC97BEA"/>
    <w:rsid w:val="7FE660DB"/>
    <w:rsid w:val="7FE726DE"/>
    <w:rsid w:val="7FF1739A"/>
    <w:rsid w:val="7FF56BEE"/>
    <w:rsid w:val="7FFE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character" w:customStyle="1" w:styleId="5">
    <w:name w:val="font51"/>
    <w:basedOn w:val="4"/>
    <w:qFormat/>
    <w:uiPriority w:val="0"/>
    <w:rPr>
      <w:rFonts w:ascii="黑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2022-01-20T02:01:00Z</dcterms:created>
  <dc:creator>gyb1</dc:creator>
  <cp:lastModifiedBy>gyb1</cp:lastModifiedBy>
  <dcterms:modified xsi:type="dcterms:W3CDTF">2022-01-20T02:02:15Z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C436F50A7A9F44319614B2C4B8C6534A</vt:lpwstr>
  </property>
</Properties>
</file>