
<file path=[Content_Types].xml><?xml version="1.0" encoding="utf-8"?>
<Types xmlns="http://schemas.openxmlformats.org/package/2006/content-types">
  <Default Extension="xml" ContentType="application/xml"/>
  <Default Extension="png" ContentType="image/png"/>
  <Default Extension="emf" ContentType="image/x-emf"/>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eastAsia="华文中宋" w:cs="华文中宋"/>
          <w:color w:val="auto"/>
          <w:sz w:val="52"/>
          <w:szCs w:val="52"/>
        </w:rPr>
      </w:pPr>
    </w:p>
    <w:p>
      <w:pPr>
        <w:ind w:firstLine="0" w:firstLineChars="0"/>
        <w:jc w:val="center"/>
        <w:rPr>
          <w:rFonts w:hint="eastAsia" w:eastAsia="华文中宋" w:cs="华文中宋"/>
          <w:color w:val="auto"/>
          <w:sz w:val="52"/>
          <w:szCs w:val="52"/>
        </w:rPr>
      </w:pPr>
    </w:p>
    <w:p>
      <w:pPr>
        <w:ind w:firstLine="0" w:firstLineChars="0"/>
        <w:jc w:val="center"/>
        <w:rPr>
          <w:rFonts w:hint="eastAsia" w:eastAsia="华文中宋" w:cs="华文中宋"/>
          <w:color w:val="auto"/>
          <w:sz w:val="52"/>
          <w:szCs w:val="52"/>
        </w:rPr>
      </w:pPr>
      <w:r>
        <w:rPr>
          <w:rFonts w:hint="eastAsia" w:eastAsia="华文中宋" w:cs="华文中宋"/>
          <w:color w:val="auto"/>
          <w:sz w:val="52"/>
          <w:szCs w:val="52"/>
          <w:lang w:eastAsia="zh-CN"/>
        </w:rPr>
        <w:t>固镇县</w:t>
      </w:r>
      <w:r>
        <w:rPr>
          <w:rFonts w:hint="eastAsia" w:eastAsia="华文中宋" w:cs="华文中宋"/>
          <w:color w:val="auto"/>
          <w:sz w:val="52"/>
          <w:szCs w:val="52"/>
        </w:rPr>
        <w:t>“十四五”畜禽养殖</w:t>
      </w:r>
    </w:p>
    <w:p>
      <w:pPr>
        <w:ind w:firstLine="0" w:firstLineChars="0"/>
        <w:jc w:val="center"/>
        <w:rPr>
          <w:color w:val="auto"/>
          <w:sz w:val="52"/>
          <w:szCs w:val="52"/>
        </w:rPr>
      </w:pPr>
      <w:r>
        <w:rPr>
          <w:rFonts w:hint="eastAsia" w:eastAsia="华文中宋" w:cs="华文中宋"/>
          <w:color w:val="auto"/>
          <w:sz w:val="52"/>
          <w:szCs w:val="52"/>
        </w:rPr>
        <w:t>污染防治规划</w:t>
      </w:r>
    </w:p>
    <w:p>
      <w:pPr>
        <w:ind w:firstLine="0" w:firstLineChars="0"/>
        <w:jc w:val="center"/>
        <w:rPr>
          <w:color w:val="auto"/>
          <w:sz w:val="32"/>
          <w:szCs w:val="32"/>
        </w:rPr>
      </w:pPr>
    </w:p>
    <w:p>
      <w:pPr>
        <w:ind w:firstLine="0" w:firstLineChars="0"/>
        <w:jc w:val="center"/>
        <w:rPr>
          <w:color w:val="auto"/>
          <w:sz w:val="32"/>
          <w:szCs w:val="32"/>
        </w:rPr>
      </w:pPr>
    </w:p>
    <w:p>
      <w:pPr>
        <w:ind w:firstLine="0" w:firstLineChars="0"/>
        <w:jc w:val="center"/>
        <w:rPr>
          <w:color w:val="auto"/>
          <w:sz w:val="32"/>
          <w:szCs w:val="32"/>
        </w:rPr>
      </w:pPr>
    </w:p>
    <w:p>
      <w:pPr>
        <w:ind w:firstLine="0" w:firstLineChars="0"/>
        <w:jc w:val="center"/>
        <w:rPr>
          <w:color w:val="auto"/>
          <w:sz w:val="32"/>
          <w:szCs w:val="32"/>
        </w:rPr>
      </w:pPr>
    </w:p>
    <w:p>
      <w:pPr>
        <w:ind w:firstLine="0" w:firstLineChars="0"/>
        <w:jc w:val="center"/>
        <w:rPr>
          <w:color w:val="auto"/>
          <w:sz w:val="32"/>
          <w:szCs w:val="32"/>
        </w:rPr>
      </w:pPr>
    </w:p>
    <w:p>
      <w:pPr>
        <w:ind w:firstLine="0" w:firstLineChars="0"/>
        <w:jc w:val="center"/>
        <w:rPr>
          <w:color w:val="auto"/>
          <w:sz w:val="32"/>
          <w:szCs w:val="32"/>
        </w:rPr>
      </w:pPr>
    </w:p>
    <w:p>
      <w:pPr>
        <w:ind w:firstLine="0" w:firstLineChars="0"/>
        <w:jc w:val="center"/>
        <w:rPr>
          <w:color w:val="auto"/>
          <w:sz w:val="32"/>
          <w:szCs w:val="32"/>
        </w:rPr>
      </w:pPr>
    </w:p>
    <w:p>
      <w:pPr>
        <w:ind w:firstLine="0" w:firstLineChars="0"/>
        <w:jc w:val="center"/>
        <w:rPr>
          <w:color w:val="auto"/>
          <w:sz w:val="32"/>
          <w:szCs w:val="32"/>
        </w:rPr>
      </w:pPr>
    </w:p>
    <w:p>
      <w:pPr>
        <w:ind w:firstLine="0" w:firstLineChars="0"/>
        <w:jc w:val="center"/>
        <w:outlineLvl w:val="9"/>
        <w:rPr>
          <w:rFonts w:hint="eastAsia" w:eastAsia="华文中宋"/>
          <w:color w:val="auto"/>
          <w:sz w:val="36"/>
          <w:szCs w:val="36"/>
          <w:lang w:val="en-US" w:eastAsia="zh-CN"/>
        </w:rPr>
      </w:pPr>
    </w:p>
    <w:p>
      <w:pPr>
        <w:pStyle w:val="2"/>
        <w:rPr>
          <w:rFonts w:hint="eastAsia" w:eastAsia="华文中宋"/>
          <w:color w:val="auto"/>
          <w:sz w:val="36"/>
          <w:szCs w:val="36"/>
          <w:lang w:val="en-US" w:eastAsia="zh-CN"/>
        </w:rPr>
      </w:pPr>
    </w:p>
    <w:p>
      <w:pPr>
        <w:pStyle w:val="3"/>
        <w:rPr>
          <w:rFonts w:hint="eastAsia" w:eastAsia="华文中宋"/>
          <w:color w:val="auto"/>
          <w:sz w:val="36"/>
          <w:szCs w:val="36"/>
          <w:lang w:val="en-US" w:eastAsia="zh-CN"/>
        </w:rPr>
      </w:pPr>
    </w:p>
    <w:p>
      <w:pPr>
        <w:pStyle w:val="3"/>
        <w:rPr>
          <w:rFonts w:hint="eastAsia" w:eastAsia="华文中宋"/>
          <w:color w:val="auto"/>
          <w:sz w:val="36"/>
          <w:szCs w:val="36"/>
          <w:lang w:val="en-US" w:eastAsia="zh-CN"/>
        </w:rPr>
      </w:pPr>
    </w:p>
    <w:p>
      <w:pPr>
        <w:pStyle w:val="3"/>
        <w:rPr>
          <w:rFonts w:hint="eastAsia" w:eastAsia="华文中宋"/>
          <w:color w:val="auto"/>
          <w:sz w:val="36"/>
          <w:szCs w:val="36"/>
          <w:lang w:val="en-US" w:eastAsia="zh-CN"/>
        </w:rPr>
      </w:pPr>
      <w:bookmarkStart w:id="172" w:name="_GoBack"/>
      <w:bookmarkEnd w:id="172"/>
    </w:p>
    <w:p>
      <w:pPr>
        <w:ind w:firstLine="0" w:firstLineChars="0"/>
        <w:jc w:val="center"/>
        <w:rPr>
          <w:rFonts w:hint="eastAsia" w:eastAsia="华文中宋" w:cs="华文中宋"/>
          <w:color w:val="auto"/>
          <w:sz w:val="36"/>
          <w:szCs w:val="36"/>
        </w:rPr>
      </w:pPr>
      <w:r>
        <w:rPr>
          <w:rFonts w:hint="eastAsia" w:eastAsia="华文中宋" w:cs="华文中宋"/>
          <w:color w:val="auto"/>
          <w:sz w:val="36"/>
          <w:szCs w:val="36"/>
        </w:rPr>
        <w:t>二〇二</w:t>
      </w:r>
      <w:r>
        <w:rPr>
          <w:rFonts w:hint="eastAsia" w:eastAsia="华文中宋" w:cs="华文中宋"/>
          <w:color w:val="auto"/>
          <w:sz w:val="36"/>
          <w:szCs w:val="36"/>
          <w:lang w:eastAsia="zh-CN"/>
        </w:rPr>
        <w:t>二</w:t>
      </w:r>
      <w:r>
        <w:rPr>
          <w:rFonts w:hint="eastAsia" w:eastAsia="华文中宋" w:cs="华文中宋"/>
          <w:color w:val="auto"/>
          <w:sz w:val="36"/>
          <w:szCs w:val="36"/>
        </w:rPr>
        <w:t>年</w:t>
      </w:r>
      <w:r>
        <w:rPr>
          <w:rFonts w:hint="eastAsia" w:eastAsia="华文中宋" w:cs="华文中宋"/>
          <w:color w:val="auto"/>
          <w:sz w:val="36"/>
          <w:szCs w:val="36"/>
          <w:lang w:val="en-US" w:eastAsia="zh-CN"/>
        </w:rPr>
        <w:t>十二</w:t>
      </w:r>
      <w:r>
        <w:rPr>
          <w:rFonts w:hint="eastAsia" w:eastAsia="华文中宋" w:cs="华文中宋"/>
          <w:color w:val="auto"/>
          <w:sz w:val="36"/>
          <w:szCs w:val="36"/>
        </w:rPr>
        <w:t>月</w:t>
      </w:r>
    </w:p>
    <w:p>
      <w:pPr>
        <w:ind w:firstLine="0" w:firstLineChars="0"/>
        <w:jc w:val="center"/>
        <w:rPr>
          <w:rFonts w:hint="eastAsia" w:eastAsia="华文中宋" w:cs="华文中宋"/>
          <w:color w:val="auto"/>
          <w:sz w:val="52"/>
          <w:szCs w:val="52"/>
        </w:rPr>
      </w:pPr>
    </w:p>
    <w:p>
      <w:pPr>
        <w:spacing w:line="480" w:lineRule="auto"/>
        <w:ind w:firstLine="0" w:firstLineChars="0"/>
        <w:jc w:val="center"/>
        <w:rPr>
          <w:b/>
          <w:bCs/>
          <w:color w:val="auto"/>
          <w:sz w:val="32"/>
          <w:szCs w:val="32"/>
        </w:rPr>
      </w:pPr>
      <w:r>
        <w:rPr>
          <w:color w:val="auto"/>
          <w:sz w:val="32"/>
          <w:szCs w:val="32"/>
        </w:rPr>
        <w:br w:type="page"/>
      </w:r>
    </w:p>
    <w:sdt>
      <w:sdtPr>
        <w:rPr>
          <w:rFonts w:ascii="宋体" w:hAnsi="宋体" w:eastAsia="宋体" w:cstheme="minorBidi"/>
          <w:color w:val="auto"/>
          <w:kern w:val="2"/>
          <w:sz w:val="24"/>
          <w:szCs w:val="24"/>
          <w:lang w:val="en-US" w:eastAsia="zh-CN" w:bidi="ar-SA"/>
        </w:rPr>
        <w:id w:val="147466577"/>
        <w15:color w:val="DBDBDB"/>
        <w:docPartObj>
          <w:docPartGallery w:val="Table of Contents"/>
          <w:docPartUnique/>
        </w:docPartObj>
      </w:sdtPr>
      <w:sdtEndPr>
        <w:rPr>
          <w:rFonts w:ascii="宋体" w:hAnsi="宋体" w:eastAsia="宋体" w:cstheme="minorBidi"/>
          <w:color w:val="auto"/>
          <w:kern w:val="2"/>
          <w:sz w:val="24"/>
          <w:szCs w:val="24"/>
          <w:lang w:val="en-US" w:eastAsia="zh-CN" w:bidi="ar-SA"/>
        </w:rPr>
      </w:sdtEndPr>
      <w:sdtContent>
        <w:p>
          <w:pPr>
            <w:spacing w:before="0" w:beforeLines="0" w:after="0" w:afterLines="0" w:line="360" w:lineRule="auto"/>
            <w:ind w:left="0" w:leftChars="0" w:right="0" w:rightChars="0" w:firstLine="0" w:firstLineChars="0"/>
            <w:jc w:val="center"/>
            <w:rPr>
              <w:color w:val="auto"/>
              <w:sz w:val="24"/>
              <w:szCs w:val="24"/>
            </w:rPr>
          </w:pPr>
          <w:r>
            <w:rPr>
              <w:rFonts w:ascii="宋体" w:hAnsi="宋体" w:eastAsia="宋体"/>
              <w:color w:val="auto"/>
              <w:sz w:val="24"/>
              <w:szCs w:val="24"/>
            </w:rPr>
            <w:t>目录</w:t>
          </w:r>
        </w:p>
        <w:p>
          <w:pPr>
            <w:pStyle w:val="17"/>
            <w:tabs>
              <w:tab w:val="right" w:leader="dot" w:pos="8306"/>
              <w:tab w:val="clear" w:pos="8296"/>
            </w:tabs>
            <w:ind w:left="0" w:leftChars="0" w:firstLine="0" w:firstLineChars="0"/>
            <w:rPr>
              <w:color w:val="auto"/>
            </w:rPr>
          </w:pPr>
          <w:r>
            <w:rPr>
              <w:color w:val="auto"/>
              <w:sz w:val="24"/>
              <w:szCs w:val="24"/>
            </w:rPr>
            <w:fldChar w:fldCharType="begin"/>
          </w:r>
          <w:r>
            <w:rPr>
              <w:color w:val="auto"/>
              <w:sz w:val="24"/>
              <w:szCs w:val="24"/>
            </w:rPr>
            <w:instrText xml:space="preserve">TOC \o "1-2" \h \u </w:instrText>
          </w:r>
          <w:r>
            <w:rPr>
              <w:color w:val="auto"/>
              <w:sz w:val="24"/>
              <w:szCs w:val="24"/>
            </w:rPr>
            <w:fldChar w:fldCharType="separate"/>
          </w:r>
          <w:r>
            <w:rPr>
              <w:color w:val="auto"/>
              <w:szCs w:val="24"/>
            </w:rPr>
            <w:fldChar w:fldCharType="begin"/>
          </w:r>
          <w:r>
            <w:rPr>
              <w:color w:val="auto"/>
              <w:szCs w:val="24"/>
            </w:rPr>
            <w:instrText xml:space="preserve"> HYPERLINK \l _Toc6710 </w:instrText>
          </w:r>
          <w:r>
            <w:rPr>
              <w:color w:val="auto"/>
              <w:szCs w:val="24"/>
            </w:rPr>
            <w:fldChar w:fldCharType="separate"/>
          </w:r>
          <w:r>
            <w:rPr>
              <w:rFonts w:hint="eastAsia"/>
              <w:color w:val="auto"/>
              <w:lang w:val="en-US" w:eastAsia="zh-CN"/>
            </w:rPr>
            <w:t>1、总则</w:t>
          </w:r>
          <w:r>
            <w:rPr>
              <w:color w:val="auto"/>
            </w:rPr>
            <w:tab/>
          </w:r>
          <w:r>
            <w:rPr>
              <w:color w:val="auto"/>
            </w:rPr>
            <w:fldChar w:fldCharType="begin"/>
          </w:r>
          <w:r>
            <w:rPr>
              <w:color w:val="auto"/>
            </w:rPr>
            <w:instrText xml:space="preserve"> PAGEREF _Toc6710 \h </w:instrText>
          </w:r>
          <w:r>
            <w:rPr>
              <w:color w:val="auto"/>
            </w:rPr>
            <w:fldChar w:fldCharType="separate"/>
          </w:r>
          <w:r>
            <w:rPr>
              <w:color w:val="auto"/>
            </w:rPr>
            <w:t>1</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_Toc9521 </w:instrText>
          </w:r>
          <w:r>
            <w:rPr>
              <w:color w:val="auto"/>
              <w:szCs w:val="24"/>
            </w:rPr>
            <w:fldChar w:fldCharType="separate"/>
          </w:r>
          <w:r>
            <w:rPr>
              <w:rFonts w:hint="eastAsia"/>
              <w:color w:val="auto"/>
              <w:lang w:val="en-US" w:eastAsia="zh-CN"/>
            </w:rPr>
            <w:t>1.1</w:t>
          </w:r>
          <w:r>
            <w:rPr>
              <w:rFonts w:hint="eastAsia"/>
              <w:color w:val="auto"/>
              <w:lang w:val="zh-CN" w:eastAsia="zh-CN"/>
            </w:rPr>
            <w:t>规划编制背景和基本原则</w:t>
          </w:r>
          <w:r>
            <w:rPr>
              <w:color w:val="auto"/>
            </w:rPr>
            <w:tab/>
          </w:r>
          <w:r>
            <w:rPr>
              <w:color w:val="auto"/>
            </w:rPr>
            <w:fldChar w:fldCharType="begin"/>
          </w:r>
          <w:r>
            <w:rPr>
              <w:color w:val="auto"/>
            </w:rPr>
            <w:instrText xml:space="preserve"> PAGEREF _Toc9521 \h </w:instrText>
          </w:r>
          <w:r>
            <w:rPr>
              <w:color w:val="auto"/>
            </w:rPr>
            <w:fldChar w:fldCharType="separate"/>
          </w:r>
          <w:r>
            <w:rPr>
              <w:color w:val="auto"/>
            </w:rPr>
            <w:t>1</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_Toc9770 </w:instrText>
          </w:r>
          <w:r>
            <w:rPr>
              <w:color w:val="auto"/>
              <w:szCs w:val="24"/>
            </w:rPr>
            <w:fldChar w:fldCharType="separate"/>
          </w:r>
          <w:r>
            <w:rPr>
              <w:rFonts w:hint="eastAsia"/>
              <w:color w:val="auto"/>
              <w:lang w:val="en-US" w:eastAsia="zh-CN"/>
            </w:rPr>
            <w:t>1.2</w:t>
          </w:r>
          <w:r>
            <w:rPr>
              <w:rFonts w:hint="eastAsia"/>
              <w:color w:val="auto"/>
              <w:lang w:val="zh-CN" w:eastAsia="zh-CN"/>
            </w:rPr>
            <w:t>规划编制依据</w:t>
          </w:r>
          <w:r>
            <w:rPr>
              <w:color w:val="auto"/>
            </w:rPr>
            <w:tab/>
          </w:r>
          <w:r>
            <w:rPr>
              <w:color w:val="auto"/>
            </w:rPr>
            <w:fldChar w:fldCharType="begin"/>
          </w:r>
          <w:r>
            <w:rPr>
              <w:color w:val="auto"/>
            </w:rPr>
            <w:instrText xml:space="preserve"> PAGEREF _Toc9770 \h </w:instrText>
          </w:r>
          <w:r>
            <w:rPr>
              <w:color w:val="auto"/>
            </w:rPr>
            <w:fldChar w:fldCharType="separate"/>
          </w:r>
          <w:r>
            <w:rPr>
              <w:color w:val="auto"/>
            </w:rPr>
            <w:t>3</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_Toc7922 </w:instrText>
          </w:r>
          <w:r>
            <w:rPr>
              <w:color w:val="auto"/>
              <w:szCs w:val="24"/>
            </w:rPr>
            <w:fldChar w:fldCharType="separate"/>
          </w:r>
          <w:r>
            <w:rPr>
              <w:rFonts w:hint="eastAsia"/>
              <w:color w:val="auto"/>
              <w:lang w:val="en-US" w:eastAsia="zh-CN"/>
            </w:rPr>
            <w:t>1.3</w:t>
          </w:r>
          <w:r>
            <w:rPr>
              <w:rFonts w:hint="default"/>
              <w:color w:val="auto"/>
              <w:lang w:val="en-US" w:eastAsia="zh-CN"/>
            </w:rPr>
            <w:t>规划范围</w:t>
          </w:r>
          <w:r>
            <w:rPr>
              <w:rFonts w:hint="eastAsia"/>
              <w:color w:val="auto"/>
              <w:lang w:val="en-US" w:eastAsia="zh-CN"/>
            </w:rPr>
            <w:t>和期限</w:t>
          </w:r>
          <w:r>
            <w:rPr>
              <w:color w:val="auto"/>
            </w:rPr>
            <w:tab/>
          </w:r>
          <w:r>
            <w:rPr>
              <w:color w:val="auto"/>
            </w:rPr>
            <w:fldChar w:fldCharType="begin"/>
          </w:r>
          <w:r>
            <w:rPr>
              <w:color w:val="auto"/>
            </w:rPr>
            <w:instrText xml:space="preserve"> PAGEREF _Toc7922 \h </w:instrText>
          </w:r>
          <w:r>
            <w:rPr>
              <w:color w:val="auto"/>
            </w:rPr>
            <w:fldChar w:fldCharType="separate"/>
          </w:r>
          <w:r>
            <w:rPr>
              <w:color w:val="auto"/>
            </w:rPr>
            <w:t>7</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_Toc23857 </w:instrText>
          </w:r>
          <w:r>
            <w:rPr>
              <w:color w:val="auto"/>
              <w:szCs w:val="24"/>
            </w:rPr>
            <w:fldChar w:fldCharType="separate"/>
          </w:r>
          <w:r>
            <w:rPr>
              <w:rFonts w:hint="default"/>
              <w:color w:val="auto"/>
              <w:lang w:val="en-US" w:eastAsia="zh-CN"/>
            </w:rPr>
            <w:t>1.4 规划保护目标</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8</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_Toc5537 </w:instrText>
          </w:r>
          <w:r>
            <w:rPr>
              <w:color w:val="auto"/>
              <w:szCs w:val="24"/>
            </w:rPr>
            <w:fldChar w:fldCharType="separate"/>
          </w:r>
          <w:r>
            <w:rPr>
              <w:rFonts w:hint="default"/>
              <w:color w:val="auto"/>
              <w:lang w:val="en-US" w:eastAsia="zh-CN"/>
            </w:rPr>
            <w:t>1.5 规划编制的目的和意义</w:t>
          </w:r>
          <w:r>
            <w:rPr>
              <w:color w:val="auto"/>
            </w:rPr>
            <w:tab/>
          </w:r>
          <w:r>
            <w:rPr>
              <w:color w:val="auto"/>
            </w:rPr>
            <w:fldChar w:fldCharType="begin"/>
          </w:r>
          <w:r>
            <w:rPr>
              <w:color w:val="auto"/>
            </w:rPr>
            <w:instrText xml:space="preserve"> PAGEREF _Toc5537 \h </w:instrText>
          </w:r>
          <w:r>
            <w:rPr>
              <w:color w:val="auto"/>
            </w:rPr>
            <w:fldChar w:fldCharType="separate"/>
          </w:r>
          <w:r>
            <w:rPr>
              <w:color w:val="auto"/>
            </w:rPr>
            <w:t>13</w:t>
          </w:r>
          <w:r>
            <w:rPr>
              <w:color w:val="auto"/>
            </w:rPr>
            <w:fldChar w:fldCharType="end"/>
          </w:r>
          <w:r>
            <w:rPr>
              <w:color w:val="auto"/>
              <w:szCs w:val="24"/>
            </w:rPr>
            <w:fldChar w:fldCharType="end"/>
          </w:r>
        </w:p>
        <w:p>
          <w:pPr>
            <w:pStyle w:val="17"/>
            <w:tabs>
              <w:tab w:val="right" w:leader="dot" w:pos="8306"/>
              <w:tab w:val="clear" w:pos="8296"/>
            </w:tabs>
            <w:ind w:left="0" w:leftChars="0" w:firstLine="0" w:firstLineChars="0"/>
            <w:rPr>
              <w:color w:val="auto"/>
            </w:rPr>
          </w:pPr>
          <w:r>
            <w:rPr>
              <w:color w:val="auto"/>
              <w:szCs w:val="24"/>
            </w:rPr>
            <w:fldChar w:fldCharType="begin"/>
          </w:r>
          <w:r>
            <w:rPr>
              <w:color w:val="auto"/>
              <w:szCs w:val="24"/>
            </w:rPr>
            <w:instrText xml:space="preserve"> HYPERLINK \l _Toc3068 </w:instrText>
          </w:r>
          <w:r>
            <w:rPr>
              <w:color w:val="auto"/>
              <w:szCs w:val="24"/>
            </w:rPr>
            <w:fldChar w:fldCharType="separate"/>
          </w:r>
          <w:r>
            <w:rPr>
              <w:rFonts w:hint="default"/>
              <w:color w:val="auto"/>
              <w:lang w:val="en-US" w:eastAsia="zh-CN"/>
            </w:rPr>
            <w:t>2</w:t>
          </w:r>
          <w:r>
            <w:rPr>
              <w:rFonts w:hint="eastAsia"/>
              <w:color w:val="auto"/>
              <w:lang w:val="en-US" w:eastAsia="zh-CN"/>
            </w:rPr>
            <w:t>、区域概况</w:t>
          </w:r>
          <w:r>
            <w:rPr>
              <w:color w:val="auto"/>
            </w:rPr>
            <w:tab/>
          </w:r>
          <w:r>
            <w:rPr>
              <w:color w:val="auto"/>
            </w:rPr>
            <w:fldChar w:fldCharType="begin"/>
          </w:r>
          <w:r>
            <w:rPr>
              <w:color w:val="auto"/>
            </w:rPr>
            <w:instrText xml:space="preserve"> PAGEREF _Toc3068 \h </w:instrText>
          </w:r>
          <w:r>
            <w:rPr>
              <w:color w:val="auto"/>
            </w:rPr>
            <w:fldChar w:fldCharType="separate"/>
          </w:r>
          <w:r>
            <w:rPr>
              <w:color w:val="auto"/>
            </w:rPr>
            <w:t>14</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_Toc7772 </w:instrText>
          </w:r>
          <w:r>
            <w:rPr>
              <w:color w:val="auto"/>
              <w:szCs w:val="24"/>
            </w:rPr>
            <w:fldChar w:fldCharType="separate"/>
          </w:r>
          <w:r>
            <w:rPr>
              <w:rFonts w:hint="default"/>
              <w:color w:val="auto"/>
              <w:lang w:val="en-US" w:eastAsia="zh-CN"/>
            </w:rPr>
            <w:t xml:space="preserve">2.1 </w:t>
          </w:r>
          <w:r>
            <w:rPr>
              <w:rFonts w:hint="eastAsia"/>
              <w:color w:val="auto"/>
              <w:lang w:val="en-US" w:eastAsia="zh-CN"/>
            </w:rPr>
            <w:t>自然气候条件</w:t>
          </w:r>
          <w:r>
            <w:rPr>
              <w:color w:val="auto"/>
            </w:rPr>
            <w:tab/>
          </w:r>
          <w:r>
            <w:rPr>
              <w:color w:val="auto"/>
            </w:rPr>
            <w:fldChar w:fldCharType="begin"/>
          </w:r>
          <w:r>
            <w:rPr>
              <w:color w:val="auto"/>
            </w:rPr>
            <w:instrText xml:space="preserve"> PAGEREF _Toc7772 \h </w:instrText>
          </w:r>
          <w:r>
            <w:rPr>
              <w:color w:val="auto"/>
            </w:rPr>
            <w:fldChar w:fldCharType="separate"/>
          </w:r>
          <w:r>
            <w:rPr>
              <w:color w:val="auto"/>
            </w:rPr>
            <w:t>14</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_Toc18841 </w:instrText>
          </w:r>
          <w:r>
            <w:rPr>
              <w:color w:val="auto"/>
              <w:szCs w:val="24"/>
            </w:rPr>
            <w:fldChar w:fldCharType="separate"/>
          </w:r>
          <w:r>
            <w:rPr>
              <w:rFonts w:hint="default"/>
              <w:color w:val="auto"/>
              <w:lang w:val="en-US" w:eastAsia="zh-CN"/>
            </w:rPr>
            <w:t xml:space="preserve">2.2 </w:t>
          </w:r>
          <w:r>
            <w:rPr>
              <w:rFonts w:hint="eastAsia"/>
              <w:color w:val="auto"/>
              <w:lang w:val="en-US" w:eastAsia="zh-CN"/>
            </w:rPr>
            <w:t>社会经济状况</w:t>
          </w:r>
          <w:r>
            <w:rPr>
              <w:color w:val="auto"/>
            </w:rPr>
            <w:tab/>
          </w:r>
          <w:r>
            <w:rPr>
              <w:color w:val="auto"/>
            </w:rPr>
            <w:fldChar w:fldCharType="begin"/>
          </w:r>
          <w:r>
            <w:rPr>
              <w:color w:val="auto"/>
            </w:rPr>
            <w:instrText xml:space="preserve"> PAGEREF _Toc18841 \h </w:instrText>
          </w:r>
          <w:r>
            <w:rPr>
              <w:color w:val="auto"/>
            </w:rPr>
            <w:fldChar w:fldCharType="separate"/>
          </w:r>
          <w:r>
            <w:rPr>
              <w:color w:val="auto"/>
            </w:rPr>
            <w:t>19</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_Toc6330 </w:instrText>
          </w:r>
          <w:r>
            <w:rPr>
              <w:color w:val="auto"/>
              <w:szCs w:val="24"/>
            </w:rPr>
            <w:fldChar w:fldCharType="separate"/>
          </w:r>
          <w:r>
            <w:rPr>
              <w:rFonts w:hint="eastAsia" w:cstheme="minorBidi"/>
              <w:color w:val="auto"/>
              <w:kern w:val="2"/>
              <w:szCs w:val="24"/>
              <w:lang w:val="en-US" w:eastAsia="zh-CN" w:bidi="ar-SA"/>
            </w:rPr>
            <w:t>2.3</w:t>
          </w:r>
          <w:r>
            <w:rPr>
              <w:rFonts w:hint="eastAsia" w:cstheme="minorBidi"/>
              <w:color w:val="auto"/>
              <w:kern w:val="2"/>
              <w:szCs w:val="24"/>
              <w:lang w:val="zh-CN" w:eastAsia="zh-CN" w:bidi="ar-SA"/>
            </w:rPr>
            <w:t>生态环境概况</w:t>
          </w:r>
          <w:r>
            <w:rPr>
              <w:color w:val="auto"/>
            </w:rPr>
            <w:tab/>
          </w:r>
          <w:r>
            <w:rPr>
              <w:color w:val="auto"/>
            </w:rPr>
            <w:fldChar w:fldCharType="begin"/>
          </w:r>
          <w:r>
            <w:rPr>
              <w:color w:val="auto"/>
            </w:rPr>
            <w:instrText xml:space="preserve"> PAGEREF _Toc6330 \h </w:instrText>
          </w:r>
          <w:r>
            <w:rPr>
              <w:color w:val="auto"/>
            </w:rPr>
            <w:fldChar w:fldCharType="separate"/>
          </w:r>
          <w:r>
            <w:rPr>
              <w:color w:val="auto"/>
            </w:rPr>
            <w:t>25</w:t>
          </w:r>
          <w:r>
            <w:rPr>
              <w:color w:val="auto"/>
            </w:rPr>
            <w:fldChar w:fldCharType="end"/>
          </w:r>
          <w:r>
            <w:rPr>
              <w:color w:val="auto"/>
              <w:szCs w:val="24"/>
            </w:rPr>
            <w:fldChar w:fldCharType="end"/>
          </w:r>
        </w:p>
        <w:p>
          <w:pPr>
            <w:pStyle w:val="17"/>
            <w:tabs>
              <w:tab w:val="right" w:leader="dot" w:pos="8306"/>
              <w:tab w:val="clear" w:pos="8296"/>
            </w:tabs>
            <w:ind w:left="0" w:leftChars="0" w:firstLine="0" w:firstLineChars="0"/>
            <w:rPr>
              <w:color w:val="auto"/>
            </w:rPr>
          </w:pPr>
          <w:r>
            <w:rPr>
              <w:color w:val="auto"/>
              <w:szCs w:val="24"/>
            </w:rPr>
            <w:fldChar w:fldCharType="begin"/>
          </w:r>
          <w:r>
            <w:rPr>
              <w:color w:val="auto"/>
              <w:szCs w:val="24"/>
            </w:rPr>
            <w:instrText xml:space="preserve"> HYPERLINK \l _Toc4348 </w:instrText>
          </w:r>
          <w:r>
            <w:rPr>
              <w:color w:val="auto"/>
              <w:szCs w:val="24"/>
            </w:rPr>
            <w:fldChar w:fldCharType="separate"/>
          </w:r>
          <w:r>
            <w:rPr>
              <w:rFonts w:hint="eastAsia"/>
              <w:color w:val="auto"/>
              <w:lang w:val="en-US" w:eastAsia="zh-CN"/>
            </w:rPr>
            <w:t>3、固镇县畜禽养殖现状</w:t>
          </w:r>
          <w:r>
            <w:rPr>
              <w:color w:val="auto"/>
            </w:rPr>
            <w:tab/>
          </w:r>
          <w:r>
            <w:rPr>
              <w:color w:val="auto"/>
            </w:rPr>
            <w:fldChar w:fldCharType="begin"/>
          </w:r>
          <w:r>
            <w:rPr>
              <w:color w:val="auto"/>
            </w:rPr>
            <w:instrText xml:space="preserve"> PAGEREF _Toc4348 \h </w:instrText>
          </w:r>
          <w:r>
            <w:rPr>
              <w:color w:val="auto"/>
            </w:rPr>
            <w:fldChar w:fldCharType="separate"/>
          </w:r>
          <w:r>
            <w:rPr>
              <w:color w:val="auto"/>
            </w:rPr>
            <w:t>26</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_Toc11953 </w:instrText>
          </w:r>
          <w:r>
            <w:rPr>
              <w:color w:val="auto"/>
              <w:szCs w:val="24"/>
            </w:rPr>
            <w:fldChar w:fldCharType="separate"/>
          </w:r>
          <w:r>
            <w:rPr>
              <w:rFonts w:hint="eastAsia"/>
              <w:color w:val="auto"/>
              <w:lang w:val="en-US" w:eastAsia="zh-CN"/>
            </w:rPr>
            <w:t>3.1</w:t>
          </w:r>
          <w:r>
            <w:rPr>
              <w:rFonts w:hint="eastAsia"/>
              <w:color w:val="auto"/>
              <w:lang w:val="zh-CN" w:eastAsia="zh-CN"/>
            </w:rPr>
            <w:t>畜禽养殖基本情况</w:t>
          </w:r>
          <w:r>
            <w:rPr>
              <w:color w:val="auto"/>
            </w:rPr>
            <w:tab/>
          </w:r>
          <w:r>
            <w:rPr>
              <w:color w:val="auto"/>
            </w:rPr>
            <w:fldChar w:fldCharType="begin"/>
          </w:r>
          <w:r>
            <w:rPr>
              <w:color w:val="auto"/>
            </w:rPr>
            <w:instrText xml:space="preserve"> PAGEREF _Toc11953 \h </w:instrText>
          </w:r>
          <w:r>
            <w:rPr>
              <w:color w:val="auto"/>
            </w:rPr>
            <w:fldChar w:fldCharType="separate"/>
          </w:r>
          <w:r>
            <w:rPr>
              <w:color w:val="auto"/>
            </w:rPr>
            <w:t>26</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_Toc23508 </w:instrText>
          </w:r>
          <w:r>
            <w:rPr>
              <w:color w:val="auto"/>
              <w:szCs w:val="24"/>
            </w:rPr>
            <w:fldChar w:fldCharType="separate"/>
          </w:r>
          <w:r>
            <w:rPr>
              <w:rFonts w:hint="eastAsia"/>
              <w:color w:val="auto"/>
              <w:lang w:val="en-US" w:eastAsia="zh-CN"/>
            </w:rPr>
            <w:t>3.2畜禽养殖污染物产生情况</w:t>
          </w:r>
          <w:r>
            <w:rPr>
              <w:color w:val="auto"/>
            </w:rPr>
            <w:tab/>
          </w:r>
          <w:r>
            <w:rPr>
              <w:color w:val="auto"/>
            </w:rPr>
            <w:fldChar w:fldCharType="begin"/>
          </w:r>
          <w:r>
            <w:rPr>
              <w:color w:val="auto"/>
            </w:rPr>
            <w:instrText xml:space="preserve"> PAGEREF _Toc23508 \h </w:instrText>
          </w:r>
          <w:r>
            <w:rPr>
              <w:color w:val="auto"/>
            </w:rPr>
            <w:fldChar w:fldCharType="separate"/>
          </w:r>
          <w:r>
            <w:rPr>
              <w:color w:val="auto"/>
            </w:rPr>
            <w:t>40</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_Toc13466 </w:instrText>
          </w:r>
          <w:r>
            <w:rPr>
              <w:color w:val="auto"/>
              <w:szCs w:val="24"/>
            </w:rPr>
            <w:fldChar w:fldCharType="separate"/>
          </w:r>
          <w:r>
            <w:rPr>
              <w:rFonts w:hint="eastAsia"/>
              <w:color w:val="auto"/>
              <w:lang w:val="en-US" w:eastAsia="zh-CN"/>
            </w:rPr>
            <w:t>3.3</w:t>
          </w:r>
          <w:r>
            <w:rPr>
              <w:rFonts w:hint="eastAsia"/>
              <w:color w:val="auto"/>
              <w:lang w:val="zh-CN" w:eastAsia="zh-CN"/>
            </w:rPr>
            <w:t>畜禽养殖污染物处理方式和现状</w:t>
          </w:r>
          <w:r>
            <w:rPr>
              <w:color w:val="auto"/>
            </w:rPr>
            <w:tab/>
          </w:r>
          <w:r>
            <w:rPr>
              <w:color w:val="auto"/>
            </w:rPr>
            <w:fldChar w:fldCharType="begin"/>
          </w:r>
          <w:r>
            <w:rPr>
              <w:color w:val="auto"/>
            </w:rPr>
            <w:instrText xml:space="preserve"> PAGEREF _Toc13466 \h </w:instrText>
          </w:r>
          <w:r>
            <w:rPr>
              <w:color w:val="auto"/>
            </w:rPr>
            <w:fldChar w:fldCharType="separate"/>
          </w:r>
          <w:r>
            <w:rPr>
              <w:color w:val="auto"/>
            </w:rPr>
            <w:t>41</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_Toc28904 </w:instrText>
          </w:r>
          <w:r>
            <w:rPr>
              <w:color w:val="auto"/>
              <w:szCs w:val="24"/>
            </w:rPr>
            <w:fldChar w:fldCharType="separate"/>
          </w:r>
          <w:r>
            <w:rPr>
              <w:rFonts w:hint="eastAsia"/>
              <w:color w:val="auto"/>
              <w:lang w:val="en-US" w:eastAsia="zh-CN"/>
            </w:rPr>
            <w:t>3.4规划目标</w:t>
          </w:r>
          <w:r>
            <w:rPr>
              <w:color w:val="auto"/>
            </w:rPr>
            <w:tab/>
          </w:r>
          <w:r>
            <w:rPr>
              <w:color w:val="auto"/>
            </w:rPr>
            <w:fldChar w:fldCharType="begin"/>
          </w:r>
          <w:r>
            <w:rPr>
              <w:color w:val="auto"/>
            </w:rPr>
            <w:instrText xml:space="preserve"> PAGEREF _Toc28904 \h </w:instrText>
          </w:r>
          <w:r>
            <w:rPr>
              <w:color w:val="auto"/>
            </w:rPr>
            <w:fldChar w:fldCharType="separate"/>
          </w:r>
          <w:r>
            <w:rPr>
              <w:color w:val="auto"/>
            </w:rPr>
            <w:t>43</w:t>
          </w:r>
          <w:r>
            <w:rPr>
              <w:color w:val="auto"/>
            </w:rPr>
            <w:fldChar w:fldCharType="end"/>
          </w:r>
          <w:r>
            <w:rPr>
              <w:color w:val="auto"/>
              <w:szCs w:val="24"/>
            </w:rPr>
            <w:fldChar w:fldCharType="end"/>
          </w:r>
        </w:p>
        <w:p>
          <w:pPr>
            <w:pStyle w:val="17"/>
            <w:tabs>
              <w:tab w:val="right" w:leader="dot" w:pos="8306"/>
              <w:tab w:val="clear" w:pos="8296"/>
            </w:tabs>
            <w:ind w:left="0" w:leftChars="0" w:firstLine="0" w:firstLineChars="0"/>
            <w:rPr>
              <w:color w:val="auto"/>
            </w:rPr>
          </w:pPr>
          <w:r>
            <w:rPr>
              <w:color w:val="auto"/>
              <w:szCs w:val="24"/>
            </w:rPr>
            <w:fldChar w:fldCharType="begin"/>
          </w:r>
          <w:r>
            <w:rPr>
              <w:color w:val="auto"/>
              <w:szCs w:val="24"/>
            </w:rPr>
            <w:instrText xml:space="preserve"> HYPERLINK \l _Toc29327 </w:instrText>
          </w:r>
          <w:r>
            <w:rPr>
              <w:color w:val="auto"/>
              <w:szCs w:val="24"/>
            </w:rPr>
            <w:fldChar w:fldCharType="separate"/>
          </w:r>
          <w:r>
            <w:rPr>
              <w:rFonts w:hint="eastAsia"/>
              <w:color w:val="auto"/>
              <w:lang w:val="en-US" w:eastAsia="zh-CN"/>
            </w:rPr>
            <w:t>4、畜禽养殖污染防治主要任务</w:t>
          </w:r>
          <w:r>
            <w:rPr>
              <w:color w:val="auto"/>
            </w:rPr>
            <w:tab/>
          </w:r>
          <w:r>
            <w:rPr>
              <w:color w:val="auto"/>
            </w:rPr>
            <w:fldChar w:fldCharType="begin"/>
          </w:r>
          <w:r>
            <w:rPr>
              <w:color w:val="auto"/>
            </w:rPr>
            <w:instrText xml:space="preserve"> PAGEREF _Toc29327 \h </w:instrText>
          </w:r>
          <w:r>
            <w:rPr>
              <w:color w:val="auto"/>
            </w:rPr>
            <w:fldChar w:fldCharType="separate"/>
          </w:r>
          <w:r>
            <w:rPr>
              <w:color w:val="auto"/>
            </w:rPr>
            <w:t>48</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_Toc27288 </w:instrText>
          </w:r>
          <w:r>
            <w:rPr>
              <w:color w:val="auto"/>
              <w:szCs w:val="24"/>
            </w:rPr>
            <w:fldChar w:fldCharType="separate"/>
          </w:r>
          <w:r>
            <w:rPr>
              <w:color w:val="auto"/>
            </w:rPr>
            <w:t>4.1</w:t>
          </w:r>
          <w:r>
            <w:rPr>
              <w:rFonts w:hint="eastAsia"/>
              <w:color w:val="auto"/>
            </w:rPr>
            <w:t>畜禽养殖污染治理总体要求</w:t>
          </w:r>
          <w:r>
            <w:rPr>
              <w:color w:val="auto"/>
            </w:rPr>
            <w:tab/>
          </w:r>
          <w:r>
            <w:rPr>
              <w:color w:val="auto"/>
            </w:rPr>
            <w:fldChar w:fldCharType="begin"/>
          </w:r>
          <w:r>
            <w:rPr>
              <w:color w:val="auto"/>
            </w:rPr>
            <w:instrText xml:space="preserve"> PAGEREF _Toc27288 \h </w:instrText>
          </w:r>
          <w:r>
            <w:rPr>
              <w:color w:val="auto"/>
            </w:rPr>
            <w:fldChar w:fldCharType="separate"/>
          </w:r>
          <w:r>
            <w:rPr>
              <w:color w:val="auto"/>
            </w:rPr>
            <w:t>48</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_Toc26993 </w:instrText>
          </w:r>
          <w:r>
            <w:rPr>
              <w:color w:val="auto"/>
              <w:szCs w:val="24"/>
            </w:rPr>
            <w:fldChar w:fldCharType="separate"/>
          </w:r>
          <w:r>
            <w:rPr>
              <w:color w:val="auto"/>
            </w:rPr>
            <w:t>4.2</w:t>
          </w:r>
          <w:r>
            <w:rPr>
              <w:rFonts w:hint="eastAsia"/>
              <w:color w:val="auto"/>
            </w:rPr>
            <w:t>提升畜禽粪污资源化利用水平</w:t>
          </w:r>
          <w:r>
            <w:rPr>
              <w:color w:val="auto"/>
            </w:rPr>
            <w:tab/>
          </w:r>
          <w:r>
            <w:rPr>
              <w:color w:val="auto"/>
            </w:rPr>
            <w:fldChar w:fldCharType="begin"/>
          </w:r>
          <w:r>
            <w:rPr>
              <w:color w:val="auto"/>
            </w:rPr>
            <w:instrText xml:space="preserve"> PAGEREF _Toc26993 \h </w:instrText>
          </w:r>
          <w:r>
            <w:rPr>
              <w:color w:val="auto"/>
            </w:rPr>
            <w:fldChar w:fldCharType="separate"/>
          </w:r>
          <w:r>
            <w:rPr>
              <w:color w:val="auto"/>
            </w:rPr>
            <w:t>48</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_Toc24121 </w:instrText>
          </w:r>
          <w:r>
            <w:rPr>
              <w:color w:val="auto"/>
              <w:szCs w:val="24"/>
            </w:rPr>
            <w:fldChar w:fldCharType="separate"/>
          </w:r>
          <w:r>
            <w:rPr>
              <w:color w:val="auto"/>
            </w:rPr>
            <w:t>4.3</w:t>
          </w:r>
          <w:r>
            <w:rPr>
              <w:rFonts w:hint="eastAsia" w:cs="仿宋"/>
              <w:color w:val="auto"/>
            </w:rPr>
            <w:t>完善粪污处理利用设施</w:t>
          </w:r>
          <w:r>
            <w:rPr>
              <w:color w:val="auto"/>
            </w:rPr>
            <w:tab/>
          </w:r>
          <w:r>
            <w:rPr>
              <w:color w:val="auto"/>
            </w:rPr>
            <w:fldChar w:fldCharType="begin"/>
          </w:r>
          <w:r>
            <w:rPr>
              <w:color w:val="auto"/>
            </w:rPr>
            <w:instrText xml:space="preserve"> PAGEREF _Toc24121 \h </w:instrText>
          </w:r>
          <w:r>
            <w:rPr>
              <w:color w:val="auto"/>
            </w:rPr>
            <w:fldChar w:fldCharType="separate"/>
          </w:r>
          <w:r>
            <w:rPr>
              <w:color w:val="auto"/>
            </w:rPr>
            <w:t>54</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_Toc31061 </w:instrText>
          </w:r>
          <w:r>
            <w:rPr>
              <w:color w:val="auto"/>
              <w:szCs w:val="24"/>
            </w:rPr>
            <w:fldChar w:fldCharType="separate"/>
          </w:r>
          <w:r>
            <w:rPr>
              <w:color w:val="auto"/>
            </w:rPr>
            <w:t xml:space="preserve">4.4 </w:t>
          </w:r>
          <w:r>
            <w:rPr>
              <w:rFonts w:hint="eastAsia" w:cs="仿宋"/>
              <w:color w:val="auto"/>
            </w:rPr>
            <w:t>完善台账管理制度</w:t>
          </w:r>
          <w:r>
            <w:rPr>
              <w:color w:val="auto"/>
            </w:rPr>
            <w:tab/>
          </w:r>
          <w:r>
            <w:rPr>
              <w:color w:val="auto"/>
            </w:rPr>
            <w:fldChar w:fldCharType="begin"/>
          </w:r>
          <w:r>
            <w:rPr>
              <w:color w:val="auto"/>
            </w:rPr>
            <w:instrText xml:space="preserve"> PAGEREF _Toc31061 \h </w:instrText>
          </w:r>
          <w:r>
            <w:rPr>
              <w:color w:val="auto"/>
            </w:rPr>
            <w:fldChar w:fldCharType="separate"/>
          </w:r>
          <w:r>
            <w:rPr>
              <w:color w:val="auto"/>
            </w:rPr>
            <w:t>56</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_Toc4955 </w:instrText>
          </w:r>
          <w:r>
            <w:rPr>
              <w:color w:val="auto"/>
              <w:szCs w:val="24"/>
            </w:rPr>
            <w:fldChar w:fldCharType="separate"/>
          </w:r>
          <w:r>
            <w:rPr>
              <w:color w:val="auto"/>
            </w:rPr>
            <w:t>4.5</w:t>
          </w:r>
          <w:r>
            <w:rPr>
              <w:rFonts w:hint="eastAsia" w:cs="仿宋"/>
              <w:color w:val="auto"/>
            </w:rPr>
            <w:t>强化环境监管</w:t>
          </w:r>
          <w:r>
            <w:rPr>
              <w:color w:val="auto"/>
            </w:rPr>
            <w:tab/>
          </w:r>
          <w:r>
            <w:rPr>
              <w:color w:val="auto"/>
            </w:rPr>
            <w:fldChar w:fldCharType="begin"/>
          </w:r>
          <w:r>
            <w:rPr>
              <w:color w:val="auto"/>
            </w:rPr>
            <w:instrText xml:space="preserve"> PAGEREF _Toc4955 \h </w:instrText>
          </w:r>
          <w:r>
            <w:rPr>
              <w:color w:val="auto"/>
            </w:rPr>
            <w:fldChar w:fldCharType="separate"/>
          </w:r>
          <w:r>
            <w:rPr>
              <w:color w:val="auto"/>
            </w:rPr>
            <w:t>56</w:t>
          </w:r>
          <w:r>
            <w:rPr>
              <w:color w:val="auto"/>
            </w:rPr>
            <w:fldChar w:fldCharType="end"/>
          </w:r>
          <w:r>
            <w:rPr>
              <w:color w:val="auto"/>
              <w:szCs w:val="24"/>
            </w:rPr>
            <w:fldChar w:fldCharType="end"/>
          </w:r>
        </w:p>
        <w:p>
          <w:pPr>
            <w:pStyle w:val="17"/>
            <w:tabs>
              <w:tab w:val="right" w:leader="dot" w:pos="8306"/>
              <w:tab w:val="clear" w:pos="8296"/>
            </w:tabs>
            <w:ind w:left="0" w:leftChars="0" w:firstLine="0" w:firstLineChars="0"/>
            <w:rPr>
              <w:color w:val="auto"/>
            </w:rPr>
          </w:pPr>
          <w:r>
            <w:rPr>
              <w:color w:val="auto"/>
              <w:szCs w:val="24"/>
            </w:rPr>
            <w:fldChar w:fldCharType="begin"/>
          </w:r>
          <w:r>
            <w:rPr>
              <w:color w:val="auto"/>
              <w:szCs w:val="24"/>
            </w:rPr>
            <w:instrText xml:space="preserve"> HYPERLINK \l _Toc15403 </w:instrText>
          </w:r>
          <w:r>
            <w:rPr>
              <w:color w:val="auto"/>
              <w:szCs w:val="24"/>
            </w:rPr>
            <w:fldChar w:fldCharType="separate"/>
          </w:r>
          <w:r>
            <w:rPr>
              <w:color w:val="auto"/>
            </w:rPr>
            <w:t>5</w:t>
          </w:r>
          <w:r>
            <w:rPr>
              <w:rFonts w:hint="eastAsia"/>
              <w:color w:val="auto"/>
              <w:lang w:eastAsia="zh-CN"/>
            </w:rPr>
            <w:t>、</w:t>
          </w:r>
          <w:r>
            <w:rPr>
              <w:rFonts w:hint="eastAsia"/>
              <w:color w:val="auto"/>
            </w:rPr>
            <w:t>重点工程</w:t>
          </w:r>
          <w:r>
            <w:rPr>
              <w:color w:val="auto"/>
            </w:rPr>
            <w:tab/>
          </w:r>
          <w:r>
            <w:rPr>
              <w:color w:val="auto"/>
            </w:rPr>
            <w:fldChar w:fldCharType="begin"/>
          </w:r>
          <w:r>
            <w:rPr>
              <w:color w:val="auto"/>
            </w:rPr>
            <w:instrText xml:space="preserve"> PAGEREF _Toc15403 \h </w:instrText>
          </w:r>
          <w:r>
            <w:rPr>
              <w:color w:val="auto"/>
            </w:rPr>
            <w:fldChar w:fldCharType="separate"/>
          </w:r>
          <w:r>
            <w:rPr>
              <w:color w:val="auto"/>
            </w:rPr>
            <w:t>59</w:t>
          </w:r>
          <w:r>
            <w:rPr>
              <w:color w:val="auto"/>
            </w:rPr>
            <w:fldChar w:fldCharType="end"/>
          </w:r>
          <w:r>
            <w:rPr>
              <w:color w:val="auto"/>
              <w:szCs w:val="24"/>
            </w:rPr>
            <w:fldChar w:fldCharType="end"/>
          </w:r>
        </w:p>
        <w:p>
          <w:pPr>
            <w:pStyle w:val="17"/>
            <w:tabs>
              <w:tab w:val="right" w:leader="dot" w:pos="8306"/>
              <w:tab w:val="clear" w:pos="8296"/>
            </w:tabs>
            <w:ind w:left="0" w:leftChars="0" w:firstLine="0" w:firstLineChars="0"/>
            <w:rPr>
              <w:color w:val="auto"/>
            </w:rPr>
          </w:pPr>
          <w:r>
            <w:rPr>
              <w:color w:val="auto"/>
              <w:szCs w:val="24"/>
            </w:rPr>
            <w:fldChar w:fldCharType="begin"/>
          </w:r>
          <w:r>
            <w:rPr>
              <w:color w:val="auto"/>
              <w:szCs w:val="24"/>
            </w:rPr>
            <w:instrText xml:space="preserve"> HYPERLINK \l _Toc29248 </w:instrText>
          </w:r>
          <w:r>
            <w:rPr>
              <w:color w:val="auto"/>
              <w:szCs w:val="24"/>
            </w:rPr>
            <w:fldChar w:fldCharType="separate"/>
          </w:r>
          <w:r>
            <w:rPr>
              <w:rFonts w:hint="eastAsia"/>
              <w:color w:val="auto"/>
              <w:lang w:val="en-US" w:eastAsia="zh-CN"/>
            </w:rPr>
            <w:t>6、工程投资估算</w:t>
          </w:r>
          <w:r>
            <w:rPr>
              <w:color w:val="auto"/>
              <w:lang w:val="zh-CN" w:eastAsia="zh-CN"/>
            </w:rPr>
            <w:t>与资金筹措</w:t>
          </w:r>
          <w:r>
            <w:rPr>
              <w:color w:val="auto"/>
            </w:rPr>
            <w:tab/>
          </w:r>
          <w:r>
            <w:rPr>
              <w:color w:val="auto"/>
            </w:rPr>
            <w:fldChar w:fldCharType="begin"/>
          </w:r>
          <w:r>
            <w:rPr>
              <w:color w:val="auto"/>
            </w:rPr>
            <w:instrText xml:space="preserve"> PAGEREF _Toc29248 \h </w:instrText>
          </w:r>
          <w:r>
            <w:rPr>
              <w:color w:val="auto"/>
            </w:rPr>
            <w:fldChar w:fldCharType="separate"/>
          </w:r>
          <w:r>
            <w:rPr>
              <w:color w:val="auto"/>
            </w:rPr>
            <w:t>62</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_Toc16098 </w:instrText>
          </w:r>
          <w:r>
            <w:rPr>
              <w:color w:val="auto"/>
              <w:szCs w:val="24"/>
            </w:rPr>
            <w:fldChar w:fldCharType="separate"/>
          </w:r>
          <w:r>
            <w:rPr>
              <w:rFonts w:hint="eastAsia"/>
              <w:color w:val="auto"/>
              <w:lang w:val="en-US" w:eastAsia="zh-CN"/>
            </w:rPr>
            <w:t>6.1</w:t>
          </w:r>
          <w:r>
            <w:rPr>
              <w:color w:val="auto"/>
              <w:lang w:val="zh-CN" w:eastAsia="zh-CN"/>
            </w:rPr>
            <w:t>投资估算</w:t>
          </w:r>
          <w:r>
            <w:rPr>
              <w:color w:val="auto"/>
            </w:rPr>
            <w:tab/>
          </w:r>
          <w:r>
            <w:rPr>
              <w:color w:val="auto"/>
            </w:rPr>
            <w:fldChar w:fldCharType="begin"/>
          </w:r>
          <w:r>
            <w:rPr>
              <w:color w:val="auto"/>
            </w:rPr>
            <w:instrText xml:space="preserve"> PAGEREF _Toc16098 \h </w:instrText>
          </w:r>
          <w:r>
            <w:rPr>
              <w:color w:val="auto"/>
            </w:rPr>
            <w:fldChar w:fldCharType="separate"/>
          </w:r>
          <w:r>
            <w:rPr>
              <w:color w:val="auto"/>
            </w:rPr>
            <w:t>62</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_Toc19211 </w:instrText>
          </w:r>
          <w:r>
            <w:rPr>
              <w:color w:val="auto"/>
              <w:szCs w:val="24"/>
            </w:rPr>
            <w:fldChar w:fldCharType="separate"/>
          </w:r>
          <w:r>
            <w:rPr>
              <w:rFonts w:hint="eastAsia"/>
              <w:color w:val="auto"/>
              <w:lang w:val="en-US" w:eastAsia="zh-CN"/>
            </w:rPr>
            <w:t>6.2效益分析</w:t>
          </w:r>
          <w:r>
            <w:rPr>
              <w:color w:val="auto"/>
            </w:rPr>
            <w:tab/>
          </w:r>
          <w:r>
            <w:rPr>
              <w:color w:val="auto"/>
            </w:rPr>
            <w:fldChar w:fldCharType="begin"/>
          </w:r>
          <w:r>
            <w:rPr>
              <w:color w:val="auto"/>
            </w:rPr>
            <w:instrText xml:space="preserve"> PAGEREF _Toc19211 \h </w:instrText>
          </w:r>
          <w:r>
            <w:rPr>
              <w:color w:val="auto"/>
            </w:rPr>
            <w:fldChar w:fldCharType="separate"/>
          </w:r>
          <w:r>
            <w:rPr>
              <w:color w:val="auto"/>
            </w:rPr>
            <w:t>62</w:t>
          </w:r>
          <w:r>
            <w:rPr>
              <w:color w:val="auto"/>
            </w:rPr>
            <w:fldChar w:fldCharType="end"/>
          </w:r>
          <w:r>
            <w:rPr>
              <w:color w:val="auto"/>
              <w:szCs w:val="24"/>
            </w:rPr>
            <w:fldChar w:fldCharType="end"/>
          </w:r>
        </w:p>
        <w:p>
          <w:pPr>
            <w:pStyle w:val="17"/>
            <w:tabs>
              <w:tab w:val="right" w:leader="dot" w:pos="8306"/>
              <w:tab w:val="clear" w:pos="8296"/>
            </w:tabs>
            <w:ind w:left="0" w:leftChars="0" w:firstLine="0" w:firstLineChars="0"/>
            <w:rPr>
              <w:color w:val="auto"/>
            </w:rPr>
          </w:pPr>
          <w:r>
            <w:rPr>
              <w:color w:val="auto"/>
              <w:szCs w:val="24"/>
            </w:rPr>
            <w:fldChar w:fldCharType="begin"/>
          </w:r>
          <w:r>
            <w:rPr>
              <w:color w:val="auto"/>
              <w:szCs w:val="24"/>
            </w:rPr>
            <w:instrText xml:space="preserve"> HYPERLINK \l _Toc21584 </w:instrText>
          </w:r>
          <w:r>
            <w:rPr>
              <w:color w:val="auto"/>
              <w:szCs w:val="24"/>
            </w:rPr>
            <w:fldChar w:fldCharType="separate"/>
          </w:r>
          <w:r>
            <w:rPr>
              <w:rFonts w:hint="eastAsia"/>
              <w:color w:val="auto"/>
              <w:lang w:val="en-US" w:eastAsia="zh-CN"/>
            </w:rPr>
            <w:t>7、保障措施</w:t>
          </w:r>
          <w:r>
            <w:rPr>
              <w:color w:val="auto"/>
            </w:rPr>
            <w:tab/>
          </w:r>
          <w:r>
            <w:rPr>
              <w:color w:val="auto"/>
            </w:rPr>
            <w:fldChar w:fldCharType="begin"/>
          </w:r>
          <w:r>
            <w:rPr>
              <w:color w:val="auto"/>
            </w:rPr>
            <w:instrText xml:space="preserve"> PAGEREF _Toc21584 \h </w:instrText>
          </w:r>
          <w:r>
            <w:rPr>
              <w:color w:val="auto"/>
            </w:rPr>
            <w:fldChar w:fldCharType="separate"/>
          </w:r>
          <w:r>
            <w:rPr>
              <w:color w:val="auto"/>
            </w:rPr>
            <w:t>64</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_Toc25460 </w:instrText>
          </w:r>
          <w:r>
            <w:rPr>
              <w:color w:val="auto"/>
              <w:szCs w:val="24"/>
            </w:rPr>
            <w:fldChar w:fldCharType="separate"/>
          </w:r>
          <w:r>
            <w:rPr>
              <w:color w:val="auto"/>
            </w:rPr>
            <w:t>7.1</w:t>
          </w:r>
          <w:r>
            <w:rPr>
              <w:rFonts w:hint="eastAsia" w:cs="仿宋"/>
              <w:color w:val="auto"/>
            </w:rPr>
            <w:t>加强领导，严格目标考核</w:t>
          </w:r>
          <w:r>
            <w:rPr>
              <w:color w:val="auto"/>
            </w:rPr>
            <w:tab/>
          </w:r>
          <w:r>
            <w:rPr>
              <w:color w:val="auto"/>
            </w:rPr>
            <w:fldChar w:fldCharType="begin"/>
          </w:r>
          <w:r>
            <w:rPr>
              <w:color w:val="auto"/>
            </w:rPr>
            <w:instrText xml:space="preserve"> PAGEREF _Toc25460 \h </w:instrText>
          </w:r>
          <w:r>
            <w:rPr>
              <w:color w:val="auto"/>
            </w:rPr>
            <w:fldChar w:fldCharType="separate"/>
          </w:r>
          <w:r>
            <w:rPr>
              <w:color w:val="auto"/>
            </w:rPr>
            <w:t>64</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_Toc22688 </w:instrText>
          </w:r>
          <w:r>
            <w:rPr>
              <w:color w:val="auto"/>
              <w:szCs w:val="24"/>
            </w:rPr>
            <w:fldChar w:fldCharType="separate"/>
          </w:r>
          <w:r>
            <w:rPr>
              <w:color w:val="auto"/>
            </w:rPr>
            <w:t>7.2</w:t>
          </w:r>
          <w:r>
            <w:rPr>
              <w:rFonts w:hint="eastAsia" w:cs="仿宋"/>
              <w:color w:val="auto"/>
            </w:rPr>
            <w:t>明确重点，细化措施落实</w:t>
          </w:r>
          <w:r>
            <w:rPr>
              <w:color w:val="auto"/>
            </w:rPr>
            <w:tab/>
          </w:r>
          <w:r>
            <w:rPr>
              <w:color w:val="auto"/>
            </w:rPr>
            <w:fldChar w:fldCharType="begin"/>
          </w:r>
          <w:r>
            <w:rPr>
              <w:color w:val="auto"/>
            </w:rPr>
            <w:instrText xml:space="preserve"> PAGEREF _Toc22688 \h </w:instrText>
          </w:r>
          <w:r>
            <w:rPr>
              <w:color w:val="auto"/>
            </w:rPr>
            <w:fldChar w:fldCharType="separate"/>
          </w:r>
          <w:r>
            <w:rPr>
              <w:color w:val="auto"/>
            </w:rPr>
            <w:t>64</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_Toc26368 </w:instrText>
          </w:r>
          <w:r>
            <w:rPr>
              <w:color w:val="auto"/>
              <w:szCs w:val="24"/>
            </w:rPr>
            <w:fldChar w:fldCharType="separate"/>
          </w:r>
          <w:r>
            <w:rPr>
              <w:color w:val="auto"/>
            </w:rPr>
            <w:t>7.3</w:t>
          </w:r>
          <w:r>
            <w:rPr>
              <w:rFonts w:hint="eastAsia" w:cs="仿宋"/>
              <w:color w:val="auto"/>
            </w:rPr>
            <w:t>增加投入，加大政策扶持</w:t>
          </w:r>
          <w:r>
            <w:rPr>
              <w:color w:val="auto"/>
            </w:rPr>
            <w:tab/>
          </w:r>
          <w:r>
            <w:rPr>
              <w:color w:val="auto"/>
            </w:rPr>
            <w:fldChar w:fldCharType="begin"/>
          </w:r>
          <w:r>
            <w:rPr>
              <w:color w:val="auto"/>
            </w:rPr>
            <w:instrText xml:space="preserve"> PAGEREF _Toc26368 \h </w:instrText>
          </w:r>
          <w:r>
            <w:rPr>
              <w:color w:val="auto"/>
            </w:rPr>
            <w:fldChar w:fldCharType="separate"/>
          </w:r>
          <w:r>
            <w:rPr>
              <w:color w:val="auto"/>
            </w:rPr>
            <w:t>64</w:t>
          </w:r>
          <w:r>
            <w:rPr>
              <w:color w:val="auto"/>
            </w:rPr>
            <w:fldChar w:fldCharType="end"/>
          </w:r>
          <w:r>
            <w:rPr>
              <w:color w:val="auto"/>
              <w:szCs w:val="24"/>
            </w:rPr>
            <w:fldChar w:fldCharType="end"/>
          </w:r>
        </w:p>
        <w:p>
          <w:pPr>
            <w:pStyle w:val="18"/>
            <w:tabs>
              <w:tab w:val="right" w:leader="dot" w:pos="8306"/>
            </w:tabs>
            <w:rPr>
              <w:color w:val="auto"/>
            </w:rPr>
          </w:pPr>
          <w:r>
            <w:rPr>
              <w:color w:val="auto"/>
              <w:szCs w:val="24"/>
            </w:rPr>
            <w:fldChar w:fldCharType="begin"/>
          </w:r>
          <w:r>
            <w:rPr>
              <w:color w:val="auto"/>
              <w:szCs w:val="24"/>
            </w:rPr>
            <w:instrText xml:space="preserve"> HYPERLINK \l _Toc12584 </w:instrText>
          </w:r>
          <w:r>
            <w:rPr>
              <w:color w:val="auto"/>
              <w:szCs w:val="24"/>
            </w:rPr>
            <w:fldChar w:fldCharType="separate"/>
          </w:r>
          <w:r>
            <w:rPr>
              <w:color w:val="auto"/>
            </w:rPr>
            <w:t>7.4</w:t>
          </w:r>
          <w:r>
            <w:rPr>
              <w:rFonts w:hint="eastAsia" w:cs="仿宋"/>
              <w:color w:val="auto"/>
            </w:rPr>
            <w:t>加大宣传，营造治理气氛</w:t>
          </w:r>
          <w:r>
            <w:rPr>
              <w:color w:val="auto"/>
            </w:rPr>
            <w:tab/>
          </w:r>
          <w:r>
            <w:rPr>
              <w:color w:val="auto"/>
            </w:rPr>
            <w:fldChar w:fldCharType="begin"/>
          </w:r>
          <w:r>
            <w:rPr>
              <w:color w:val="auto"/>
            </w:rPr>
            <w:instrText xml:space="preserve"> PAGEREF _Toc12584 \h </w:instrText>
          </w:r>
          <w:r>
            <w:rPr>
              <w:color w:val="auto"/>
            </w:rPr>
            <w:fldChar w:fldCharType="separate"/>
          </w:r>
          <w:r>
            <w:rPr>
              <w:color w:val="auto"/>
            </w:rPr>
            <w:t>65</w:t>
          </w:r>
          <w:r>
            <w:rPr>
              <w:color w:val="auto"/>
            </w:rPr>
            <w:fldChar w:fldCharType="end"/>
          </w:r>
          <w:r>
            <w:rPr>
              <w:color w:val="auto"/>
              <w:szCs w:val="24"/>
            </w:rPr>
            <w:fldChar w:fldCharType="end"/>
          </w:r>
        </w:p>
        <w:p>
          <w:pPr>
            <w:pStyle w:val="17"/>
            <w:tabs>
              <w:tab w:val="right" w:leader="dot" w:pos="8306"/>
              <w:tab w:val="clear" w:pos="8296"/>
            </w:tabs>
            <w:rPr>
              <w:color w:val="auto"/>
            </w:rPr>
          </w:pPr>
          <w:r>
            <w:rPr>
              <w:color w:val="auto"/>
              <w:szCs w:val="24"/>
            </w:rPr>
            <w:fldChar w:fldCharType="begin"/>
          </w:r>
          <w:r>
            <w:rPr>
              <w:color w:val="auto"/>
              <w:szCs w:val="24"/>
            </w:rPr>
            <w:instrText xml:space="preserve"> HYPERLINK \l _Toc30219 </w:instrText>
          </w:r>
          <w:r>
            <w:rPr>
              <w:color w:val="auto"/>
              <w:szCs w:val="24"/>
            </w:rPr>
            <w:fldChar w:fldCharType="separate"/>
          </w:r>
          <w:r>
            <w:rPr>
              <w:rFonts w:hint="eastAsia"/>
              <w:bCs/>
              <w:color w:val="auto"/>
              <w:szCs w:val="28"/>
              <w:lang w:val="zh-CN" w:eastAsia="zh-CN"/>
            </w:rPr>
            <w:t>附件</w:t>
          </w:r>
          <w:r>
            <w:rPr>
              <w:rFonts w:hint="eastAsia"/>
              <w:bCs/>
              <w:color w:val="auto"/>
              <w:szCs w:val="28"/>
              <w:lang w:val="en-US" w:eastAsia="zh-CN"/>
            </w:rPr>
            <w:t>1 《固镇县“十四五”畜禽养殖污染防治规划》编制说明</w:t>
          </w:r>
          <w:r>
            <w:rPr>
              <w:color w:val="auto"/>
            </w:rPr>
            <w:tab/>
          </w:r>
          <w:r>
            <w:rPr>
              <w:color w:val="auto"/>
            </w:rPr>
            <w:fldChar w:fldCharType="begin"/>
          </w:r>
          <w:r>
            <w:rPr>
              <w:color w:val="auto"/>
            </w:rPr>
            <w:instrText xml:space="preserve"> PAGEREF _Toc30219 \h </w:instrText>
          </w:r>
          <w:r>
            <w:rPr>
              <w:color w:val="auto"/>
            </w:rPr>
            <w:fldChar w:fldCharType="separate"/>
          </w:r>
          <w:r>
            <w:rPr>
              <w:color w:val="auto"/>
            </w:rPr>
            <w:t>66</w:t>
          </w:r>
          <w:r>
            <w:rPr>
              <w:color w:val="auto"/>
            </w:rPr>
            <w:fldChar w:fldCharType="end"/>
          </w:r>
          <w:r>
            <w:rPr>
              <w:color w:val="auto"/>
              <w:szCs w:val="24"/>
            </w:rPr>
            <w:fldChar w:fldCharType="end"/>
          </w:r>
        </w:p>
        <w:p>
          <w:pPr>
            <w:pStyle w:val="17"/>
            <w:tabs>
              <w:tab w:val="right" w:leader="dot" w:pos="8306"/>
              <w:tab w:val="clear" w:pos="8296"/>
            </w:tabs>
            <w:rPr>
              <w:color w:val="auto"/>
            </w:rPr>
          </w:pPr>
          <w:r>
            <w:rPr>
              <w:color w:val="auto"/>
              <w:szCs w:val="24"/>
            </w:rPr>
            <w:fldChar w:fldCharType="begin"/>
          </w:r>
          <w:r>
            <w:rPr>
              <w:color w:val="auto"/>
              <w:szCs w:val="24"/>
            </w:rPr>
            <w:instrText xml:space="preserve"> HYPERLINK \l _Toc29634 </w:instrText>
          </w:r>
          <w:r>
            <w:rPr>
              <w:color w:val="auto"/>
              <w:szCs w:val="24"/>
            </w:rPr>
            <w:fldChar w:fldCharType="separate"/>
          </w:r>
          <w:r>
            <w:rPr>
              <w:rFonts w:hint="eastAsia"/>
              <w:bCs/>
              <w:color w:val="auto"/>
              <w:szCs w:val="28"/>
              <w:lang w:val="en-US" w:eastAsia="zh-CN"/>
            </w:rPr>
            <w:t>附件2  固镇县畜禽规模养殖场（小区）粪污资源化利用情况表</w:t>
          </w:r>
          <w:r>
            <w:rPr>
              <w:color w:val="auto"/>
            </w:rPr>
            <w:tab/>
          </w:r>
          <w:r>
            <w:rPr>
              <w:color w:val="auto"/>
            </w:rPr>
            <w:fldChar w:fldCharType="begin"/>
          </w:r>
          <w:r>
            <w:rPr>
              <w:color w:val="auto"/>
            </w:rPr>
            <w:instrText xml:space="preserve"> PAGEREF _Toc29634 \h </w:instrText>
          </w:r>
          <w:r>
            <w:rPr>
              <w:color w:val="auto"/>
            </w:rPr>
            <w:fldChar w:fldCharType="separate"/>
          </w:r>
          <w:r>
            <w:rPr>
              <w:color w:val="auto"/>
            </w:rPr>
            <w:t>68</w:t>
          </w:r>
          <w:r>
            <w:rPr>
              <w:color w:val="auto"/>
            </w:rPr>
            <w:fldChar w:fldCharType="end"/>
          </w:r>
          <w:r>
            <w:rPr>
              <w:color w:val="auto"/>
              <w:szCs w:val="24"/>
            </w:rPr>
            <w:fldChar w:fldCharType="end"/>
          </w:r>
        </w:p>
        <w:p>
          <w:pPr>
            <w:pStyle w:val="17"/>
            <w:tabs>
              <w:tab w:val="right" w:leader="dot" w:pos="8306"/>
              <w:tab w:val="clear" w:pos="8296"/>
            </w:tabs>
            <w:rPr>
              <w:color w:val="auto"/>
            </w:rPr>
          </w:pPr>
          <w:r>
            <w:rPr>
              <w:color w:val="auto"/>
              <w:szCs w:val="24"/>
            </w:rPr>
            <w:fldChar w:fldCharType="begin"/>
          </w:r>
          <w:r>
            <w:rPr>
              <w:color w:val="auto"/>
              <w:szCs w:val="24"/>
            </w:rPr>
            <w:instrText xml:space="preserve"> HYPERLINK \l _Toc12847 </w:instrText>
          </w:r>
          <w:r>
            <w:rPr>
              <w:color w:val="auto"/>
              <w:szCs w:val="24"/>
            </w:rPr>
            <w:fldChar w:fldCharType="separate"/>
          </w:r>
          <w:r>
            <w:rPr>
              <w:rFonts w:hint="eastAsia"/>
              <w:bCs/>
              <w:color w:val="auto"/>
              <w:szCs w:val="28"/>
              <w:lang w:val="en-US" w:eastAsia="zh-CN"/>
            </w:rPr>
            <w:t>附件3  粪便、污水储池设计要求以及运营费用</w:t>
          </w:r>
          <w:r>
            <w:rPr>
              <w:color w:val="auto"/>
            </w:rPr>
            <w:tab/>
          </w:r>
          <w:r>
            <w:rPr>
              <w:color w:val="auto"/>
            </w:rPr>
            <w:fldChar w:fldCharType="begin"/>
          </w:r>
          <w:r>
            <w:rPr>
              <w:color w:val="auto"/>
            </w:rPr>
            <w:instrText xml:space="preserve"> PAGEREF _Toc12847 \h </w:instrText>
          </w:r>
          <w:r>
            <w:rPr>
              <w:color w:val="auto"/>
            </w:rPr>
            <w:fldChar w:fldCharType="separate"/>
          </w:r>
          <w:r>
            <w:rPr>
              <w:color w:val="auto"/>
            </w:rPr>
            <w:t>88</w:t>
          </w:r>
          <w:r>
            <w:rPr>
              <w:color w:val="auto"/>
            </w:rPr>
            <w:fldChar w:fldCharType="end"/>
          </w:r>
          <w:r>
            <w:rPr>
              <w:color w:val="auto"/>
              <w:szCs w:val="24"/>
            </w:rPr>
            <w:fldChar w:fldCharType="end"/>
          </w:r>
        </w:p>
        <w:p>
          <w:pPr>
            <w:pStyle w:val="17"/>
            <w:tabs>
              <w:tab w:val="right" w:leader="dot" w:pos="8306"/>
              <w:tab w:val="clear" w:pos="8296"/>
            </w:tabs>
            <w:rPr>
              <w:color w:val="auto"/>
            </w:rPr>
          </w:pPr>
          <w:r>
            <w:rPr>
              <w:color w:val="auto"/>
              <w:szCs w:val="24"/>
            </w:rPr>
            <w:fldChar w:fldCharType="begin"/>
          </w:r>
          <w:r>
            <w:rPr>
              <w:color w:val="auto"/>
              <w:szCs w:val="24"/>
            </w:rPr>
            <w:instrText xml:space="preserve"> HYPERLINK \l _Toc14882 </w:instrText>
          </w:r>
          <w:r>
            <w:rPr>
              <w:color w:val="auto"/>
              <w:szCs w:val="24"/>
            </w:rPr>
            <w:fldChar w:fldCharType="separate"/>
          </w:r>
          <w:r>
            <w:rPr>
              <w:rFonts w:hint="eastAsia"/>
              <w:bCs/>
              <w:color w:val="auto"/>
              <w:szCs w:val="28"/>
              <w:lang w:val="en-US" w:eastAsia="zh-CN"/>
            </w:rPr>
            <w:t>附图1  固镇县行政区划图</w:t>
          </w:r>
          <w:r>
            <w:rPr>
              <w:color w:val="auto"/>
            </w:rPr>
            <w:tab/>
          </w:r>
          <w:r>
            <w:rPr>
              <w:color w:val="auto"/>
            </w:rPr>
            <w:fldChar w:fldCharType="begin"/>
          </w:r>
          <w:r>
            <w:rPr>
              <w:color w:val="auto"/>
            </w:rPr>
            <w:instrText xml:space="preserve"> PAGEREF _Toc14882 \h </w:instrText>
          </w:r>
          <w:r>
            <w:rPr>
              <w:color w:val="auto"/>
            </w:rPr>
            <w:fldChar w:fldCharType="separate"/>
          </w:r>
          <w:r>
            <w:rPr>
              <w:color w:val="auto"/>
            </w:rPr>
            <w:t>92</w:t>
          </w:r>
          <w:r>
            <w:rPr>
              <w:color w:val="auto"/>
            </w:rPr>
            <w:fldChar w:fldCharType="end"/>
          </w:r>
          <w:r>
            <w:rPr>
              <w:color w:val="auto"/>
              <w:szCs w:val="24"/>
            </w:rPr>
            <w:fldChar w:fldCharType="end"/>
          </w:r>
        </w:p>
        <w:p>
          <w:pPr>
            <w:pStyle w:val="17"/>
            <w:tabs>
              <w:tab w:val="right" w:leader="dot" w:pos="8306"/>
              <w:tab w:val="clear" w:pos="8296"/>
            </w:tabs>
            <w:rPr>
              <w:color w:val="auto"/>
            </w:rPr>
          </w:pPr>
          <w:r>
            <w:rPr>
              <w:color w:val="auto"/>
              <w:szCs w:val="24"/>
            </w:rPr>
            <w:fldChar w:fldCharType="begin"/>
          </w:r>
          <w:r>
            <w:rPr>
              <w:color w:val="auto"/>
              <w:szCs w:val="24"/>
            </w:rPr>
            <w:instrText xml:space="preserve"> HYPERLINK \l _Toc23239 </w:instrText>
          </w:r>
          <w:r>
            <w:rPr>
              <w:color w:val="auto"/>
              <w:szCs w:val="24"/>
            </w:rPr>
            <w:fldChar w:fldCharType="separate"/>
          </w:r>
          <w:r>
            <w:rPr>
              <w:rFonts w:hint="eastAsia"/>
              <w:bCs/>
              <w:color w:val="auto"/>
              <w:szCs w:val="28"/>
              <w:lang w:val="en-US" w:eastAsia="zh-CN"/>
            </w:rPr>
            <w:t>附图2  固镇县水系图</w:t>
          </w:r>
          <w:r>
            <w:rPr>
              <w:color w:val="auto"/>
            </w:rPr>
            <w:tab/>
          </w:r>
          <w:r>
            <w:rPr>
              <w:color w:val="auto"/>
            </w:rPr>
            <w:fldChar w:fldCharType="begin"/>
          </w:r>
          <w:r>
            <w:rPr>
              <w:color w:val="auto"/>
            </w:rPr>
            <w:instrText xml:space="preserve"> PAGEREF _Toc23239 \h </w:instrText>
          </w:r>
          <w:r>
            <w:rPr>
              <w:color w:val="auto"/>
            </w:rPr>
            <w:fldChar w:fldCharType="separate"/>
          </w:r>
          <w:r>
            <w:rPr>
              <w:color w:val="auto"/>
            </w:rPr>
            <w:t>93</w:t>
          </w:r>
          <w:r>
            <w:rPr>
              <w:color w:val="auto"/>
            </w:rPr>
            <w:fldChar w:fldCharType="end"/>
          </w:r>
          <w:r>
            <w:rPr>
              <w:color w:val="auto"/>
              <w:szCs w:val="24"/>
            </w:rPr>
            <w:fldChar w:fldCharType="end"/>
          </w:r>
        </w:p>
        <w:p>
          <w:pPr>
            <w:pStyle w:val="17"/>
            <w:tabs>
              <w:tab w:val="right" w:leader="dot" w:pos="8306"/>
              <w:tab w:val="clear" w:pos="8296"/>
            </w:tabs>
            <w:rPr>
              <w:color w:val="auto"/>
            </w:rPr>
          </w:pPr>
          <w:r>
            <w:rPr>
              <w:color w:val="auto"/>
              <w:szCs w:val="24"/>
            </w:rPr>
            <w:fldChar w:fldCharType="begin"/>
          </w:r>
          <w:r>
            <w:rPr>
              <w:color w:val="auto"/>
              <w:szCs w:val="24"/>
            </w:rPr>
            <w:instrText xml:space="preserve"> HYPERLINK \l _Toc2249 </w:instrText>
          </w:r>
          <w:r>
            <w:rPr>
              <w:color w:val="auto"/>
              <w:szCs w:val="24"/>
            </w:rPr>
            <w:fldChar w:fldCharType="separate"/>
          </w:r>
          <w:r>
            <w:rPr>
              <w:rFonts w:hint="eastAsia"/>
              <w:bCs/>
              <w:color w:val="auto"/>
              <w:szCs w:val="28"/>
              <w:lang w:val="en-US" w:eastAsia="zh-CN"/>
            </w:rPr>
            <w:t>附图3  固镇县“三区三线”三上 布局图</w:t>
          </w:r>
          <w:r>
            <w:rPr>
              <w:color w:val="auto"/>
            </w:rPr>
            <w:tab/>
          </w:r>
          <w:r>
            <w:rPr>
              <w:color w:val="auto"/>
            </w:rPr>
            <w:fldChar w:fldCharType="begin"/>
          </w:r>
          <w:r>
            <w:rPr>
              <w:color w:val="auto"/>
            </w:rPr>
            <w:instrText xml:space="preserve"> PAGEREF _Toc2249 \h </w:instrText>
          </w:r>
          <w:r>
            <w:rPr>
              <w:color w:val="auto"/>
            </w:rPr>
            <w:fldChar w:fldCharType="separate"/>
          </w:r>
          <w:r>
            <w:rPr>
              <w:color w:val="auto"/>
            </w:rPr>
            <w:t>94</w:t>
          </w:r>
          <w:r>
            <w:rPr>
              <w:color w:val="auto"/>
            </w:rPr>
            <w:fldChar w:fldCharType="end"/>
          </w:r>
          <w:r>
            <w:rPr>
              <w:color w:val="auto"/>
              <w:szCs w:val="24"/>
            </w:rPr>
            <w:fldChar w:fldCharType="end"/>
          </w:r>
        </w:p>
        <w:p>
          <w:pPr>
            <w:pStyle w:val="17"/>
            <w:tabs>
              <w:tab w:val="right" w:leader="dot" w:pos="8306"/>
              <w:tab w:val="clear" w:pos="8296"/>
            </w:tabs>
            <w:rPr>
              <w:color w:val="auto"/>
            </w:rPr>
          </w:pPr>
          <w:r>
            <w:rPr>
              <w:color w:val="auto"/>
              <w:szCs w:val="24"/>
            </w:rPr>
            <w:fldChar w:fldCharType="begin"/>
          </w:r>
          <w:r>
            <w:rPr>
              <w:color w:val="auto"/>
              <w:szCs w:val="24"/>
            </w:rPr>
            <w:instrText xml:space="preserve"> HYPERLINK \l _Toc25248 </w:instrText>
          </w:r>
          <w:r>
            <w:rPr>
              <w:color w:val="auto"/>
              <w:szCs w:val="24"/>
            </w:rPr>
            <w:fldChar w:fldCharType="separate"/>
          </w:r>
          <w:r>
            <w:rPr>
              <w:rFonts w:hint="eastAsia"/>
              <w:bCs/>
              <w:color w:val="auto"/>
              <w:szCs w:val="28"/>
              <w:lang w:val="en-US" w:eastAsia="zh-CN"/>
            </w:rPr>
            <w:t>附图4  固镇县畜禽养殖禁养区分布图</w:t>
          </w:r>
          <w:r>
            <w:rPr>
              <w:color w:val="auto"/>
            </w:rPr>
            <w:tab/>
          </w:r>
          <w:r>
            <w:rPr>
              <w:color w:val="auto"/>
            </w:rPr>
            <w:fldChar w:fldCharType="begin"/>
          </w:r>
          <w:r>
            <w:rPr>
              <w:color w:val="auto"/>
            </w:rPr>
            <w:instrText xml:space="preserve"> PAGEREF _Toc25248 \h </w:instrText>
          </w:r>
          <w:r>
            <w:rPr>
              <w:color w:val="auto"/>
            </w:rPr>
            <w:fldChar w:fldCharType="separate"/>
          </w:r>
          <w:r>
            <w:rPr>
              <w:color w:val="auto"/>
            </w:rPr>
            <w:t>95</w:t>
          </w:r>
          <w:r>
            <w:rPr>
              <w:color w:val="auto"/>
            </w:rPr>
            <w:fldChar w:fldCharType="end"/>
          </w:r>
          <w:r>
            <w:rPr>
              <w:color w:val="auto"/>
              <w:szCs w:val="24"/>
            </w:rPr>
            <w:fldChar w:fldCharType="end"/>
          </w:r>
        </w:p>
        <w:p>
          <w:pPr>
            <w:keepNext w:val="0"/>
            <w:keepLines w:val="0"/>
            <w:pageBreakBefore w:val="0"/>
            <w:kinsoku/>
            <w:wordWrap/>
            <w:overflowPunct/>
            <w:topLinePunct w:val="0"/>
            <w:autoSpaceDE/>
            <w:autoSpaceDN/>
            <w:bidi w:val="0"/>
            <w:adjustRightInd/>
            <w:snapToGrid/>
            <w:spacing w:line="240" w:lineRule="auto"/>
            <w:textAlignment w:val="auto"/>
            <w:rPr>
              <w:color w:val="auto"/>
              <w:sz w:val="32"/>
              <w:szCs w:val="32"/>
            </w:rPr>
          </w:pPr>
          <w:r>
            <w:rPr>
              <w:color w:val="auto"/>
              <w:szCs w:val="24"/>
            </w:rPr>
            <w:fldChar w:fldCharType="end"/>
          </w:r>
        </w:p>
      </w:sdtContent>
    </w:sdt>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bookmarkStart w:id="0" w:name="_Toc28359"/>
      <w:bookmarkStart w:id="1" w:name="_Toc1878"/>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lang w:val="en-US" w:eastAsia="zh-CN"/>
        </w:rPr>
      </w:pPr>
      <w:bookmarkStart w:id="2" w:name="_Toc6710"/>
      <w:r>
        <w:rPr>
          <w:rFonts w:hint="eastAsia"/>
          <w:color w:val="auto"/>
          <w:lang w:val="en-US" w:eastAsia="zh-CN"/>
        </w:rPr>
        <w:t>1、总则</w:t>
      </w:r>
      <w:bookmarkEnd w:id="0"/>
      <w:bookmarkEnd w:id="1"/>
      <w:bookmarkEnd w:id="2"/>
    </w:p>
    <w:p>
      <w:pPr>
        <w:pStyle w:val="5"/>
        <w:rPr>
          <w:rFonts w:hint="eastAsia"/>
          <w:color w:val="auto"/>
          <w:lang w:val="zh-CN" w:eastAsia="zh-CN"/>
        </w:rPr>
      </w:pPr>
      <w:bookmarkStart w:id="3" w:name="_Toc30322"/>
      <w:bookmarkStart w:id="4" w:name="_Toc9521"/>
      <w:bookmarkStart w:id="5" w:name="_Toc11026"/>
      <w:r>
        <w:rPr>
          <w:rFonts w:hint="eastAsia"/>
          <w:color w:val="auto"/>
          <w:lang w:val="en-US" w:eastAsia="zh-CN"/>
        </w:rPr>
        <w:t>1.1</w:t>
      </w:r>
      <w:r>
        <w:rPr>
          <w:rFonts w:hint="eastAsia"/>
          <w:color w:val="auto"/>
          <w:lang w:val="zh-CN" w:eastAsia="zh-CN"/>
        </w:rPr>
        <w:t>规划编制背景和基本原则</w:t>
      </w:r>
      <w:bookmarkEnd w:id="3"/>
      <w:bookmarkEnd w:id="4"/>
      <w:bookmarkEnd w:id="5"/>
    </w:p>
    <w:p>
      <w:pPr>
        <w:pStyle w:val="6"/>
        <w:keepNext/>
        <w:keepLines/>
        <w:pageBreakBefore w:val="0"/>
        <w:widowControl w:val="0"/>
        <w:numPr>
          <w:ilvl w:val="2"/>
          <w:numId w:val="1"/>
        </w:numPr>
        <w:kinsoku/>
        <w:wordWrap/>
        <w:overflowPunct/>
        <w:topLinePunct w:val="0"/>
        <w:autoSpaceDE/>
        <w:autoSpaceDN/>
        <w:bidi w:val="0"/>
        <w:adjustRightInd/>
        <w:snapToGrid/>
        <w:spacing w:before="0" w:after="0" w:line="360" w:lineRule="auto"/>
        <w:textAlignment w:val="auto"/>
        <w:rPr>
          <w:rFonts w:hint="eastAsia"/>
          <w:color w:val="auto"/>
          <w:lang w:val="zh-CN" w:eastAsia="zh-CN"/>
        </w:rPr>
      </w:pPr>
      <w:bookmarkStart w:id="6" w:name="_Toc22101"/>
      <w:r>
        <w:rPr>
          <w:rFonts w:hint="eastAsia"/>
          <w:color w:val="auto"/>
          <w:lang w:val="zh-CN" w:eastAsia="zh-CN"/>
        </w:rPr>
        <w:t>规划编制背景</w:t>
      </w:r>
      <w:bookmarkEnd w:id="6"/>
    </w:p>
    <w:p>
      <w:pPr>
        <w:ind w:firstLine="31680"/>
        <w:rPr>
          <w:rFonts w:hint="eastAsia" w:eastAsia="仿宋_GB2312"/>
          <w:color w:val="auto"/>
          <w:kern w:val="0"/>
          <w:sz w:val="30"/>
          <w:szCs w:val="30"/>
          <w:lang w:val="zh-CN" w:eastAsia="zh-CN"/>
        </w:rPr>
      </w:pPr>
      <w:r>
        <w:rPr>
          <w:rFonts w:hint="eastAsia" w:cs="仿宋"/>
          <w:color w:val="auto"/>
        </w:rPr>
        <w:t>为</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为了防治畜禽养殖污染，推进畜禽养殖废弃物的综合利用和无害化处理，保护和改善环境，保障公众身体健康，促进畜牧业持续健康发展，在2014年1月1日中华人民共和国国务院令第643号《畜禽规模养殖污染防治条例》开始实施，规定了畜禽养殖场、养殖小区的养殖污染防治要求。随后2015年1月1日新《环境保护法》开始实施，要求推动农村环境综合整治，畜禽养殖场、养殖小区选址合理，对畜禽粪便、尸体和污水等废弃物进行科学处置，防止污染环境。2017年以来相继出台《国务院办公厅 关于加快推进畜禽养殖废弃物资源化利用的意见》《农业农村部办公厅 生态环境部办公厅关于促进畜禽粪污还田利用依法加强养殖污染治理的指导意见》《农业农村部办公厅 生态环境部办公厅 进一步明确畜禽粪污还田利用要求强化养殖污染监管的通知》等意见，推进全国畜禽养殖污染防治及粪污资源化工作。</w:t>
      </w:r>
    </w:p>
    <w:p>
      <w:pPr>
        <w:ind w:firstLine="600" w:firstLineChars="200"/>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2022年2月25日，国家生态环境部办公厅发布《关于进一步加快推进畜禽养殖污染防治规划编制的通知》（环办土壤函【2022】82号），2022年3月19日，</w:t>
      </w:r>
      <w:r>
        <w:rPr>
          <w:rFonts w:hint="eastAsia" w:eastAsia="仿宋_GB2312"/>
          <w:color w:val="5B9BD5" w:themeColor="accent1"/>
          <w:kern w:val="0"/>
          <w:sz w:val="30"/>
          <w:szCs w:val="30"/>
          <w:lang w:val="en-US" w:eastAsia="zh-CN"/>
          <w14:textFill>
            <w14:solidFill>
              <w14:schemeClr w14:val="accent1"/>
            </w14:solidFill>
          </w14:textFill>
        </w:rPr>
        <w:t>出台的</w:t>
      </w:r>
      <w:r>
        <w:rPr>
          <w:rFonts w:hint="eastAsia" w:eastAsia="仿宋_GB2312"/>
          <w:color w:val="auto"/>
          <w:kern w:val="0"/>
          <w:sz w:val="30"/>
          <w:szCs w:val="30"/>
          <w:lang w:val="en-US" w:eastAsia="zh-CN"/>
        </w:rPr>
        <w:t>《安徽省生态环境厅 安徽省农业农村厅 关于进一步加快推进畜禽养殖污染防治规划编制的通知》（皖环函【2022】375号），要求畜牧大县在2022年底完成规划编制工作。2022年3月29日，</w:t>
      </w:r>
      <w:r>
        <w:rPr>
          <w:rFonts w:hint="eastAsia" w:eastAsia="仿宋_GB2312"/>
          <w:color w:val="5B9BD5" w:themeColor="accent1"/>
          <w:kern w:val="0"/>
          <w:sz w:val="30"/>
          <w:szCs w:val="30"/>
          <w:lang w:val="en-US" w:eastAsia="zh-CN"/>
          <w14:textFill>
            <w14:solidFill>
              <w14:schemeClr w14:val="accent1"/>
            </w14:solidFill>
          </w14:textFill>
        </w:rPr>
        <w:t>出台的</w:t>
      </w:r>
      <w:r>
        <w:rPr>
          <w:rFonts w:hint="eastAsia" w:eastAsia="仿宋_GB2312"/>
          <w:color w:val="auto"/>
          <w:kern w:val="0"/>
          <w:sz w:val="30"/>
          <w:szCs w:val="30"/>
          <w:lang w:val="en-US" w:eastAsia="zh-CN"/>
        </w:rPr>
        <w:t>《蚌埠市生态环境局 蚌埠市农业农村局 关于进一步加快推进畜禽养殖污染防治规划编制的通知》（便函〔2022〕157号），要求固镇县要在2022年底前完成规划编制工作。</w:t>
      </w:r>
    </w:p>
    <w:p>
      <w:pPr>
        <w:ind w:firstLine="600" w:firstLineChars="200"/>
        <w:rPr>
          <w:rFonts w:ascii="宋体" w:hAnsi="宋体" w:eastAsia="宋体" w:cs="宋体"/>
          <w:color w:val="auto"/>
          <w:sz w:val="28"/>
          <w:szCs w:val="28"/>
          <w:lang w:val="zh-CN" w:eastAsia="zh-CN" w:bidi="zh-CN"/>
        </w:rPr>
      </w:pPr>
      <w:r>
        <w:rPr>
          <w:rFonts w:hint="eastAsia" w:eastAsia="仿宋_GB2312"/>
          <w:color w:val="auto"/>
          <w:kern w:val="0"/>
          <w:sz w:val="30"/>
          <w:szCs w:val="30"/>
          <w:lang w:val="zh-CN" w:eastAsia="zh-CN"/>
        </w:rPr>
        <w:t>为控制畜禽养殖业污染无序扩张的趋势，保护水体和自然生态环境，改善城乡环境质量，实现畜禽养殖业健康持续发展、社会和谐及人与自然的和谐，必须强化规划政策引导，加大畜禽养殖业污染防治力度。根据《中华人民共和国水污染防治法》、《中华人民共和国畜牧法》、《畜禽规模养殖污染防治条例》等国家法律法规和</w:t>
      </w:r>
      <w:r>
        <w:rPr>
          <w:rFonts w:hint="eastAsia" w:eastAsia="仿宋_GB2312"/>
          <w:color w:val="auto"/>
          <w:kern w:val="0"/>
          <w:sz w:val="30"/>
          <w:szCs w:val="30"/>
          <w:lang w:val="en-US" w:eastAsia="zh-CN"/>
        </w:rPr>
        <w:t>《安徽省生态环境厅 安徽省农业农村厅 关于进一步加快推进畜禽养殖污染防治规划编制的通知》（皖环函【2022】375号）</w:t>
      </w:r>
      <w:r>
        <w:rPr>
          <w:rFonts w:hint="eastAsia" w:eastAsia="仿宋_GB2312"/>
          <w:color w:val="auto"/>
          <w:kern w:val="0"/>
          <w:sz w:val="30"/>
          <w:szCs w:val="30"/>
          <w:lang w:val="zh-CN" w:eastAsia="zh-CN"/>
        </w:rPr>
        <w:t>的要求，结合</w:t>
      </w:r>
      <w:r>
        <w:rPr>
          <w:rFonts w:hint="eastAsia" w:eastAsia="仿宋_GB2312"/>
          <w:color w:val="auto"/>
          <w:kern w:val="0"/>
          <w:sz w:val="30"/>
          <w:szCs w:val="30"/>
          <w:lang w:val="en-US" w:eastAsia="zh-CN"/>
        </w:rPr>
        <w:t>固镇县</w:t>
      </w:r>
      <w:r>
        <w:rPr>
          <w:rFonts w:hint="eastAsia" w:eastAsia="仿宋_GB2312"/>
          <w:color w:val="auto"/>
          <w:kern w:val="0"/>
          <w:sz w:val="30"/>
          <w:szCs w:val="30"/>
          <w:lang w:val="zh-CN" w:eastAsia="zh-CN"/>
        </w:rPr>
        <w:t>区域实际情况，蚌埠市固镇县生态环境分局组织开展了《固镇县“十四五”畜禽养殖污染防治规划》编制工作</w:t>
      </w:r>
      <w:r>
        <w:rPr>
          <w:rFonts w:ascii="宋体" w:hAnsi="宋体" w:eastAsia="宋体" w:cs="宋体"/>
          <w:color w:val="auto"/>
          <w:spacing w:val="-4"/>
          <w:sz w:val="28"/>
          <w:szCs w:val="28"/>
          <w:lang w:val="zh-CN" w:eastAsia="zh-CN" w:bidi="zh-CN"/>
        </w:rPr>
        <w:t>。</w:t>
      </w:r>
    </w:p>
    <w:p>
      <w:pPr>
        <w:pStyle w:val="6"/>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firstLine="0"/>
        <w:textAlignment w:val="auto"/>
        <w:rPr>
          <w:color w:val="auto"/>
          <w:lang w:val="zh-CN" w:eastAsia="zh-CN"/>
        </w:rPr>
      </w:pPr>
      <w:bookmarkStart w:id="7" w:name="_Toc6461"/>
      <w:r>
        <w:rPr>
          <w:rFonts w:hint="eastAsia"/>
          <w:color w:val="auto"/>
          <w:lang w:val="zh-CN" w:eastAsia="zh-CN"/>
        </w:rPr>
        <w:t>规划编制基本原则</w:t>
      </w:r>
      <w:bookmarkEnd w:id="7"/>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(1)统筹兼顾，强化监督</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综合考虑畜禽养殖污染现状、畜牧业发展需求、种养结合基础和经济发展状况等因素，明确畜禽养殖污染防治目标任务。加大环境监管执法力度，发挥监督执法倒逼作用。</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(2)因地制宜，分区施策</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统筹考虑自然环境、畜禽养殖类型、结构和空间布局，种植类型与规模、耕地质量、环境承载力、人居环境影响等因素，因地制宜、分区分类探索畜禽养殖污染防治路径。</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(3)种养结合，协同减排</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以畜禽粪肥就近就地利用为重点，协同推进畜禽养殖污染治理与农业面源污染防治。结合种植规模和结构，科学测算畜禽粪肥养分供需情况，系统评估畜禽粪肥还田利用的经济性和可行性，合理选择畜禽养殖污染防治模式。</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(4)政府主导，多方联动</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完善多方协调联动机制，强化地方政府主导、企业主体、社会组织和公众共同参与的畜禽养殖污染防治和畜禽粪污资源化利用体系。拓宽投融资渠道，加大政策支持力度，推动第三方服务等社会化运营模式健康发展。</w:t>
      </w:r>
    </w:p>
    <w:p>
      <w:pPr>
        <w:pStyle w:val="5"/>
        <w:rPr>
          <w:rFonts w:hint="eastAsia"/>
          <w:color w:val="auto"/>
          <w:lang w:val="zh-CN" w:eastAsia="zh-CN"/>
        </w:rPr>
      </w:pPr>
      <w:bookmarkStart w:id="8" w:name="_Toc7610"/>
      <w:bookmarkStart w:id="9" w:name="_Toc9770"/>
      <w:bookmarkStart w:id="10" w:name="_Toc10814"/>
      <w:r>
        <w:rPr>
          <w:rFonts w:hint="eastAsia"/>
          <w:color w:val="auto"/>
          <w:lang w:val="en-US" w:eastAsia="zh-CN"/>
        </w:rPr>
        <w:t>1.2</w:t>
      </w:r>
      <w:r>
        <w:rPr>
          <w:rFonts w:hint="eastAsia"/>
          <w:color w:val="auto"/>
          <w:lang w:val="zh-CN" w:eastAsia="zh-CN"/>
        </w:rPr>
        <w:t>规划编制依据</w:t>
      </w:r>
      <w:bookmarkEnd w:id="8"/>
      <w:bookmarkEnd w:id="9"/>
      <w:bookmarkEnd w:id="10"/>
    </w:p>
    <w:p>
      <w:pPr>
        <w:keepNext w:val="0"/>
        <w:keepLines w:val="0"/>
        <w:pageBreakBefore w:val="0"/>
        <w:widowControl w:val="0"/>
        <w:numPr>
          <w:ilvl w:val="0"/>
          <w:numId w:val="0"/>
        </w:numPr>
        <w:tabs>
          <w:tab w:val="left" w:pos="881"/>
        </w:tabs>
        <w:kinsoku/>
        <w:wordWrap/>
        <w:overflowPunct/>
        <w:topLinePunct w:val="0"/>
        <w:autoSpaceDE w:val="0"/>
        <w:autoSpaceDN w:val="0"/>
        <w:bidi w:val="0"/>
        <w:adjustRightInd/>
        <w:snapToGrid/>
        <w:spacing w:after="0" w:line="360" w:lineRule="auto"/>
        <w:ind w:leftChars="0" w:right="0" w:rightChars="0"/>
        <w:jc w:val="left"/>
        <w:textAlignment w:val="auto"/>
        <w:outlineLvl w:val="2"/>
        <w:rPr>
          <w:rFonts w:hint="eastAsia" w:ascii="微软雅黑" w:hAnsi="宋体" w:eastAsia="微软雅黑" w:cs="宋体"/>
          <w:b/>
          <w:color w:val="auto"/>
          <w:sz w:val="32"/>
          <w:szCs w:val="22"/>
          <w:lang w:val="zh-CN" w:eastAsia="zh-CN" w:bidi="zh-CN"/>
        </w:rPr>
      </w:pPr>
      <w:bookmarkStart w:id="11" w:name="_Toc9660"/>
      <w:r>
        <w:rPr>
          <w:rFonts w:hint="eastAsia" w:ascii="微软雅黑" w:hAnsi="宋体" w:eastAsia="微软雅黑" w:cs="宋体"/>
          <w:b/>
          <w:color w:val="auto"/>
          <w:sz w:val="32"/>
          <w:szCs w:val="22"/>
          <w:lang w:val="en-US" w:eastAsia="zh-CN" w:bidi="zh-CN"/>
        </w:rPr>
        <w:t>1.2.1</w:t>
      </w:r>
      <w:r>
        <w:rPr>
          <w:rFonts w:hint="eastAsia" w:ascii="微软雅黑" w:hAnsi="宋体" w:eastAsia="微软雅黑" w:cs="宋体"/>
          <w:b/>
          <w:color w:val="auto"/>
          <w:sz w:val="32"/>
          <w:szCs w:val="22"/>
          <w:lang w:val="zh-CN" w:eastAsia="zh-CN" w:bidi="zh-CN"/>
        </w:rPr>
        <w:t>法律法规</w:t>
      </w:r>
      <w:bookmarkEnd w:id="11"/>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《中华人民共和国环境保护法》</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《中华人民共和国水污染防治法》</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《中华人民共和国土壤污染防治法》</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《中华人民共和国大气污染防治法》</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《中华人民共和国固体废物污染环境防治法》</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《中华人民共和国畜牧法》</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《畜禽规模养殖污染防治条例》</w:t>
      </w:r>
    </w:p>
    <w:p>
      <w:pPr>
        <w:keepNext w:val="0"/>
        <w:keepLines w:val="0"/>
        <w:pageBreakBefore w:val="0"/>
        <w:widowControl w:val="0"/>
        <w:numPr>
          <w:ilvl w:val="0"/>
          <w:numId w:val="0"/>
        </w:numPr>
        <w:tabs>
          <w:tab w:val="left" w:pos="881"/>
        </w:tabs>
        <w:kinsoku/>
        <w:wordWrap/>
        <w:overflowPunct/>
        <w:topLinePunct w:val="0"/>
        <w:autoSpaceDE w:val="0"/>
        <w:autoSpaceDN w:val="0"/>
        <w:bidi w:val="0"/>
        <w:adjustRightInd/>
        <w:snapToGrid/>
        <w:spacing w:after="0" w:line="360" w:lineRule="auto"/>
        <w:ind w:leftChars="0" w:right="0" w:rightChars="0"/>
        <w:jc w:val="left"/>
        <w:textAlignment w:val="auto"/>
        <w:outlineLvl w:val="2"/>
        <w:rPr>
          <w:rFonts w:hint="eastAsia" w:ascii="微软雅黑" w:hAnsi="宋体" w:eastAsia="微软雅黑" w:cs="宋体"/>
          <w:b/>
          <w:color w:val="auto"/>
          <w:sz w:val="32"/>
          <w:szCs w:val="22"/>
          <w:lang w:val="en-US" w:eastAsia="zh-CN" w:bidi="zh-CN"/>
        </w:rPr>
      </w:pPr>
      <w:bookmarkStart w:id="12" w:name="_Toc13495"/>
      <w:r>
        <w:rPr>
          <w:rFonts w:hint="eastAsia" w:ascii="微软雅黑" w:hAnsi="宋体" w:eastAsia="微软雅黑" w:cs="宋体"/>
          <w:b/>
          <w:color w:val="auto"/>
          <w:sz w:val="32"/>
          <w:szCs w:val="22"/>
          <w:lang w:val="en-US" w:eastAsia="zh-CN" w:bidi="zh-CN"/>
        </w:rPr>
        <w:t>1.2.2标准规范</w:t>
      </w:r>
      <w:bookmarkEnd w:id="12"/>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GB 5084农田灌溉水质标准</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GB 15618土壤环境质量-农用地土壤污染风险管控标准(试行)</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GB 18596畜禽养殖业污染物排放标准</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GB 7959粪便无害化卫生要求</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GB/T18877有机-无机复混肥料</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 xml:space="preserve">GB/T 25169畜禽粪便监测技术规范 </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GB/T 25246畜禽粪便还田技术规范</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GB/T 26624畜禽养殖污水贮存设施设计要求</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GB/T 2</w:t>
      </w:r>
      <w:r>
        <w:rPr>
          <w:rFonts w:hint="default" w:ascii="Times New Roman" w:hAnsi="Times New Roman" w:eastAsia="仿宋_GB2312" w:cs="Times New Roman"/>
          <w:color w:val="auto"/>
          <w:kern w:val="0"/>
          <w:sz w:val="30"/>
          <w:szCs w:val="30"/>
          <w:lang w:val="en-US" w:eastAsia="zh-CN"/>
        </w:rPr>
        <w:t>7522</w:t>
      </w:r>
      <w:r>
        <w:rPr>
          <w:rFonts w:hint="default" w:ascii="Times New Roman" w:hAnsi="Times New Roman" w:eastAsia="仿宋_GB2312" w:cs="Times New Roman"/>
          <w:color w:val="auto"/>
          <w:kern w:val="0"/>
          <w:sz w:val="30"/>
          <w:szCs w:val="30"/>
          <w:lang w:val="zh-CN" w:eastAsia="zh-CN"/>
        </w:rPr>
        <w:t>畜禽养殖污水采样技术规范</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GB/T 27622畜禽粪便贮存设施设计要求</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GB/T 36195畜禽粪便无害化处理技术规范</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HJ 497畜禽养殖业污染治理工程技术规范</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HJ 1029排污许可证申请与核发技术规范 畜禽养殖行业</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HJ/T 81畜禽养殖业污染防治技术规范</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NY525有机肥料</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NY/T 1169畜禽场环境污染控制技术规范</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NY/T 2065沼肥施用技术规范</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color w:val="auto"/>
          <w:kern w:val="0"/>
          <w:sz w:val="30"/>
          <w:szCs w:val="30"/>
          <w:lang w:val="zh-CN" w:eastAsia="zh-CN"/>
        </w:rPr>
        <w:t>（</w:t>
      </w:r>
      <w:r>
        <w:rPr>
          <w:rFonts w:hint="default" w:ascii="Times New Roman" w:hAnsi="Times New Roman" w:eastAsia="仿宋_GB2312" w:cs="Times New Roman"/>
          <w:color w:val="auto"/>
          <w:kern w:val="0"/>
          <w:sz w:val="30"/>
          <w:szCs w:val="30"/>
          <w:lang w:val="en-US" w:eastAsia="zh-CN"/>
        </w:rPr>
        <w:t>18</w:t>
      </w:r>
      <w:r>
        <w:rPr>
          <w:rFonts w:hint="default" w:ascii="Times New Roman" w:hAnsi="Times New Roman" w:eastAsia="仿宋_GB2312" w:cs="Times New Roman"/>
          <w:color w:val="auto"/>
          <w:kern w:val="0"/>
          <w:sz w:val="30"/>
          <w:szCs w:val="30"/>
          <w:lang w:val="zh-CN" w:eastAsia="zh-CN"/>
        </w:rPr>
        <w:t xml:space="preserve">）NY/T </w:t>
      </w:r>
      <w:r>
        <w:rPr>
          <w:rFonts w:hint="default" w:ascii="Times New Roman" w:hAnsi="Times New Roman" w:eastAsia="仿宋_GB2312" w:cs="Times New Roman"/>
          <w:color w:val="auto"/>
          <w:kern w:val="0"/>
          <w:sz w:val="30"/>
          <w:szCs w:val="30"/>
          <w:lang w:val="en-US" w:eastAsia="zh-CN"/>
        </w:rPr>
        <w:t>3442</w:t>
      </w:r>
      <w:r>
        <w:rPr>
          <w:rFonts w:hint="default" w:ascii="Times New Roman" w:hAnsi="Times New Roman" w:eastAsia="仿宋_GB2312" w:cs="Times New Roman"/>
          <w:color w:val="auto"/>
          <w:kern w:val="0"/>
          <w:sz w:val="30"/>
          <w:szCs w:val="30"/>
          <w:lang w:val="zh-CN" w:eastAsia="zh-CN"/>
        </w:rPr>
        <w:t>畜禽粪便堆肥技术规范</w:t>
      </w:r>
    </w:p>
    <w:p>
      <w:pPr>
        <w:pStyle w:val="6"/>
        <w:numPr>
          <w:ilvl w:val="0"/>
          <w:numId w:val="0"/>
        </w:numPr>
        <w:bidi w:val="0"/>
        <w:ind w:left="160" w:leftChars="0"/>
        <w:rPr>
          <w:rFonts w:hint="eastAsia"/>
          <w:color w:val="auto"/>
          <w:lang w:val="zh-CN" w:eastAsia="zh-CN"/>
        </w:rPr>
      </w:pPr>
      <w:bookmarkStart w:id="13" w:name="_Toc7320"/>
      <w:r>
        <w:rPr>
          <w:rFonts w:hint="eastAsia"/>
          <w:color w:val="auto"/>
          <w:lang w:val="en-US" w:eastAsia="zh-CN"/>
        </w:rPr>
        <w:t>1.2.3</w:t>
      </w:r>
      <w:r>
        <w:rPr>
          <w:rFonts w:hint="eastAsia"/>
          <w:color w:val="auto"/>
          <w:lang w:val="zh-CN" w:eastAsia="zh-CN"/>
        </w:rPr>
        <w:t>地方性法规及政策</w:t>
      </w:r>
      <w:bookmarkEnd w:id="13"/>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eastAsia="仿宋_GB2312" w:cs="Times New Roman"/>
          <w:color w:val="auto"/>
          <w:kern w:val="0"/>
          <w:sz w:val="28"/>
          <w:szCs w:val="28"/>
          <w:lang w:val="zh-CN" w:eastAsia="zh-CN"/>
        </w:rPr>
      </w:pPr>
      <w:r>
        <w:rPr>
          <w:rFonts w:hint="default" w:ascii="Times New Roman" w:hAnsi="Times New Roman" w:eastAsia="仿宋_GB2312" w:cs="Times New Roman"/>
          <w:color w:val="auto"/>
          <w:kern w:val="0"/>
          <w:sz w:val="28"/>
          <w:szCs w:val="28"/>
          <w:lang w:val="zh-CN" w:eastAsia="zh-CN"/>
        </w:rPr>
        <w:t xml:space="preserve">《安徽省环境保护条例》，发布于2017-11-20 </w:t>
      </w:r>
      <w:r>
        <w:rPr>
          <w:rFonts w:hint="eastAsia" w:ascii="Times New Roman" w:hAnsi="Times New Roman" w:eastAsia="仿宋_GB2312" w:cs="Times New Roman"/>
          <w:color w:val="auto"/>
          <w:kern w:val="0"/>
          <w:sz w:val="28"/>
          <w:szCs w:val="28"/>
          <w:lang w:val="zh-CN" w:eastAsia="zh-CN"/>
        </w:rPr>
        <w:t>，</w:t>
      </w:r>
      <w:r>
        <w:rPr>
          <w:rFonts w:hint="default" w:ascii="Times New Roman" w:hAnsi="Times New Roman" w:eastAsia="仿宋_GB2312" w:cs="Times New Roman"/>
          <w:color w:val="auto"/>
          <w:kern w:val="0"/>
          <w:sz w:val="28"/>
          <w:szCs w:val="28"/>
          <w:lang w:val="zh-CN" w:eastAsia="zh-CN"/>
        </w:rPr>
        <w:t>实施于2018-01-01；</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eastAsia="仿宋_GB2312" w:cs="Times New Roman"/>
          <w:color w:val="auto"/>
          <w:kern w:val="0"/>
          <w:sz w:val="28"/>
          <w:szCs w:val="28"/>
          <w:lang w:val="zh-CN" w:eastAsia="zh-CN"/>
        </w:rPr>
      </w:pPr>
      <w:r>
        <w:rPr>
          <w:rFonts w:hint="default" w:ascii="Times New Roman" w:hAnsi="Times New Roman" w:eastAsia="仿宋_GB2312" w:cs="Times New Roman"/>
          <w:color w:val="auto"/>
          <w:kern w:val="0"/>
          <w:sz w:val="28"/>
          <w:szCs w:val="28"/>
          <w:lang w:val="zh-CN" w:eastAsia="zh-CN"/>
        </w:rPr>
        <w:t>《安徽省实施〈中华人民共和国固体废物污染环境防治法〉办法》，自2021年9月1日起施行；</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cs="Times New Roman"/>
          <w:color w:val="auto"/>
          <w:sz w:val="28"/>
          <w:szCs w:val="28"/>
          <w:lang w:val="zh-CN" w:eastAsia="zh-CN"/>
        </w:rPr>
      </w:pPr>
      <w:r>
        <w:rPr>
          <w:rFonts w:hint="default" w:ascii="Times New Roman" w:hAnsi="Times New Roman" w:eastAsia="仿宋_GB2312" w:cs="Times New Roman"/>
          <w:color w:val="auto"/>
          <w:kern w:val="0"/>
          <w:sz w:val="28"/>
          <w:szCs w:val="28"/>
          <w:lang w:val="zh-CN" w:eastAsia="zh-CN"/>
        </w:rPr>
        <w:t>《安徽省饮用水水源环境保护条例》，自2016年12月1日起施行；</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cs="Times New Roman"/>
          <w:color w:val="auto"/>
          <w:sz w:val="28"/>
          <w:szCs w:val="28"/>
          <w:lang w:val="zh-CN" w:eastAsia="zh-CN"/>
        </w:rPr>
      </w:pPr>
      <w:r>
        <w:rPr>
          <w:rFonts w:hint="default" w:ascii="Times New Roman" w:hAnsi="Times New Roman" w:eastAsia="仿宋_GB2312" w:cs="Times New Roman"/>
          <w:color w:val="auto"/>
          <w:kern w:val="0"/>
          <w:sz w:val="28"/>
          <w:szCs w:val="28"/>
          <w:lang w:val="zh-CN" w:eastAsia="zh-CN"/>
        </w:rPr>
        <w:t>安徽省生态环境厅、安徽省发展和改革委员会关于印发《安徽省“十四五”生态环境保护规划》的通知，2022年1月27日；</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cs="Times New Roman"/>
          <w:color w:val="auto"/>
          <w:sz w:val="28"/>
          <w:szCs w:val="28"/>
          <w:lang w:val="zh-CN" w:eastAsia="zh-CN"/>
        </w:rPr>
      </w:pPr>
      <w:r>
        <w:rPr>
          <w:rFonts w:hint="default" w:ascii="Times New Roman" w:hAnsi="Times New Roman" w:eastAsia="仿宋_GB2312" w:cs="Times New Roman"/>
          <w:color w:val="auto"/>
          <w:kern w:val="0"/>
          <w:sz w:val="28"/>
          <w:szCs w:val="28"/>
          <w:lang w:val="zh-CN" w:eastAsia="zh-CN"/>
        </w:rPr>
        <w:t>《安徽省生态环境厅 安徽省农业农村厅 关于进一步加快推进畜禽养殖污染防治规划编制的通知》（皖环函【2022】375号）；</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eastAsia="仿宋_GB2312" w:cs="Times New Roman"/>
          <w:color w:val="auto"/>
          <w:kern w:val="0"/>
          <w:sz w:val="28"/>
          <w:szCs w:val="28"/>
          <w:lang w:val="zh-CN" w:eastAsia="zh-CN"/>
        </w:rPr>
      </w:pPr>
      <w:r>
        <w:rPr>
          <w:rFonts w:hint="default" w:ascii="Times New Roman" w:hAnsi="Times New Roman" w:eastAsia="仿宋_GB2312" w:cs="Times New Roman"/>
          <w:color w:val="auto"/>
          <w:kern w:val="0"/>
          <w:sz w:val="28"/>
          <w:szCs w:val="28"/>
          <w:lang w:val="zh-CN" w:eastAsia="zh-CN"/>
        </w:rPr>
        <w:t>《</w:t>
      </w:r>
      <w:r>
        <w:rPr>
          <w:rFonts w:hint="eastAsia" w:ascii="Times New Roman" w:hAnsi="Times New Roman" w:eastAsia="仿宋_GB2312" w:cs="Times New Roman"/>
          <w:color w:val="auto"/>
          <w:kern w:val="0"/>
          <w:sz w:val="28"/>
          <w:szCs w:val="28"/>
          <w:lang w:val="zh-CN" w:eastAsia="zh-CN"/>
        </w:rPr>
        <w:t>蚌埠市城市总体规划(2012-2030年)</w:t>
      </w:r>
      <w:r>
        <w:rPr>
          <w:rFonts w:hint="default" w:ascii="Times New Roman" w:hAnsi="Times New Roman" w:eastAsia="仿宋_GB2312" w:cs="Times New Roman"/>
          <w:color w:val="auto"/>
          <w:kern w:val="0"/>
          <w:sz w:val="28"/>
          <w:szCs w:val="28"/>
          <w:lang w:val="zh-CN" w:eastAsia="zh-CN"/>
        </w:rPr>
        <w:t>》</w:t>
      </w:r>
      <w:r>
        <w:rPr>
          <w:rFonts w:hint="eastAsia" w:ascii="Times New Roman" w:hAnsi="Times New Roman" w:eastAsia="仿宋_GB2312" w:cs="Times New Roman"/>
          <w:color w:val="auto"/>
          <w:kern w:val="0"/>
          <w:sz w:val="28"/>
          <w:szCs w:val="28"/>
          <w:lang w:val="zh-CN" w:eastAsia="zh-CN"/>
        </w:rPr>
        <w:t>，2014</w:t>
      </w:r>
      <w:r>
        <w:rPr>
          <w:rFonts w:hint="default" w:ascii="Times New Roman" w:hAnsi="Times New Roman" w:eastAsia="仿宋_GB2312" w:cs="Times New Roman"/>
          <w:color w:val="auto"/>
          <w:kern w:val="0"/>
          <w:sz w:val="28"/>
          <w:szCs w:val="28"/>
          <w:lang w:val="zh-CN" w:eastAsia="zh-CN"/>
        </w:rPr>
        <w:t>年</w:t>
      </w:r>
      <w:r>
        <w:rPr>
          <w:rFonts w:hint="eastAsia" w:ascii="Times New Roman" w:hAnsi="Times New Roman" w:eastAsia="仿宋_GB2312" w:cs="Times New Roman"/>
          <w:color w:val="auto"/>
          <w:kern w:val="0"/>
          <w:sz w:val="28"/>
          <w:szCs w:val="28"/>
          <w:lang w:val="zh-CN" w:eastAsia="zh-CN"/>
        </w:rPr>
        <w:t>10</w:t>
      </w:r>
      <w:r>
        <w:rPr>
          <w:rFonts w:hint="default" w:ascii="Times New Roman" w:hAnsi="Times New Roman" w:eastAsia="仿宋_GB2312" w:cs="Times New Roman"/>
          <w:color w:val="auto"/>
          <w:kern w:val="0"/>
          <w:sz w:val="28"/>
          <w:szCs w:val="28"/>
          <w:lang w:val="zh-CN" w:eastAsia="zh-CN"/>
        </w:rPr>
        <w:t>月</w:t>
      </w:r>
      <w:r>
        <w:rPr>
          <w:rFonts w:hint="eastAsia" w:ascii="Times New Roman" w:hAnsi="Times New Roman" w:eastAsia="仿宋_GB2312" w:cs="Times New Roman"/>
          <w:color w:val="auto"/>
          <w:kern w:val="0"/>
          <w:sz w:val="28"/>
          <w:szCs w:val="28"/>
          <w:lang w:val="zh-CN" w:eastAsia="zh-CN"/>
        </w:rPr>
        <w:t>31</w:t>
      </w:r>
      <w:r>
        <w:rPr>
          <w:rFonts w:hint="default" w:ascii="Times New Roman" w:hAnsi="Times New Roman" w:eastAsia="仿宋_GB2312" w:cs="Times New Roman"/>
          <w:color w:val="auto"/>
          <w:kern w:val="0"/>
          <w:sz w:val="28"/>
          <w:szCs w:val="28"/>
          <w:lang w:val="zh-CN" w:eastAsia="zh-CN"/>
        </w:rPr>
        <w:t>日；</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eastAsia="仿宋_GB2312" w:cs="Times New Roman"/>
          <w:color w:val="auto"/>
          <w:kern w:val="0"/>
          <w:sz w:val="28"/>
          <w:szCs w:val="28"/>
          <w:lang w:val="zh-CN" w:eastAsia="zh-CN"/>
        </w:rPr>
      </w:pPr>
      <w:r>
        <w:rPr>
          <w:rFonts w:hint="default" w:ascii="Times New Roman" w:hAnsi="Times New Roman" w:eastAsia="仿宋_GB2312" w:cs="Times New Roman"/>
          <w:color w:val="auto"/>
          <w:kern w:val="0"/>
          <w:sz w:val="28"/>
          <w:szCs w:val="28"/>
          <w:lang w:val="zh-CN" w:eastAsia="zh-CN"/>
        </w:rPr>
        <w:t>《</w:t>
      </w:r>
      <w:r>
        <w:rPr>
          <w:rFonts w:hint="eastAsia" w:ascii="Times New Roman" w:hAnsi="Times New Roman" w:eastAsia="仿宋_GB2312" w:cs="Times New Roman"/>
          <w:color w:val="auto"/>
          <w:kern w:val="0"/>
          <w:sz w:val="28"/>
          <w:szCs w:val="28"/>
          <w:lang w:val="en-US" w:eastAsia="zh-CN"/>
        </w:rPr>
        <w:t>蚌埠市</w:t>
      </w:r>
      <w:r>
        <w:rPr>
          <w:rFonts w:hint="eastAsia" w:ascii="Times New Roman" w:hAnsi="Times New Roman" w:eastAsia="仿宋_GB2312" w:cs="Times New Roman"/>
          <w:color w:val="auto"/>
          <w:kern w:val="0"/>
          <w:sz w:val="28"/>
          <w:szCs w:val="28"/>
          <w:lang w:val="zh-CN" w:eastAsia="zh-CN"/>
        </w:rPr>
        <w:t>国民经济和社会发展第十四个五年规划和2035年远景目标纲要</w:t>
      </w:r>
      <w:r>
        <w:rPr>
          <w:rFonts w:hint="default" w:ascii="Times New Roman" w:hAnsi="Times New Roman" w:eastAsia="仿宋_GB2312" w:cs="Times New Roman"/>
          <w:color w:val="auto"/>
          <w:kern w:val="0"/>
          <w:sz w:val="28"/>
          <w:szCs w:val="28"/>
          <w:lang w:val="zh-CN" w:eastAsia="zh-CN"/>
        </w:rPr>
        <w:t>》</w:t>
      </w:r>
      <w:r>
        <w:rPr>
          <w:rFonts w:hint="eastAsia" w:ascii="Times New Roman" w:hAnsi="Times New Roman" w:eastAsia="仿宋_GB2312" w:cs="Times New Roman"/>
          <w:color w:val="auto"/>
          <w:kern w:val="0"/>
          <w:sz w:val="28"/>
          <w:szCs w:val="28"/>
          <w:lang w:val="zh-CN" w:eastAsia="zh-CN"/>
        </w:rPr>
        <w:t>；</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eastAsia="仿宋_GB2312" w:cs="Times New Roman"/>
          <w:color w:val="auto"/>
          <w:kern w:val="0"/>
          <w:sz w:val="28"/>
          <w:szCs w:val="28"/>
          <w:lang w:val="zh-CN" w:eastAsia="zh-CN"/>
        </w:rPr>
      </w:pPr>
      <w:r>
        <w:rPr>
          <w:rFonts w:hint="default" w:ascii="Times New Roman" w:hAnsi="Times New Roman" w:eastAsia="仿宋_GB2312" w:cs="Times New Roman"/>
          <w:color w:val="auto"/>
          <w:kern w:val="0"/>
          <w:sz w:val="28"/>
          <w:szCs w:val="28"/>
          <w:lang w:val="zh-CN" w:eastAsia="zh-CN"/>
        </w:rPr>
        <w:t>《固镇县城总体规划（2014-2030）》</w:t>
      </w:r>
      <w:r>
        <w:rPr>
          <w:rFonts w:hint="eastAsia" w:ascii="Times New Roman" w:hAnsi="Times New Roman" w:eastAsia="仿宋_GB2312" w:cs="Times New Roman"/>
          <w:color w:val="auto"/>
          <w:kern w:val="0"/>
          <w:sz w:val="28"/>
          <w:szCs w:val="28"/>
          <w:lang w:val="zh-CN" w:eastAsia="zh-CN"/>
        </w:rPr>
        <w:t>，2019</w:t>
      </w:r>
      <w:r>
        <w:rPr>
          <w:rFonts w:hint="eastAsia" w:ascii="Times New Roman" w:hAnsi="Times New Roman" w:eastAsia="仿宋_GB2312" w:cs="Times New Roman"/>
          <w:color w:val="auto"/>
          <w:kern w:val="0"/>
          <w:sz w:val="28"/>
          <w:szCs w:val="28"/>
          <w:lang w:val="en-US" w:eastAsia="zh-CN"/>
        </w:rPr>
        <w:t>年</w:t>
      </w:r>
      <w:r>
        <w:rPr>
          <w:rFonts w:hint="eastAsia" w:ascii="Times New Roman" w:hAnsi="Times New Roman" w:eastAsia="仿宋_GB2312" w:cs="Times New Roman"/>
          <w:color w:val="auto"/>
          <w:kern w:val="0"/>
          <w:sz w:val="28"/>
          <w:szCs w:val="28"/>
          <w:lang w:val="zh-CN" w:eastAsia="zh-CN"/>
        </w:rPr>
        <w:t>7</w:t>
      </w:r>
      <w:r>
        <w:rPr>
          <w:rFonts w:hint="eastAsia" w:ascii="Times New Roman" w:hAnsi="Times New Roman" w:eastAsia="仿宋_GB2312" w:cs="Times New Roman"/>
          <w:color w:val="auto"/>
          <w:kern w:val="0"/>
          <w:sz w:val="28"/>
          <w:szCs w:val="28"/>
          <w:lang w:val="en-US" w:eastAsia="zh-CN"/>
        </w:rPr>
        <w:t>月</w:t>
      </w:r>
      <w:r>
        <w:rPr>
          <w:rFonts w:hint="eastAsia" w:ascii="Times New Roman" w:hAnsi="Times New Roman" w:eastAsia="仿宋_GB2312" w:cs="Times New Roman"/>
          <w:color w:val="auto"/>
          <w:kern w:val="0"/>
          <w:sz w:val="28"/>
          <w:szCs w:val="28"/>
          <w:lang w:val="zh-CN" w:eastAsia="zh-CN"/>
        </w:rPr>
        <w:t>16</w:t>
      </w:r>
      <w:r>
        <w:rPr>
          <w:rFonts w:hint="eastAsia" w:ascii="Times New Roman" w:hAnsi="Times New Roman" w:eastAsia="仿宋_GB2312" w:cs="Times New Roman"/>
          <w:color w:val="auto"/>
          <w:kern w:val="0"/>
          <w:sz w:val="28"/>
          <w:szCs w:val="28"/>
          <w:lang w:val="en-US" w:eastAsia="zh-CN"/>
        </w:rPr>
        <w:t>日</w:t>
      </w:r>
      <w:r>
        <w:rPr>
          <w:rFonts w:hint="default" w:ascii="Times New Roman" w:hAnsi="Times New Roman" w:eastAsia="仿宋_GB2312" w:cs="Times New Roman"/>
          <w:color w:val="auto"/>
          <w:kern w:val="0"/>
          <w:sz w:val="28"/>
          <w:szCs w:val="28"/>
          <w:lang w:val="zh-CN" w:eastAsia="zh-CN"/>
        </w:rPr>
        <w:t>；</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eastAsia="仿宋_GB2312" w:cs="Times New Roman"/>
          <w:color w:val="auto"/>
          <w:kern w:val="0"/>
          <w:sz w:val="28"/>
          <w:szCs w:val="28"/>
          <w:lang w:val="zh-CN" w:eastAsia="zh-CN"/>
        </w:rPr>
      </w:pPr>
      <w:r>
        <w:rPr>
          <w:rFonts w:hint="eastAsia" w:ascii="Times New Roman" w:hAnsi="Times New Roman" w:eastAsia="仿宋_GB2312" w:cs="Times New Roman"/>
          <w:color w:val="auto"/>
          <w:kern w:val="0"/>
          <w:sz w:val="28"/>
          <w:szCs w:val="28"/>
          <w:lang w:val="zh-CN" w:eastAsia="zh-CN"/>
        </w:rPr>
        <w:t>《</w:t>
      </w:r>
      <w:r>
        <w:rPr>
          <w:rFonts w:hint="default" w:ascii="Times New Roman" w:hAnsi="Times New Roman" w:eastAsia="仿宋_GB2312" w:cs="Times New Roman"/>
          <w:color w:val="auto"/>
          <w:kern w:val="0"/>
          <w:sz w:val="28"/>
          <w:szCs w:val="28"/>
          <w:lang w:val="zh-CN" w:eastAsia="zh-CN"/>
        </w:rPr>
        <w:t>固镇县“十四五”畜禽养殖污染防治规划工作方案</w:t>
      </w:r>
      <w:r>
        <w:rPr>
          <w:rFonts w:hint="eastAsia" w:ascii="Times New Roman" w:hAnsi="Times New Roman" w:eastAsia="仿宋_GB2312" w:cs="Times New Roman"/>
          <w:color w:val="auto"/>
          <w:kern w:val="0"/>
          <w:sz w:val="28"/>
          <w:szCs w:val="28"/>
          <w:lang w:val="zh-CN" w:eastAsia="zh-CN"/>
        </w:rPr>
        <w:t>》</w:t>
      </w:r>
      <w:r>
        <w:rPr>
          <w:rFonts w:hint="default" w:ascii="Times New Roman" w:hAnsi="Times New Roman" w:eastAsia="仿宋_GB2312" w:cs="Times New Roman"/>
          <w:color w:val="auto"/>
          <w:kern w:val="0"/>
          <w:sz w:val="28"/>
          <w:szCs w:val="28"/>
          <w:lang w:val="zh-CN" w:eastAsia="zh-CN"/>
        </w:rPr>
        <w:t>；</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eastAsia="仿宋_GB2312" w:cs="Times New Roman"/>
          <w:color w:val="auto"/>
          <w:kern w:val="0"/>
          <w:sz w:val="28"/>
          <w:szCs w:val="28"/>
          <w:lang w:val="zh-CN" w:eastAsia="zh-CN"/>
        </w:rPr>
      </w:pPr>
      <w:r>
        <w:rPr>
          <w:rFonts w:hint="default" w:ascii="Times New Roman" w:hAnsi="Times New Roman" w:eastAsia="仿宋_GB2312" w:cs="Times New Roman"/>
          <w:color w:val="auto"/>
          <w:kern w:val="0"/>
          <w:sz w:val="28"/>
          <w:szCs w:val="28"/>
          <w:lang w:val="zh-CN" w:eastAsia="zh-CN"/>
        </w:rPr>
        <w:t>《</w:t>
      </w:r>
      <w:r>
        <w:rPr>
          <w:rFonts w:hint="eastAsia" w:ascii="Times New Roman" w:hAnsi="Times New Roman" w:eastAsia="仿宋_GB2312" w:cs="Times New Roman"/>
          <w:color w:val="auto"/>
          <w:kern w:val="0"/>
          <w:sz w:val="28"/>
          <w:szCs w:val="28"/>
          <w:lang w:val="zh-CN" w:eastAsia="zh-CN"/>
        </w:rPr>
        <w:t>固镇县国民经济和社会发展第十四个五年规划和2035年远景目标纲要</w:t>
      </w:r>
      <w:r>
        <w:rPr>
          <w:rFonts w:hint="default" w:ascii="Times New Roman" w:hAnsi="Times New Roman" w:eastAsia="仿宋_GB2312" w:cs="Times New Roman"/>
          <w:color w:val="auto"/>
          <w:kern w:val="0"/>
          <w:sz w:val="28"/>
          <w:szCs w:val="28"/>
          <w:lang w:val="zh-CN" w:eastAsia="zh-CN"/>
        </w:rPr>
        <w:t>》</w:t>
      </w:r>
      <w:r>
        <w:rPr>
          <w:rFonts w:hint="eastAsia" w:ascii="Times New Roman" w:hAnsi="Times New Roman" w:eastAsia="仿宋_GB2312" w:cs="Times New Roman"/>
          <w:color w:val="auto"/>
          <w:kern w:val="0"/>
          <w:sz w:val="28"/>
          <w:szCs w:val="28"/>
          <w:lang w:val="zh-CN" w:eastAsia="zh-CN"/>
        </w:rPr>
        <w:t>；</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eastAsia="仿宋_GB2312" w:cs="Times New Roman"/>
          <w:color w:val="auto"/>
          <w:kern w:val="0"/>
          <w:sz w:val="28"/>
          <w:szCs w:val="28"/>
          <w:lang w:val="zh-CN" w:eastAsia="zh-CN"/>
        </w:rPr>
      </w:pPr>
      <w:r>
        <w:rPr>
          <w:rFonts w:hint="eastAsia" w:ascii="Times New Roman" w:hAnsi="Times New Roman" w:eastAsia="仿宋_GB2312" w:cs="Times New Roman"/>
          <w:color w:val="auto"/>
          <w:kern w:val="0"/>
          <w:sz w:val="28"/>
          <w:szCs w:val="28"/>
          <w:lang w:val="zh-CN" w:eastAsia="zh-CN"/>
        </w:rPr>
        <w:t>《</w:t>
      </w:r>
      <w:r>
        <w:rPr>
          <w:rFonts w:hint="default" w:ascii="Times New Roman" w:hAnsi="Times New Roman" w:eastAsia="仿宋_GB2312" w:cs="Times New Roman"/>
          <w:color w:val="auto"/>
          <w:kern w:val="0"/>
          <w:sz w:val="28"/>
          <w:szCs w:val="28"/>
          <w:lang w:val="zh-CN" w:eastAsia="zh-CN"/>
        </w:rPr>
        <w:t>固镇县土地利用总体规划（2006-2020）</w:t>
      </w:r>
      <w:r>
        <w:rPr>
          <w:rFonts w:hint="eastAsia" w:ascii="Times New Roman" w:hAnsi="Times New Roman" w:eastAsia="仿宋_GB2312" w:cs="Times New Roman"/>
          <w:color w:val="auto"/>
          <w:kern w:val="0"/>
          <w:sz w:val="28"/>
          <w:szCs w:val="28"/>
          <w:lang w:val="zh-CN" w:eastAsia="zh-CN"/>
        </w:rPr>
        <w:t>》</w:t>
      </w:r>
      <w:r>
        <w:rPr>
          <w:rFonts w:hint="eastAsia" w:ascii="Times New Roman" w:hAnsi="Times New Roman" w:eastAsia="仿宋_GB2312" w:cs="Times New Roman"/>
          <w:color w:val="auto"/>
          <w:kern w:val="0"/>
          <w:sz w:val="28"/>
          <w:szCs w:val="28"/>
          <w:lang w:val="en-US" w:eastAsia="zh-CN"/>
        </w:rPr>
        <w:t>及固镇县“三区三线”划定成果</w:t>
      </w:r>
      <w:r>
        <w:rPr>
          <w:rFonts w:hint="eastAsia" w:ascii="Times New Roman" w:hAnsi="Times New Roman" w:eastAsia="仿宋_GB2312" w:cs="Times New Roman"/>
          <w:color w:val="auto"/>
          <w:kern w:val="0"/>
          <w:sz w:val="28"/>
          <w:szCs w:val="28"/>
          <w:lang w:val="zh-CN" w:eastAsia="zh-CN"/>
        </w:rPr>
        <w:t>；</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eastAsia="仿宋_GB2312" w:cs="Times New Roman"/>
          <w:color w:val="auto"/>
          <w:kern w:val="0"/>
          <w:sz w:val="28"/>
          <w:szCs w:val="28"/>
          <w:lang w:val="zh-CN" w:eastAsia="zh-CN"/>
        </w:rPr>
      </w:pPr>
      <w:r>
        <w:rPr>
          <w:rFonts w:hint="default" w:ascii="Times New Roman" w:hAnsi="Times New Roman" w:eastAsia="仿宋_GB2312" w:cs="Times New Roman"/>
          <w:color w:val="auto"/>
          <w:kern w:val="0"/>
          <w:sz w:val="28"/>
          <w:szCs w:val="28"/>
          <w:lang w:val="zh-CN" w:eastAsia="zh-CN"/>
        </w:rPr>
        <w:t>《固镇县“十四五”现代农业发展规划（2021-2025）》</w:t>
      </w:r>
      <w:r>
        <w:rPr>
          <w:rFonts w:hint="eastAsia" w:ascii="Times New Roman" w:hAnsi="Times New Roman" w:eastAsia="仿宋_GB2312" w:cs="Times New Roman"/>
          <w:color w:val="auto"/>
          <w:kern w:val="0"/>
          <w:sz w:val="28"/>
          <w:szCs w:val="28"/>
          <w:lang w:val="zh-CN" w:eastAsia="zh-CN"/>
        </w:rPr>
        <w:t>。</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color w:val="auto"/>
          <w:lang w:val="zh-CN" w:eastAsia="zh-CN"/>
        </w:rPr>
      </w:pPr>
      <w:bookmarkStart w:id="14" w:name="_Toc6893"/>
      <w:r>
        <w:rPr>
          <w:rFonts w:hint="eastAsia"/>
          <w:color w:val="auto"/>
          <w:lang w:val="en-US" w:eastAsia="zh-CN"/>
        </w:rPr>
        <w:t>1.2.4</w:t>
      </w:r>
      <w:r>
        <w:rPr>
          <w:rFonts w:hint="eastAsia"/>
          <w:color w:val="auto"/>
          <w:lang w:val="zh-CN" w:eastAsia="zh-CN"/>
        </w:rPr>
        <w:t>行业规范</w:t>
      </w:r>
      <w:bookmarkEnd w:id="14"/>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国务院办公厅《关于建立病死畜禽无害化处理机制的意见》（国办发〔2014〕47号）；</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国务院办公厅《关于加快推进畜禽养殖废弃物资源化利用的意见》（国办发〔2017〕48号）；</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农业部办公厅关于印发《畜禽粪污土地承载力测算技术指南》（农办牧〔2018〕1号）；</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农业部办公厅关于印发《畜禽规模养殖场粪污资源化利用设施建设规范（试行）》（农办牧〔2018〕2号）；</w:t>
      </w:r>
    </w:p>
    <w:p>
      <w:pPr>
        <w:pStyle w:val="13"/>
        <w:keepNext w:val="0"/>
        <w:keepLines w:val="0"/>
        <w:pageBreakBefore w:val="0"/>
        <w:widowControl w:val="0"/>
        <w:numPr>
          <w:ilvl w:val="0"/>
          <w:numId w:val="4"/>
        </w:numPr>
        <w:kinsoku/>
        <w:wordWrap/>
        <w:overflowPunct/>
        <w:topLinePunct w:val="0"/>
        <w:autoSpaceDE/>
        <w:autoSpaceDN/>
        <w:bidi w:val="0"/>
        <w:adjustRightInd/>
        <w:snapToGrid/>
        <w:ind w:left="0" w:leftChars="0" w:firstLine="560" w:firstLineChars="200"/>
        <w:textAlignment w:val="auto"/>
        <w:rPr>
          <w:rFonts w:hint="default" w:ascii="Times New Roman" w:hAnsi="Times New Roman" w:cs="Times New Roman"/>
          <w:color w:val="auto"/>
          <w:sz w:val="28"/>
          <w:szCs w:val="28"/>
          <w:lang w:val="zh-CN" w:eastAsia="zh-CN"/>
        </w:rPr>
      </w:pPr>
      <w:r>
        <w:rPr>
          <w:rFonts w:hint="default" w:ascii="Times New Roman" w:hAnsi="Times New Roman" w:eastAsia="仿宋_GB2312" w:cs="Times New Roman"/>
          <w:color w:val="auto"/>
          <w:kern w:val="0"/>
          <w:sz w:val="28"/>
          <w:szCs w:val="28"/>
          <w:lang w:val="zh-CN" w:eastAsia="zh-CN"/>
        </w:rPr>
        <w:t>《农业农村部办公厅关于做好畜禽粪污资源化利用跟踪监测工作的通知》（农办牧〔</w:t>
      </w:r>
      <w:r>
        <w:rPr>
          <w:rFonts w:hint="default" w:ascii="Times New Roman" w:hAnsi="Times New Roman" w:eastAsia="仿宋_GB2312" w:cs="Times New Roman"/>
          <w:color w:val="auto"/>
          <w:kern w:val="0"/>
          <w:sz w:val="28"/>
          <w:szCs w:val="28"/>
          <w:lang w:val="en-US" w:eastAsia="zh-CN"/>
        </w:rPr>
        <w:t>2018</w:t>
      </w:r>
      <w:r>
        <w:rPr>
          <w:rFonts w:hint="default" w:ascii="Times New Roman" w:hAnsi="Times New Roman" w:eastAsia="仿宋_GB2312" w:cs="Times New Roman"/>
          <w:color w:val="auto"/>
          <w:kern w:val="0"/>
          <w:sz w:val="28"/>
          <w:szCs w:val="28"/>
          <w:lang w:val="zh-CN" w:eastAsia="zh-CN"/>
        </w:rPr>
        <w:t>〕</w:t>
      </w:r>
      <w:r>
        <w:rPr>
          <w:rFonts w:hint="default" w:ascii="Times New Roman" w:hAnsi="Times New Roman" w:eastAsia="仿宋_GB2312" w:cs="Times New Roman"/>
          <w:color w:val="auto"/>
          <w:kern w:val="0"/>
          <w:sz w:val="28"/>
          <w:szCs w:val="28"/>
          <w:lang w:val="en-US" w:eastAsia="zh-CN"/>
        </w:rPr>
        <w:t>28号</w:t>
      </w:r>
      <w:r>
        <w:rPr>
          <w:rFonts w:hint="default" w:ascii="Times New Roman" w:hAnsi="Times New Roman" w:eastAsia="仿宋_GB2312" w:cs="Times New Roman"/>
          <w:color w:val="auto"/>
          <w:kern w:val="0"/>
          <w:sz w:val="28"/>
          <w:szCs w:val="28"/>
          <w:lang w:val="zh-CN"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环保部、农业农村部《关于进一步规范畜禽养殖场禁养区划定的通知》（环办土壤〔2019〕55号）；</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农业农村部办公厅、生态环境部办公厅联合印发《关于促进畜禽粪污还田利用依法加强养殖污染治理的指导意见》（农办牧〔2019〕84号）；</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农业农村部办公厅 生态环境部办公厅《关于进一步明确畜禽粪污还田利用要求强化养殖污染监管的通知》（农办牧〔2020〕23号）；</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国务院办公厅《关于促进畜牧业高质量发展的意见》（国办发〔2020〕31号）；</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生态环境厅农业农村厅《关于进一步规范畜禽养殖禁养区管理的通知》（环办土壤函〔2020〕33号）；</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eastAsia" w:ascii="Times New Roman" w:hAnsi="Times New Roman" w:eastAsia="仿宋_GB2312" w:cs="Times New Roman"/>
          <w:color w:val="auto"/>
          <w:kern w:val="0"/>
          <w:sz w:val="30"/>
          <w:szCs w:val="30"/>
          <w:lang w:val="zh-CN" w:eastAsia="zh-CN"/>
        </w:rPr>
        <w:t>生态环境部</w:t>
      </w:r>
      <w:r>
        <w:rPr>
          <w:rFonts w:hint="default" w:ascii="Times New Roman" w:hAnsi="Times New Roman" w:eastAsia="仿宋_GB2312" w:cs="Times New Roman"/>
          <w:color w:val="auto"/>
          <w:kern w:val="0"/>
          <w:sz w:val="30"/>
          <w:szCs w:val="30"/>
          <w:lang w:val="zh-CN" w:eastAsia="zh-CN"/>
        </w:rPr>
        <w:t>《关于开展水环境承载力评价工作的通知》（环办水体函〔2020〕538号）；</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r>
        <w:rPr>
          <w:rFonts w:hint="default" w:ascii="Times New Roman" w:hAnsi="Times New Roman" w:eastAsia="仿宋_GB2312" w:cs="Times New Roman"/>
          <w:color w:val="auto"/>
          <w:kern w:val="0"/>
          <w:sz w:val="30"/>
          <w:szCs w:val="30"/>
          <w:lang w:val="zh-CN" w:eastAsia="zh-CN"/>
        </w:rPr>
        <w:t>生态环境部办公厅</w:t>
      </w:r>
      <w:r>
        <w:rPr>
          <w:rFonts w:hint="eastAsia" w:ascii="Times New Roman" w:hAnsi="Times New Roman" w:eastAsia="仿宋_GB2312" w:cs="Times New Roman"/>
          <w:color w:val="auto"/>
          <w:kern w:val="0"/>
          <w:sz w:val="30"/>
          <w:szCs w:val="30"/>
          <w:lang w:val="en-US" w:eastAsia="zh-CN"/>
        </w:rPr>
        <w:t xml:space="preserve"> </w:t>
      </w:r>
      <w:r>
        <w:rPr>
          <w:rFonts w:hint="default" w:ascii="Times New Roman" w:hAnsi="Times New Roman" w:eastAsia="仿宋_GB2312" w:cs="Times New Roman"/>
          <w:color w:val="auto"/>
          <w:kern w:val="0"/>
          <w:sz w:val="30"/>
          <w:szCs w:val="30"/>
          <w:lang w:val="zh-CN" w:eastAsia="zh-CN"/>
        </w:rPr>
        <w:t>农业农村部办公厅《农业面源污染治理与监督指导实施方案（试行）》（环办土壤〔2021〕8号）；</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00" w:firstLineChars="200"/>
        <w:textAlignment w:val="auto"/>
        <w:rPr>
          <w:rFonts w:hint="default" w:ascii="Times New Roman" w:hAnsi="Times New Roman" w:eastAsia="仿宋_GB2312" w:cs="Times New Roman"/>
          <w:color w:val="auto"/>
          <w:kern w:val="0"/>
          <w:sz w:val="30"/>
          <w:szCs w:val="30"/>
          <w:lang w:val="zh-CN" w:eastAsia="zh-CN"/>
        </w:rPr>
      </w:pPr>
      <w:bookmarkStart w:id="15" w:name="_Toc8409"/>
      <w:bookmarkStart w:id="16" w:name="_Toc24756"/>
      <w:r>
        <w:rPr>
          <w:rFonts w:hint="default" w:ascii="Times New Roman" w:hAnsi="Times New Roman" w:eastAsia="仿宋_GB2312" w:cs="Times New Roman"/>
          <w:color w:val="auto"/>
          <w:kern w:val="0"/>
          <w:sz w:val="30"/>
          <w:szCs w:val="30"/>
          <w:lang w:val="zh-CN" w:eastAsia="zh-CN"/>
        </w:rPr>
        <w:t>生态环境部办公厅关于印发《畜禽养殖污染防治规划编制指南（试行）》的通知（环办土壤函〔202</w:t>
      </w:r>
      <w:r>
        <w:rPr>
          <w:rFonts w:hint="default" w:ascii="Times New Roman" w:hAnsi="Times New Roman" w:eastAsia="仿宋_GB2312" w:cs="Times New Roman"/>
          <w:color w:val="auto"/>
          <w:kern w:val="0"/>
          <w:sz w:val="30"/>
          <w:szCs w:val="30"/>
          <w:lang w:val="en-US" w:eastAsia="zh-CN"/>
        </w:rPr>
        <w:t>1</w:t>
      </w:r>
      <w:r>
        <w:rPr>
          <w:rFonts w:hint="default" w:ascii="Times New Roman" w:hAnsi="Times New Roman" w:eastAsia="仿宋_GB2312" w:cs="Times New Roman"/>
          <w:color w:val="auto"/>
          <w:kern w:val="0"/>
          <w:sz w:val="30"/>
          <w:szCs w:val="30"/>
          <w:lang w:val="zh-CN" w:eastAsia="zh-CN"/>
        </w:rPr>
        <w:t>〕</w:t>
      </w:r>
      <w:r>
        <w:rPr>
          <w:rFonts w:hint="default" w:ascii="Times New Roman" w:hAnsi="Times New Roman" w:eastAsia="仿宋_GB2312" w:cs="Times New Roman"/>
          <w:color w:val="auto"/>
          <w:kern w:val="0"/>
          <w:sz w:val="30"/>
          <w:szCs w:val="30"/>
          <w:lang w:val="en-US" w:eastAsia="zh-CN"/>
        </w:rPr>
        <w:t>465</w:t>
      </w:r>
      <w:r>
        <w:rPr>
          <w:rFonts w:hint="default" w:ascii="Times New Roman" w:hAnsi="Times New Roman" w:eastAsia="仿宋_GB2312" w:cs="Times New Roman"/>
          <w:color w:val="auto"/>
          <w:kern w:val="0"/>
          <w:sz w:val="30"/>
          <w:szCs w:val="30"/>
          <w:lang w:val="zh-CN" w:eastAsia="zh-CN"/>
        </w:rPr>
        <w:t>号）。</w:t>
      </w: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0" w:leftChars="0"/>
        <w:textAlignment w:val="auto"/>
        <w:outlineLvl w:val="1"/>
        <w:rPr>
          <w:rFonts w:hint="eastAsia"/>
          <w:color w:val="auto"/>
          <w:lang w:val="en-US" w:eastAsia="zh-CN"/>
        </w:rPr>
      </w:pPr>
      <w:bookmarkStart w:id="17" w:name="_Toc7922"/>
      <w:r>
        <w:rPr>
          <w:rFonts w:hint="eastAsia"/>
          <w:color w:val="auto"/>
          <w:lang w:val="en-US" w:eastAsia="zh-CN"/>
        </w:rPr>
        <w:t>1.3</w:t>
      </w:r>
      <w:r>
        <w:rPr>
          <w:rFonts w:hint="default"/>
          <w:color w:val="auto"/>
          <w:lang w:val="en-US" w:eastAsia="zh-CN"/>
        </w:rPr>
        <w:t>规划范围</w:t>
      </w:r>
      <w:r>
        <w:rPr>
          <w:rFonts w:hint="eastAsia"/>
          <w:color w:val="auto"/>
          <w:lang w:val="en-US" w:eastAsia="zh-CN"/>
        </w:rPr>
        <w:t>和期限</w:t>
      </w:r>
      <w:bookmarkEnd w:id="15"/>
      <w:bookmarkEnd w:id="16"/>
      <w:bookmarkEnd w:id="17"/>
      <w:r>
        <w:rPr>
          <w:rFonts w:hint="eastAsia"/>
          <w:color w:val="auto"/>
          <w:lang w:val="en-US" w:eastAsia="zh-CN"/>
        </w:rPr>
        <w:t xml:space="preserve">  </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lang w:val="en-US" w:eastAsia="zh-CN"/>
        </w:rPr>
      </w:pPr>
      <w:bookmarkStart w:id="18" w:name="_Toc25854"/>
      <w:r>
        <w:rPr>
          <w:rFonts w:hint="default"/>
          <w:color w:val="auto"/>
          <w:lang w:val="en-US" w:eastAsia="zh-CN"/>
        </w:rPr>
        <w:t xml:space="preserve">1.3.1 </w:t>
      </w:r>
      <w:r>
        <w:rPr>
          <w:rFonts w:hint="eastAsia"/>
          <w:color w:val="auto"/>
          <w:lang w:val="en-US" w:eastAsia="zh-CN"/>
        </w:rPr>
        <w:t>规划范围</w:t>
      </w:r>
      <w:bookmarkEnd w:id="18"/>
      <w:r>
        <w:rPr>
          <w:rFonts w:hint="eastAsia"/>
          <w:color w:val="auto"/>
          <w:lang w:val="en-US" w:eastAsia="zh-CN"/>
        </w:rPr>
        <w:t xml:space="preserve"> </w:t>
      </w:r>
    </w:p>
    <w:p>
      <w:pPr>
        <w:ind w:firstLine="600" w:firstLineChars="200"/>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 xml:space="preserve">本次规划的范围为固镇县县域全境，面积1363平方公里，现辖11个乡镇，228个村（居）。县城规划面积38.5平方公里，建成区面积19.7平方公里，详见附图 </w:t>
      </w:r>
      <w:r>
        <w:rPr>
          <w:rFonts w:hint="default" w:eastAsia="仿宋_GB2312"/>
          <w:color w:val="auto"/>
          <w:kern w:val="0"/>
          <w:sz w:val="30"/>
          <w:szCs w:val="30"/>
          <w:lang w:val="en-US" w:eastAsia="zh-CN"/>
        </w:rPr>
        <w:t xml:space="preserve">1 </w:t>
      </w:r>
      <w:r>
        <w:rPr>
          <w:rFonts w:hint="eastAsia" w:eastAsia="仿宋_GB2312"/>
          <w:color w:val="auto"/>
          <w:kern w:val="0"/>
          <w:sz w:val="30"/>
          <w:szCs w:val="30"/>
          <w:lang w:val="en-US" w:eastAsia="zh-CN"/>
        </w:rPr>
        <w:t xml:space="preserve">固镇县行政区划图。 </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lang w:val="en-US" w:eastAsia="zh-CN"/>
        </w:rPr>
      </w:pPr>
      <w:bookmarkStart w:id="19" w:name="_Toc20335"/>
      <w:r>
        <w:rPr>
          <w:rFonts w:hint="default"/>
          <w:color w:val="auto"/>
          <w:lang w:val="en-US" w:eastAsia="zh-CN"/>
        </w:rPr>
        <w:t xml:space="preserve">1.3.2 </w:t>
      </w:r>
      <w:r>
        <w:rPr>
          <w:rFonts w:hint="eastAsia"/>
          <w:color w:val="auto"/>
          <w:lang w:val="en-US" w:eastAsia="zh-CN"/>
        </w:rPr>
        <w:t>规划期限</w:t>
      </w:r>
      <w:bookmarkEnd w:id="19"/>
      <w:r>
        <w:rPr>
          <w:rFonts w:hint="eastAsia"/>
          <w:color w:val="auto"/>
          <w:lang w:val="en-US" w:eastAsia="zh-CN"/>
        </w:rPr>
        <w:t xml:space="preserve"> </w:t>
      </w:r>
    </w:p>
    <w:p>
      <w:pPr>
        <w:ind w:firstLine="600" w:firstLineChars="200"/>
        <w:rPr>
          <w:rFonts w:hint="default" w:eastAsia="仿宋_GB2312"/>
          <w:color w:val="auto"/>
          <w:kern w:val="0"/>
          <w:sz w:val="30"/>
          <w:szCs w:val="30"/>
          <w:lang w:val="en-US" w:eastAsia="zh-CN"/>
        </w:rPr>
      </w:pPr>
      <w:r>
        <w:rPr>
          <w:rFonts w:hint="eastAsia" w:eastAsia="仿宋_GB2312"/>
          <w:color w:val="auto"/>
          <w:kern w:val="0"/>
          <w:sz w:val="30"/>
          <w:szCs w:val="30"/>
          <w:lang w:val="en-US" w:eastAsia="zh-CN"/>
        </w:rPr>
        <w:t>2021年到2025年</w:t>
      </w: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0" w:leftChars="0"/>
        <w:textAlignment w:val="auto"/>
        <w:outlineLvl w:val="1"/>
        <w:rPr>
          <w:rFonts w:hint="eastAsia"/>
          <w:color w:val="auto"/>
          <w:lang w:val="en-US" w:eastAsia="zh-CN"/>
        </w:rPr>
      </w:pPr>
      <w:bookmarkStart w:id="20" w:name="_Toc20777"/>
      <w:bookmarkStart w:id="21" w:name="_Toc414"/>
      <w:bookmarkStart w:id="22" w:name="_Toc23857"/>
      <w:r>
        <w:rPr>
          <w:rFonts w:hint="default"/>
          <w:color w:val="auto"/>
          <w:lang w:val="en-US" w:eastAsia="zh-CN"/>
        </w:rPr>
        <w:t>1.4 规划保护目标</w:t>
      </w:r>
      <w:bookmarkEnd w:id="20"/>
      <w:bookmarkEnd w:id="21"/>
      <w:bookmarkEnd w:id="22"/>
      <w:r>
        <w:rPr>
          <w:rFonts w:hint="eastAsia"/>
          <w:color w:val="auto"/>
          <w:lang w:val="en-US" w:eastAsia="zh-CN"/>
        </w:rPr>
        <w:t xml:space="preserve"> </w:t>
      </w:r>
    </w:p>
    <w:p>
      <w:pPr>
        <w:ind w:firstLine="600" w:firstLineChars="200"/>
        <w:outlineLvl w:val="2"/>
        <w:rPr>
          <w:rFonts w:hint="eastAsia" w:eastAsia="仿宋_GB2312"/>
          <w:color w:val="auto"/>
          <w:kern w:val="0"/>
          <w:sz w:val="30"/>
          <w:szCs w:val="30"/>
          <w:lang w:val="en-US" w:eastAsia="zh-CN"/>
        </w:rPr>
      </w:pPr>
      <w:bookmarkStart w:id="23" w:name="_Toc20538"/>
      <w:r>
        <w:rPr>
          <w:rFonts w:hint="eastAsia" w:eastAsia="仿宋_GB2312"/>
          <w:color w:val="auto"/>
          <w:kern w:val="0"/>
          <w:sz w:val="30"/>
          <w:szCs w:val="30"/>
          <w:lang w:val="en-US" w:eastAsia="zh-CN"/>
        </w:rPr>
        <w:t>1.4.1居民集中区</w:t>
      </w:r>
      <w:bookmarkEnd w:id="23"/>
      <w:r>
        <w:rPr>
          <w:rFonts w:hint="eastAsia" w:eastAsia="仿宋_GB2312"/>
          <w:color w:val="auto"/>
          <w:kern w:val="0"/>
          <w:sz w:val="30"/>
          <w:szCs w:val="30"/>
          <w:lang w:val="en-US" w:eastAsia="zh-CN"/>
        </w:rPr>
        <w:t xml:space="preserve"> </w:t>
      </w:r>
    </w:p>
    <w:p>
      <w:pPr>
        <w:ind w:firstLine="600" w:firstLineChars="200"/>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县城建成区；谷阳镇、刘集镇、濠城镇、石湖乡、新马桥镇、王庄镇、连城镇、湖沟镇、任桥镇、杨庙镇、仲兴镇等11个乡镇政府所在地建成区等。</w:t>
      </w:r>
    </w:p>
    <w:p>
      <w:pPr>
        <w:ind w:firstLine="600" w:firstLineChars="200"/>
        <w:outlineLvl w:val="2"/>
        <w:rPr>
          <w:rFonts w:hint="eastAsia" w:eastAsia="仿宋_GB2312"/>
          <w:color w:val="auto"/>
          <w:kern w:val="0"/>
          <w:sz w:val="30"/>
          <w:szCs w:val="30"/>
          <w:lang w:val="zh-CN" w:eastAsia="zh-CN"/>
        </w:rPr>
      </w:pPr>
      <w:bookmarkStart w:id="24" w:name="_Toc18399"/>
      <w:r>
        <w:rPr>
          <w:rFonts w:hint="eastAsia" w:eastAsia="仿宋_GB2312"/>
          <w:color w:val="auto"/>
          <w:kern w:val="0"/>
          <w:sz w:val="30"/>
          <w:szCs w:val="30"/>
          <w:lang w:val="en-US" w:eastAsia="zh-CN"/>
        </w:rPr>
        <w:t>1.4.2</w:t>
      </w:r>
      <w:r>
        <w:rPr>
          <w:rFonts w:hint="eastAsia" w:eastAsia="仿宋_GB2312"/>
          <w:color w:val="auto"/>
          <w:kern w:val="0"/>
          <w:sz w:val="30"/>
          <w:szCs w:val="30"/>
          <w:lang w:val="zh-CN" w:eastAsia="zh-CN"/>
        </w:rPr>
        <w:t>陆域生态</w:t>
      </w:r>
      <w:bookmarkEnd w:id="24"/>
    </w:p>
    <w:p>
      <w:pPr>
        <w:pStyle w:val="13"/>
        <w:jc w:val="center"/>
        <w:rPr>
          <w:rFonts w:hint="default" w:eastAsia="仿宋_GB2312" w:asciiTheme="minorHAnsi" w:hAnsiTheme="minorHAnsi" w:cstheme="minorBidi"/>
          <w:b/>
          <w:bCs/>
          <w:color w:val="auto"/>
          <w:kern w:val="0"/>
          <w:sz w:val="24"/>
          <w:szCs w:val="24"/>
          <w:lang w:val="en-US" w:eastAsia="zh-CN" w:bidi="ar-SA"/>
        </w:rPr>
      </w:pPr>
      <w:r>
        <w:rPr>
          <w:rFonts w:hint="eastAsia" w:eastAsia="仿宋_GB2312" w:asciiTheme="minorHAnsi" w:hAnsiTheme="minorHAnsi" w:cstheme="minorBidi"/>
          <w:b/>
          <w:bCs/>
          <w:color w:val="auto"/>
          <w:kern w:val="0"/>
          <w:sz w:val="24"/>
          <w:szCs w:val="24"/>
          <w:lang w:val="zh-CN" w:eastAsia="zh-CN" w:bidi="ar-SA"/>
        </w:rPr>
        <w:t>表</w:t>
      </w:r>
      <w:r>
        <w:rPr>
          <w:rFonts w:hint="eastAsia" w:eastAsia="仿宋_GB2312" w:asciiTheme="minorHAnsi" w:hAnsiTheme="minorHAnsi" w:cstheme="minorBidi"/>
          <w:b/>
          <w:bCs/>
          <w:color w:val="auto"/>
          <w:kern w:val="0"/>
          <w:sz w:val="24"/>
          <w:szCs w:val="24"/>
          <w:lang w:val="en-US" w:eastAsia="zh-CN" w:bidi="ar-SA"/>
        </w:rPr>
        <w:t>1.4-1  固镇县自然保护区一览表</w:t>
      </w:r>
    </w:p>
    <w:tbl>
      <w:tblPr>
        <w:tblStyle w:val="20"/>
        <w:tblW w:w="8299" w:type="dxa"/>
        <w:tblInd w:w="1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6"/>
        <w:gridCol w:w="5603"/>
        <w:gridCol w:w="16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56" w:type="dxa"/>
            <w:vAlign w:val="center"/>
          </w:tcPr>
          <w:p>
            <w:pPr>
              <w:pStyle w:val="25"/>
              <w:spacing w:before="163" w:line="240" w:lineRule="auto"/>
              <w:ind w:left="267" w:right="258"/>
              <w:jc w:val="center"/>
              <w:rPr>
                <w:rFonts w:hint="eastAsia" w:ascii="宋体" w:eastAsia="宋体"/>
                <w:color w:val="auto"/>
                <w:sz w:val="24"/>
              </w:rPr>
            </w:pPr>
            <w:r>
              <w:rPr>
                <w:rFonts w:hint="eastAsia" w:ascii="宋体" w:eastAsia="宋体"/>
                <w:color w:val="auto"/>
                <w:sz w:val="24"/>
              </w:rPr>
              <w:t>序号</w:t>
            </w:r>
          </w:p>
        </w:tc>
        <w:tc>
          <w:tcPr>
            <w:tcW w:w="5603" w:type="dxa"/>
            <w:vAlign w:val="center"/>
          </w:tcPr>
          <w:p>
            <w:pPr>
              <w:pStyle w:val="25"/>
              <w:spacing w:before="163" w:line="240" w:lineRule="auto"/>
              <w:ind w:left="860" w:right="851"/>
              <w:jc w:val="center"/>
              <w:rPr>
                <w:rFonts w:hint="eastAsia" w:ascii="宋体" w:eastAsia="宋体"/>
                <w:color w:val="auto"/>
                <w:sz w:val="24"/>
                <w:szCs w:val="24"/>
              </w:rPr>
            </w:pPr>
            <w:r>
              <w:rPr>
                <w:rFonts w:hint="eastAsia" w:ascii="宋体" w:eastAsia="宋体"/>
                <w:color w:val="auto"/>
                <w:sz w:val="24"/>
                <w:szCs w:val="24"/>
              </w:rPr>
              <w:t>自然保护区名称</w:t>
            </w:r>
          </w:p>
        </w:tc>
        <w:tc>
          <w:tcPr>
            <w:tcW w:w="1640" w:type="dxa"/>
            <w:vAlign w:val="center"/>
          </w:tcPr>
          <w:p>
            <w:pPr>
              <w:pStyle w:val="25"/>
              <w:spacing w:before="163" w:line="240" w:lineRule="auto"/>
              <w:ind w:left="557" w:right="552"/>
              <w:jc w:val="center"/>
              <w:rPr>
                <w:rFonts w:hint="eastAsia" w:ascii="宋体" w:eastAsia="宋体"/>
                <w:color w:val="auto"/>
                <w:sz w:val="24"/>
                <w:szCs w:val="24"/>
              </w:rPr>
            </w:pPr>
            <w:r>
              <w:rPr>
                <w:rFonts w:hint="eastAsia" w:ascii="宋体" w:eastAsia="宋体"/>
                <w:color w:val="auto"/>
                <w:sz w:val="24"/>
                <w:szCs w:val="24"/>
              </w:rPr>
              <w:t>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56" w:type="dxa"/>
            <w:vAlign w:val="center"/>
          </w:tcPr>
          <w:p>
            <w:pPr>
              <w:pStyle w:val="25"/>
              <w:spacing w:before="163" w:line="240" w:lineRule="auto"/>
              <w:ind w:left="267" w:right="258"/>
              <w:jc w:val="center"/>
              <w:rPr>
                <w:rFonts w:hint="eastAsia" w:ascii="宋体" w:eastAsia="宋体"/>
                <w:color w:val="auto"/>
                <w:sz w:val="24"/>
                <w:lang w:eastAsia="zh-CN"/>
              </w:rPr>
            </w:pPr>
            <w:r>
              <w:rPr>
                <w:rFonts w:hint="eastAsia" w:ascii="宋体" w:eastAsia="宋体"/>
                <w:color w:val="auto"/>
                <w:sz w:val="24"/>
                <w:lang w:val="en-US" w:eastAsia="zh-CN"/>
              </w:rPr>
              <w:t>1</w:t>
            </w:r>
          </w:p>
        </w:tc>
        <w:tc>
          <w:tcPr>
            <w:tcW w:w="5603" w:type="dxa"/>
            <w:vAlign w:val="center"/>
          </w:tcPr>
          <w:p>
            <w:pPr>
              <w:pStyle w:val="25"/>
              <w:spacing w:before="163" w:line="240" w:lineRule="auto"/>
              <w:ind w:left="267" w:right="258"/>
              <w:jc w:val="center"/>
              <w:rPr>
                <w:rFonts w:hint="eastAsia" w:ascii="宋体" w:eastAsia="宋体"/>
                <w:color w:val="auto"/>
                <w:sz w:val="24"/>
              </w:rPr>
            </w:pPr>
            <w:r>
              <w:rPr>
                <w:rFonts w:hint="eastAsia" w:ascii="宋体" w:eastAsia="宋体"/>
                <w:color w:val="auto"/>
                <w:sz w:val="24"/>
                <w:lang w:val="en-US" w:eastAsia="zh-CN"/>
              </w:rPr>
              <w:t>固镇两河湿地市级自然保护区（候鸟栖息地）</w:t>
            </w:r>
          </w:p>
        </w:tc>
        <w:tc>
          <w:tcPr>
            <w:tcW w:w="1640" w:type="dxa"/>
            <w:vAlign w:val="center"/>
          </w:tcPr>
          <w:p>
            <w:pPr>
              <w:pStyle w:val="25"/>
              <w:spacing w:before="163" w:line="240" w:lineRule="auto"/>
              <w:ind w:left="267" w:right="258"/>
              <w:jc w:val="center"/>
              <w:rPr>
                <w:rFonts w:hint="eastAsia" w:ascii="宋体" w:eastAsia="宋体"/>
                <w:color w:val="auto"/>
                <w:sz w:val="24"/>
                <w:lang w:eastAsia="zh-CN"/>
              </w:rPr>
            </w:pPr>
            <w:r>
              <w:rPr>
                <w:rFonts w:hint="eastAsia" w:ascii="宋体" w:eastAsia="宋体"/>
                <w:color w:val="auto"/>
                <w:sz w:val="24"/>
                <w:lang w:eastAsia="zh-CN"/>
              </w:rPr>
              <w:t>市级</w:t>
            </w:r>
          </w:p>
        </w:tc>
      </w:tr>
    </w:tbl>
    <w:p>
      <w:pPr>
        <w:keepNext w:val="0"/>
        <w:keepLines w:val="0"/>
        <w:pageBreakBefore w:val="0"/>
        <w:widowControl w:val="0"/>
        <w:kinsoku/>
        <w:wordWrap/>
        <w:overflowPunct/>
        <w:topLinePunct w:val="0"/>
        <w:autoSpaceDE/>
        <w:autoSpaceDN/>
        <w:bidi w:val="0"/>
        <w:adjustRightInd/>
        <w:snapToGrid/>
        <w:ind w:firstLine="600" w:firstLineChars="200"/>
        <w:textAlignment w:val="auto"/>
        <w:outlineLvl w:val="2"/>
        <w:rPr>
          <w:rFonts w:hint="default" w:eastAsia="仿宋_GB2312"/>
          <w:color w:val="auto"/>
          <w:kern w:val="0"/>
          <w:sz w:val="30"/>
          <w:szCs w:val="30"/>
          <w:lang w:val="en-US" w:eastAsia="zh-CN"/>
        </w:rPr>
      </w:pPr>
      <w:r>
        <w:rPr>
          <w:rFonts w:hint="eastAsia" w:eastAsia="仿宋_GB2312"/>
          <w:color w:val="auto"/>
          <w:kern w:val="0"/>
          <w:sz w:val="30"/>
          <w:szCs w:val="30"/>
          <w:lang w:val="en-US" w:eastAsia="zh-CN"/>
        </w:rPr>
        <w:t>1.4.3地表水及饮用水源地</w:t>
      </w:r>
    </w:p>
    <w:p>
      <w:pPr>
        <w:ind w:firstLine="600" w:firstLineChars="200"/>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地表水：</w:t>
      </w:r>
      <w:r>
        <w:rPr>
          <w:rFonts w:hint="default" w:eastAsia="仿宋_GB2312"/>
          <w:color w:val="auto"/>
          <w:kern w:val="0"/>
          <w:sz w:val="30"/>
          <w:szCs w:val="30"/>
          <w:lang w:val="en-US" w:eastAsia="zh-CN"/>
        </w:rPr>
        <w:t>沱河、浍河、澥河、怀洪新河、北淝河</w:t>
      </w:r>
      <w:r>
        <w:rPr>
          <w:rFonts w:hint="eastAsia" w:eastAsia="仿宋_GB2312"/>
          <w:color w:val="auto"/>
          <w:kern w:val="0"/>
          <w:sz w:val="30"/>
          <w:szCs w:val="30"/>
          <w:lang w:val="en-US" w:eastAsia="zh-CN"/>
        </w:rPr>
        <w:t>。</w:t>
      </w:r>
    </w:p>
    <w:p>
      <w:pPr>
        <w:ind w:firstLine="600" w:firstLineChars="200"/>
        <w:rPr>
          <w:rFonts w:hint="eastAsia"/>
          <w:color w:val="auto"/>
          <w:lang w:val="en-US" w:eastAsia="zh-CN"/>
        </w:rPr>
      </w:pPr>
      <w:r>
        <w:rPr>
          <w:rFonts w:hint="eastAsia" w:eastAsia="仿宋_GB2312"/>
          <w:color w:val="auto"/>
          <w:kern w:val="0"/>
          <w:sz w:val="30"/>
          <w:szCs w:val="30"/>
          <w:lang w:val="en-US" w:eastAsia="zh-CN"/>
        </w:rPr>
        <w:t>饮用水水源地：固镇县城市自来水厂饮用水水源保护区、固镇经济开发区自来水厂饮用水水源保护区、固镇县新马桥怀洪水厂饮用水水源保护区、固镇县城市地下水饮用水水源保护区、谷阳镇、王庄镇、刘集镇、新马桥镇、连城镇、濠城镇、石湖乡、仲兴镇、任桥镇、湖沟镇、杨庙镇等11个乡镇区域自来水厂水源地保护区。</w:t>
      </w:r>
    </w:p>
    <w:p>
      <w:pPr>
        <w:pStyle w:val="13"/>
        <w:jc w:val="center"/>
        <w:rPr>
          <w:rFonts w:hint="eastAsia" w:eastAsia="仿宋_GB2312" w:asciiTheme="minorHAnsi" w:hAnsiTheme="minorHAnsi" w:cstheme="minorBidi"/>
          <w:b/>
          <w:bCs/>
          <w:color w:val="auto"/>
          <w:kern w:val="0"/>
          <w:sz w:val="24"/>
          <w:szCs w:val="24"/>
          <w:lang w:val="en-US" w:eastAsia="zh-CN" w:bidi="ar-SA"/>
        </w:rPr>
      </w:pPr>
      <w:r>
        <w:rPr>
          <w:rFonts w:hint="eastAsia" w:eastAsia="仿宋_GB2312" w:asciiTheme="minorHAnsi" w:hAnsiTheme="minorHAnsi" w:cstheme="minorBidi"/>
          <w:b/>
          <w:bCs/>
          <w:color w:val="auto"/>
          <w:kern w:val="0"/>
          <w:sz w:val="24"/>
          <w:szCs w:val="24"/>
          <w:lang w:val="en-US" w:eastAsia="zh-CN" w:bidi="ar-SA"/>
        </w:rPr>
        <w:t>表1.4-2  固镇县部分饮用水源地信息表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4"/>
        <w:gridCol w:w="912"/>
        <w:gridCol w:w="1080"/>
        <w:gridCol w:w="2230"/>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jc w:val="center"/>
              <w:rPr>
                <w:rFonts w:hint="default"/>
                <w:color w:val="auto"/>
                <w:vertAlign w:val="baseline"/>
                <w:lang w:val="en-US" w:eastAsia="zh-CN"/>
              </w:rPr>
            </w:pPr>
            <w:r>
              <w:rPr>
                <w:rFonts w:hint="eastAsia"/>
                <w:color w:val="auto"/>
                <w:vertAlign w:val="baseline"/>
                <w:lang w:val="en-US" w:eastAsia="zh-CN"/>
              </w:rPr>
              <w:t>水源地名称</w:t>
            </w:r>
          </w:p>
        </w:tc>
        <w:tc>
          <w:tcPr>
            <w:tcW w:w="912" w:type="dxa"/>
            <w:vAlign w:val="center"/>
          </w:tcPr>
          <w:p>
            <w:pPr>
              <w:jc w:val="center"/>
              <w:rPr>
                <w:rFonts w:hint="default"/>
                <w:color w:val="auto"/>
                <w:vertAlign w:val="baseline"/>
                <w:lang w:val="en-US" w:eastAsia="zh-CN"/>
              </w:rPr>
            </w:pPr>
            <w:r>
              <w:rPr>
                <w:rFonts w:hint="eastAsia"/>
                <w:color w:val="auto"/>
                <w:vertAlign w:val="baseline"/>
                <w:lang w:val="en-US" w:eastAsia="zh-CN"/>
              </w:rPr>
              <w:t>水源地类型</w:t>
            </w:r>
          </w:p>
        </w:tc>
        <w:tc>
          <w:tcPr>
            <w:tcW w:w="1080" w:type="dxa"/>
            <w:vAlign w:val="center"/>
          </w:tcPr>
          <w:p>
            <w:pPr>
              <w:jc w:val="center"/>
              <w:rPr>
                <w:rFonts w:hint="default"/>
                <w:color w:val="auto"/>
                <w:vertAlign w:val="baseline"/>
                <w:lang w:val="en-US" w:eastAsia="zh-CN"/>
              </w:rPr>
            </w:pPr>
            <w:r>
              <w:rPr>
                <w:rFonts w:hint="eastAsia"/>
                <w:color w:val="auto"/>
                <w:vertAlign w:val="baseline"/>
                <w:lang w:val="en-US" w:eastAsia="zh-CN"/>
              </w:rPr>
              <w:t>供水规模（t/d）</w:t>
            </w:r>
          </w:p>
        </w:tc>
        <w:tc>
          <w:tcPr>
            <w:tcW w:w="2230" w:type="dxa"/>
            <w:vAlign w:val="center"/>
          </w:tcPr>
          <w:p>
            <w:pPr>
              <w:jc w:val="center"/>
              <w:rPr>
                <w:rFonts w:hint="default"/>
                <w:color w:val="auto"/>
                <w:vertAlign w:val="baseline"/>
                <w:lang w:val="en-US" w:eastAsia="zh-CN"/>
              </w:rPr>
            </w:pPr>
            <w:r>
              <w:rPr>
                <w:rFonts w:hint="eastAsia"/>
                <w:color w:val="auto"/>
                <w:vertAlign w:val="baseline"/>
                <w:lang w:val="en-US" w:eastAsia="zh-CN"/>
              </w:rPr>
              <w:t>一级保护区</w:t>
            </w:r>
          </w:p>
        </w:tc>
        <w:tc>
          <w:tcPr>
            <w:tcW w:w="2325" w:type="dxa"/>
            <w:vAlign w:val="center"/>
          </w:tcPr>
          <w:p>
            <w:pPr>
              <w:jc w:val="center"/>
              <w:rPr>
                <w:rFonts w:hint="default"/>
                <w:color w:val="auto"/>
                <w:vertAlign w:val="baseline"/>
                <w:lang w:val="en-US" w:eastAsia="zh-CN"/>
              </w:rPr>
            </w:pPr>
            <w:r>
              <w:rPr>
                <w:rFonts w:hint="eastAsia"/>
                <w:color w:val="auto"/>
                <w:vertAlign w:val="baseline"/>
                <w:lang w:val="en-US" w:eastAsia="zh-CN"/>
              </w:rPr>
              <w:t>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jc w:val="center"/>
              <w:rPr>
                <w:rFonts w:hint="default"/>
                <w:color w:val="auto"/>
                <w:vertAlign w:val="baseline"/>
                <w:lang w:val="en-US" w:eastAsia="zh-CN"/>
              </w:rPr>
            </w:pPr>
            <w:r>
              <w:rPr>
                <w:rFonts w:hint="default"/>
                <w:color w:val="auto"/>
                <w:vertAlign w:val="baseline"/>
                <w:lang w:val="en-US" w:eastAsia="zh-CN"/>
              </w:rPr>
              <w:t>固镇县城市自来水厂饮用水水源保护区</w:t>
            </w:r>
          </w:p>
        </w:tc>
        <w:tc>
          <w:tcPr>
            <w:tcW w:w="912" w:type="dxa"/>
            <w:vAlign w:val="center"/>
          </w:tcPr>
          <w:p>
            <w:pPr>
              <w:jc w:val="center"/>
              <w:rPr>
                <w:rFonts w:hint="default"/>
                <w:color w:val="auto"/>
                <w:vertAlign w:val="baseline"/>
                <w:lang w:val="en-US" w:eastAsia="zh-CN"/>
              </w:rPr>
            </w:pPr>
            <w:r>
              <w:rPr>
                <w:rFonts w:hint="eastAsia"/>
                <w:color w:val="auto"/>
                <w:vertAlign w:val="baseline"/>
                <w:lang w:val="en-US" w:eastAsia="zh-CN"/>
              </w:rPr>
              <w:t>河流</w:t>
            </w:r>
          </w:p>
        </w:tc>
        <w:tc>
          <w:tcPr>
            <w:tcW w:w="1080" w:type="dxa"/>
            <w:vAlign w:val="center"/>
          </w:tcPr>
          <w:p>
            <w:pPr>
              <w:jc w:val="center"/>
              <w:rPr>
                <w:rFonts w:hint="default"/>
                <w:color w:val="auto"/>
                <w:vertAlign w:val="baseline"/>
                <w:lang w:val="en-US" w:eastAsia="zh-CN"/>
              </w:rPr>
            </w:pPr>
            <w:r>
              <w:rPr>
                <w:rFonts w:hint="eastAsia"/>
                <w:color w:val="auto"/>
                <w:vertAlign w:val="baseline"/>
                <w:lang w:val="en-US" w:eastAsia="zh-CN"/>
              </w:rPr>
              <w:t>50000</w:t>
            </w:r>
          </w:p>
        </w:tc>
        <w:tc>
          <w:tcPr>
            <w:tcW w:w="2230" w:type="dxa"/>
            <w:vAlign w:val="center"/>
          </w:tcPr>
          <w:p>
            <w:pPr>
              <w:jc w:val="center"/>
              <w:rPr>
                <w:rFonts w:hint="default"/>
                <w:color w:val="auto"/>
                <w:vertAlign w:val="baseline"/>
                <w:lang w:val="en-US" w:eastAsia="zh-CN"/>
              </w:rPr>
            </w:pPr>
            <w:r>
              <w:rPr>
                <w:rFonts w:hint="default"/>
                <w:color w:val="auto"/>
                <w:vertAlign w:val="baseline"/>
                <w:lang w:val="en-US" w:eastAsia="zh-CN"/>
              </w:rPr>
              <w:t>固镇县城市自来水厂取水口上游1500米至固镇经济开发区自来水厂取水口下游100米的整个水域</w:t>
            </w:r>
          </w:p>
        </w:tc>
        <w:tc>
          <w:tcPr>
            <w:tcW w:w="2325" w:type="dxa"/>
            <w:vAlign w:val="center"/>
          </w:tcPr>
          <w:p>
            <w:pPr>
              <w:jc w:val="center"/>
              <w:rPr>
                <w:rFonts w:hint="default"/>
                <w:color w:val="auto"/>
                <w:vertAlign w:val="baseline"/>
                <w:lang w:val="en-US" w:eastAsia="zh-CN"/>
              </w:rPr>
            </w:pPr>
            <w:r>
              <w:rPr>
                <w:rFonts w:hint="eastAsia"/>
                <w:color w:val="auto"/>
                <w:vertAlign w:val="baseline"/>
                <w:lang w:val="en-US" w:eastAsia="zh-CN"/>
              </w:rPr>
              <w:t>一</w:t>
            </w:r>
            <w:r>
              <w:rPr>
                <w:rFonts w:hint="default"/>
                <w:color w:val="auto"/>
                <w:vertAlign w:val="baseline"/>
                <w:lang w:val="en-US" w:eastAsia="zh-CN"/>
              </w:rPr>
              <w:t>级保护区上游边界向上游延伸2000米(包括汇入的上游支流澥河、淝河)、下游侧外边界距一级保护区下游边界200米的整个水域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jc w:val="center"/>
              <w:rPr>
                <w:rFonts w:hint="default"/>
                <w:color w:val="auto"/>
                <w:vertAlign w:val="baseline"/>
                <w:lang w:val="en-US" w:eastAsia="zh-CN"/>
              </w:rPr>
            </w:pPr>
            <w:r>
              <w:rPr>
                <w:rFonts w:hint="default"/>
                <w:color w:val="auto"/>
                <w:vertAlign w:val="baseline"/>
                <w:lang w:val="en-US" w:eastAsia="zh-CN"/>
              </w:rPr>
              <w:t>固镇经济开发区自来水厂饮用水水源保护区</w:t>
            </w:r>
          </w:p>
        </w:tc>
        <w:tc>
          <w:tcPr>
            <w:tcW w:w="912" w:type="dxa"/>
            <w:vAlign w:val="center"/>
          </w:tcPr>
          <w:p>
            <w:pPr>
              <w:jc w:val="center"/>
              <w:rPr>
                <w:rFonts w:hint="default"/>
                <w:color w:val="auto"/>
                <w:vertAlign w:val="baseline"/>
                <w:lang w:val="en-US" w:eastAsia="zh-CN"/>
              </w:rPr>
            </w:pPr>
            <w:r>
              <w:rPr>
                <w:rFonts w:hint="eastAsia"/>
                <w:color w:val="auto"/>
                <w:vertAlign w:val="baseline"/>
                <w:lang w:val="en-US" w:eastAsia="zh-CN"/>
              </w:rPr>
              <w:t>河流</w:t>
            </w:r>
          </w:p>
        </w:tc>
        <w:tc>
          <w:tcPr>
            <w:tcW w:w="1080" w:type="dxa"/>
            <w:vAlign w:val="center"/>
          </w:tcPr>
          <w:p>
            <w:pPr>
              <w:jc w:val="center"/>
              <w:rPr>
                <w:rFonts w:hint="default"/>
                <w:color w:val="auto"/>
                <w:vertAlign w:val="baseline"/>
                <w:lang w:val="en-US" w:eastAsia="zh-CN"/>
              </w:rPr>
            </w:pPr>
            <w:r>
              <w:rPr>
                <w:rFonts w:hint="eastAsia"/>
                <w:color w:val="auto"/>
                <w:vertAlign w:val="baseline"/>
                <w:lang w:val="en-US" w:eastAsia="zh-CN"/>
              </w:rPr>
              <w:t>25000</w:t>
            </w:r>
          </w:p>
        </w:tc>
        <w:tc>
          <w:tcPr>
            <w:tcW w:w="2230" w:type="dxa"/>
            <w:vAlign w:val="center"/>
          </w:tcPr>
          <w:p>
            <w:pPr>
              <w:jc w:val="center"/>
              <w:rPr>
                <w:rFonts w:hint="default"/>
                <w:color w:val="auto"/>
                <w:vertAlign w:val="baseline"/>
                <w:lang w:val="en-US" w:eastAsia="zh-CN"/>
              </w:rPr>
            </w:pPr>
            <w:r>
              <w:rPr>
                <w:rFonts w:hint="default"/>
                <w:color w:val="auto"/>
                <w:vertAlign w:val="baseline"/>
                <w:lang w:val="en-US" w:eastAsia="zh-CN"/>
              </w:rPr>
              <w:t>固镇县城市自来水厂取水口上游1500米至固镇经济开发区自来水厂取水口下游100米的整个水域</w:t>
            </w:r>
          </w:p>
        </w:tc>
        <w:tc>
          <w:tcPr>
            <w:tcW w:w="2325" w:type="dxa"/>
            <w:vAlign w:val="center"/>
          </w:tcPr>
          <w:p>
            <w:pPr>
              <w:jc w:val="center"/>
              <w:rPr>
                <w:rFonts w:hint="default"/>
                <w:color w:val="auto"/>
                <w:vertAlign w:val="baseline"/>
                <w:lang w:val="en-US" w:eastAsia="zh-CN"/>
              </w:rPr>
            </w:pPr>
            <w:r>
              <w:rPr>
                <w:rFonts w:hint="eastAsia"/>
                <w:color w:val="auto"/>
                <w:vertAlign w:val="baseline"/>
                <w:lang w:val="en-US" w:eastAsia="zh-CN"/>
              </w:rPr>
              <w:t>一</w:t>
            </w:r>
            <w:r>
              <w:rPr>
                <w:rFonts w:hint="default"/>
                <w:color w:val="auto"/>
                <w:vertAlign w:val="baseline"/>
                <w:lang w:val="en-US" w:eastAsia="zh-CN"/>
              </w:rPr>
              <w:t>级保护区上游边界向上游延伸2000米(包括汇入的上游支流澥河、淝河)、下游侧外边界距一级保护区下游边界200米的整个水域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jc w:val="center"/>
              <w:rPr>
                <w:rFonts w:hint="default"/>
                <w:color w:val="auto"/>
                <w:vertAlign w:val="baseline"/>
                <w:lang w:val="en-US" w:eastAsia="zh-CN"/>
              </w:rPr>
            </w:pPr>
            <w:r>
              <w:rPr>
                <w:rFonts w:hint="default"/>
                <w:color w:val="auto"/>
                <w:vertAlign w:val="baseline"/>
                <w:lang w:val="en-US" w:eastAsia="zh-CN"/>
              </w:rPr>
              <w:t>固镇县新马桥怀洪水厂饮用水水源保护区</w:t>
            </w:r>
          </w:p>
        </w:tc>
        <w:tc>
          <w:tcPr>
            <w:tcW w:w="912" w:type="dxa"/>
            <w:vAlign w:val="center"/>
          </w:tcPr>
          <w:p>
            <w:pPr>
              <w:jc w:val="center"/>
              <w:rPr>
                <w:rFonts w:hint="default"/>
                <w:color w:val="auto"/>
                <w:vertAlign w:val="baseline"/>
                <w:lang w:val="en-US" w:eastAsia="zh-CN"/>
              </w:rPr>
            </w:pPr>
            <w:r>
              <w:rPr>
                <w:rFonts w:hint="eastAsia"/>
                <w:color w:val="auto"/>
                <w:vertAlign w:val="baseline"/>
                <w:lang w:val="en-US" w:eastAsia="zh-CN"/>
              </w:rPr>
              <w:t>河流</w:t>
            </w:r>
          </w:p>
        </w:tc>
        <w:tc>
          <w:tcPr>
            <w:tcW w:w="1080" w:type="dxa"/>
            <w:vAlign w:val="center"/>
          </w:tcPr>
          <w:p>
            <w:pPr>
              <w:jc w:val="center"/>
              <w:rPr>
                <w:rFonts w:hint="default"/>
                <w:color w:val="auto"/>
                <w:vertAlign w:val="baseline"/>
                <w:lang w:val="en-US" w:eastAsia="zh-CN"/>
              </w:rPr>
            </w:pPr>
            <w:r>
              <w:rPr>
                <w:rFonts w:hint="eastAsia"/>
                <w:color w:val="auto"/>
                <w:vertAlign w:val="baseline"/>
                <w:lang w:val="en-US" w:eastAsia="zh-CN"/>
              </w:rPr>
              <w:t>4700</w:t>
            </w:r>
          </w:p>
        </w:tc>
        <w:tc>
          <w:tcPr>
            <w:tcW w:w="2230" w:type="dxa"/>
            <w:vAlign w:val="center"/>
          </w:tcPr>
          <w:p>
            <w:pPr>
              <w:jc w:val="center"/>
              <w:rPr>
                <w:rFonts w:hint="default"/>
                <w:color w:val="auto"/>
                <w:vertAlign w:val="baseline"/>
                <w:lang w:val="en-US" w:eastAsia="zh-CN"/>
              </w:rPr>
            </w:pPr>
            <w:r>
              <w:rPr>
                <w:rFonts w:hint="default"/>
                <w:color w:val="auto"/>
                <w:vertAlign w:val="baseline"/>
                <w:lang w:val="en-US" w:eastAsia="zh-CN"/>
              </w:rPr>
              <w:t>固镇县城市自来水厂取水口上游1500m(至新、老胡洼闸下)至固镇经济开发区自来水厂取水口下游100m</w:t>
            </w:r>
          </w:p>
        </w:tc>
        <w:tc>
          <w:tcPr>
            <w:tcW w:w="2325" w:type="dxa"/>
            <w:vAlign w:val="center"/>
          </w:tcPr>
          <w:p>
            <w:pPr>
              <w:jc w:val="center"/>
              <w:rPr>
                <w:rFonts w:hint="default"/>
                <w:color w:val="auto"/>
                <w:vertAlign w:val="baseline"/>
                <w:lang w:val="en-US" w:eastAsia="zh-CN"/>
              </w:rPr>
            </w:pPr>
            <w:r>
              <w:rPr>
                <w:rFonts w:hint="default"/>
                <w:color w:val="auto"/>
                <w:vertAlign w:val="baseline"/>
                <w:lang w:val="en-US" w:eastAsia="zh-CN"/>
              </w:rPr>
              <w:t>固镇经济开发区自来水厂取水口下游100m边界向下游延伸200m</w:t>
            </w:r>
          </w:p>
        </w:tc>
      </w:tr>
    </w:tbl>
    <w:p>
      <w:pPr>
        <w:pStyle w:val="13"/>
        <w:ind w:left="0" w:leftChars="0" w:firstLine="600" w:firstLineChars="200"/>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生态红线：固镇县浍河、澥河生态保护红线（属于Ⅱ-1 淮北河间平原农产品提供及水土保持生态保护红线）。</w:t>
      </w:r>
    </w:p>
    <w:p>
      <w:pPr>
        <w:ind w:firstLine="600" w:firstLineChars="200"/>
        <w:rPr>
          <w:rFonts w:hint="eastAsia" w:eastAsia="仿宋_GB2312"/>
          <w:color w:val="auto"/>
          <w:kern w:val="0"/>
          <w:sz w:val="30"/>
          <w:szCs w:val="30"/>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r>
        <w:rPr>
          <w:rFonts w:hint="eastAsia" w:eastAsia="仿宋_GB2312"/>
          <w:color w:val="auto"/>
          <w:kern w:val="0"/>
          <w:sz w:val="30"/>
          <w:szCs w:val="30"/>
          <w:lang w:val="en-US" w:eastAsia="zh-CN"/>
        </w:rPr>
        <w:t>目前，固镇县各乡镇地下水井设置情况汇总如下：</w:t>
      </w:r>
    </w:p>
    <w:p>
      <w:pPr>
        <w:pStyle w:val="13"/>
        <w:jc w:val="center"/>
        <w:rPr>
          <w:rFonts w:hint="default" w:eastAsia="仿宋_GB2312" w:asciiTheme="minorHAnsi" w:hAnsiTheme="minorHAnsi" w:cstheme="minorBidi"/>
          <w:b/>
          <w:bCs/>
          <w:color w:val="auto"/>
          <w:kern w:val="0"/>
          <w:sz w:val="24"/>
          <w:szCs w:val="24"/>
          <w:lang w:val="en-US" w:eastAsia="zh-CN" w:bidi="ar-SA"/>
        </w:rPr>
      </w:pPr>
      <w:r>
        <w:rPr>
          <w:rFonts w:hint="eastAsia" w:eastAsia="仿宋_GB2312" w:asciiTheme="minorHAnsi" w:hAnsiTheme="minorHAnsi" w:cstheme="minorBidi"/>
          <w:b/>
          <w:bCs/>
          <w:color w:val="auto"/>
          <w:kern w:val="0"/>
          <w:sz w:val="24"/>
          <w:szCs w:val="24"/>
          <w:lang w:val="en-US" w:eastAsia="zh-CN" w:bidi="ar-SA"/>
        </w:rPr>
        <w:t>表1.4-3  固镇县各乡镇水井设置情况汇总表</w:t>
      </w:r>
    </w:p>
    <w:tbl>
      <w:tblPr>
        <w:tblStyle w:val="20"/>
        <w:tblW w:w="140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3"/>
        <w:gridCol w:w="1319"/>
        <w:gridCol w:w="2625"/>
        <w:gridCol w:w="1929"/>
        <w:gridCol w:w="1391"/>
        <w:gridCol w:w="1137"/>
        <w:gridCol w:w="1481"/>
        <w:gridCol w:w="1438"/>
        <w:gridCol w:w="681"/>
        <w:gridCol w:w="680"/>
        <w:gridCol w:w="7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26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水井名称</w:t>
            </w:r>
          </w:p>
        </w:tc>
        <w:tc>
          <w:tcPr>
            <w:tcW w:w="19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位置</w:t>
            </w:r>
          </w:p>
        </w:tc>
        <w:tc>
          <w:tcPr>
            <w:tcW w:w="1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设计供水规模（万m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/h）</w:t>
            </w:r>
          </w:p>
        </w:tc>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供水人口</w:t>
            </w:r>
          </w:p>
        </w:tc>
        <w:tc>
          <w:tcPr>
            <w:tcW w:w="291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坐标</w:t>
            </w:r>
          </w:p>
        </w:tc>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成井</w:t>
            </w:r>
          </w:p>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年份</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井深</w:t>
            </w:r>
          </w:p>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w:t>
            </w:r>
          </w:p>
        </w:tc>
        <w:tc>
          <w:tcPr>
            <w:tcW w:w="7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井径</w:t>
            </w:r>
          </w:p>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b/>
                <w:bCs/>
                <w:i w:val="0"/>
                <w:iCs w:val="0"/>
                <w:color w:val="auto"/>
                <w:sz w:val="21"/>
                <w:szCs w:val="21"/>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b/>
                <w:bCs/>
                <w:i w:val="0"/>
                <w:iCs w:val="0"/>
                <w:color w:val="auto"/>
                <w:sz w:val="21"/>
                <w:szCs w:val="21"/>
                <w:u w:val="none"/>
              </w:rPr>
            </w:pPr>
          </w:p>
        </w:tc>
        <w:tc>
          <w:tcPr>
            <w:tcW w:w="26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b/>
                <w:bCs/>
                <w:i w:val="0"/>
                <w:iCs w:val="0"/>
                <w:color w:val="auto"/>
                <w:sz w:val="21"/>
                <w:szCs w:val="21"/>
                <w:u w:val="none"/>
              </w:rPr>
            </w:pPr>
          </w:p>
        </w:tc>
        <w:tc>
          <w:tcPr>
            <w:tcW w:w="1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b/>
                <w:bCs/>
                <w:i w:val="0"/>
                <w:iCs w:val="0"/>
                <w:color w:val="auto"/>
                <w:sz w:val="21"/>
                <w:szCs w:val="21"/>
                <w:u w:val="none"/>
              </w:rPr>
            </w:pP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b/>
                <w:bCs/>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b/>
                <w:bCs/>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纬度</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经度</w:t>
            </w:r>
          </w:p>
        </w:tc>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b/>
                <w:bCs/>
                <w:i w:val="0"/>
                <w:iCs w:val="0"/>
                <w:color w:val="auto"/>
                <w:sz w:val="21"/>
                <w:szCs w:val="21"/>
                <w:u w:val="none"/>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b/>
                <w:bCs/>
                <w:i w:val="0"/>
                <w:iCs w:val="0"/>
                <w:color w:val="auto"/>
                <w:sz w:val="21"/>
                <w:szCs w:val="21"/>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b/>
                <w:bCs/>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石湖鑫利水厂</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石湖鑫利水厂1井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石湖乡</w:t>
            </w:r>
          </w:p>
        </w:tc>
        <w:tc>
          <w:tcPr>
            <w:tcW w:w="1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133.33</w:t>
            </w:r>
          </w:p>
        </w:tc>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34432</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33°18′42″</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117°24′41″</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2008</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石湖鑫利水厂2井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石湖乡</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33°18′42″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117°24′41″</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2008</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石湖鑫利水厂3井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石湖乡</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33°18′42″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117°24′44″</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2008</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石湖鑫利水厂4井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石湖乡</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33°18′42″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117°24′44″</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2016</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石湖鑫利水厂5井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石湖乡</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33°18′45″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117°24′18″</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2016</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石湖鑫利水厂6井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石湖乡</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33°18′51″</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117°24′41″</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2016</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濠城华巷水厂</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濠城华巷水厂1井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濠城镇</w:t>
            </w:r>
          </w:p>
        </w:tc>
        <w:tc>
          <w:tcPr>
            <w:tcW w:w="1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95.83</w:t>
            </w:r>
          </w:p>
        </w:tc>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20094</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33°18′49″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117°28′56″</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2012</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濠城华巷水厂2井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濠城镇</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33°18′49″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117°28′56″</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2012</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濠城华巷水厂3井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濠城镇</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33°18′48″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117°28′53″</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2012</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濠城华巷水厂4井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濠城镇</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33°18′37″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117°29′50″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任桥和谐新村水厂</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任桥和谐新村水厂1井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任桥镇集北村</w:t>
            </w:r>
          </w:p>
        </w:tc>
        <w:tc>
          <w:tcPr>
            <w:tcW w:w="1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266.66</w:t>
            </w:r>
          </w:p>
        </w:tc>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71479</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33°23′47″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117°14′2″</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2012</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任桥和谐新村水厂2井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任桥镇集北村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33°25′9″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117°11′25″</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2012</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任桥和谐新村水厂3井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任桥镇集北村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33°25′9″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117°11′22″</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2012</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任桥和谐新村水厂4井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任桥镇集北村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33°25′11″</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117°11′1″</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2012</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任桥和谐新村水厂5井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任桥镇集北村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33°25′19″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117°11′50″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2012</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任桥和谐新村水厂6井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任桥镇集北村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33°25′19″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117°11′36″</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任桥和谐新村水厂7井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任桥镇泰山村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33°25′3″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117°14′31″</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任桥和谐新村水厂8井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任桥镇泰山村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33°25′4″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117°14′31″</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任桥和谐新村水厂9井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和谐新村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33°21′59″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117°12′37″</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2019</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任桥和谐新村水厂10井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和谐新村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33°21′60″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117°12′38″</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2019</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仲兴水利水厂</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仲兴水利水厂1井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仲兴镇</w:t>
            </w:r>
            <w:r>
              <w:rPr>
                <w:rFonts w:hint="default" w:ascii="Times New Roman" w:hAnsi="Times New Roman" w:eastAsia="宋体" w:cs="Times New Roman"/>
                <w:i w:val="0"/>
                <w:iCs w:val="0"/>
                <w:color w:val="auto"/>
                <w:kern w:val="0"/>
                <w:sz w:val="21"/>
                <w:szCs w:val="21"/>
                <w:u w:val="none"/>
                <w:lang w:val="en-US" w:eastAsia="zh-CN" w:bidi="ar"/>
              </w:rPr>
              <w:t>仲兴居</w:t>
            </w:r>
          </w:p>
        </w:tc>
        <w:tc>
          <w:tcPr>
            <w:tcW w:w="1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216.66</w:t>
            </w:r>
          </w:p>
        </w:tc>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60366</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33°24′58″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117°18′13″</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2008</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仲兴水利水厂2井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仲兴镇</w:t>
            </w:r>
            <w:r>
              <w:rPr>
                <w:rFonts w:hint="default" w:ascii="Times New Roman" w:hAnsi="Times New Roman" w:eastAsia="宋体" w:cs="Times New Roman"/>
                <w:i w:val="0"/>
                <w:iCs w:val="0"/>
                <w:color w:val="auto"/>
                <w:kern w:val="0"/>
                <w:sz w:val="21"/>
                <w:szCs w:val="21"/>
                <w:u w:val="none"/>
                <w:lang w:val="en-US" w:eastAsia="zh-CN" w:bidi="ar"/>
              </w:rPr>
              <w:t>仲兴居</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33°24′58″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117°18′14″</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2008</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仲兴水利水厂3井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仲兴镇</w:t>
            </w:r>
            <w:r>
              <w:rPr>
                <w:rFonts w:hint="default" w:ascii="Times New Roman" w:hAnsi="Times New Roman" w:eastAsia="宋体" w:cs="Times New Roman"/>
                <w:i w:val="0"/>
                <w:iCs w:val="0"/>
                <w:color w:val="auto"/>
                <w:kern w:val="0"/>
                <w:sz w:val="21"/>
                <w:szCs w:val="21"/>
                <w:u w:val="none"/>
                <w:lang w:val="en-US" w:eastAsia="zh-CN" w:bidi="ar"/>
              </w:rPr>
              <w:t>仲兴居</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33°24′47″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117°18′7″</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2008</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仲兴水利水厂4井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仲兴镇</w:t>
            </w:r>
            <w:r>
              <w:rPr>
                <w:rFonts w:hint="default" w:ascii="Times New Roman" w:hAnsi="Times New Roman" w:eastAsia="宋体" w:cs="Times New Roman"/>
                <w:i w:val="0"/>
                <w:iCs w:val="0"/>
                <w:color w:val="auto"/>
                <w:kern w:val="0"/>
                <w:sz w:val="21"/>
                <w:szCs w:val="21"/>
                <w:u w:val="none"/>
                <w:lang w:val="en-US" w:eastAsia="zh-CN" w:bidi="ar"/>
              </w:rPr>
              <w:t>仲兴居</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33°24′52″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117°18′10″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2008</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仲兴水利水厂5井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仲兴镇</w:t>
            </w:r>
            <w:r>
              <w:rPr>
                <w:rFonts w:hint="default" w:ascii="Times New Roman" w:hAnsi="Times New Roman" w:eastAsia="宋体" w:cs="Times New Roman"/>
                <w:i w:val="0"/>
                <w:iCs w:val="0"/>
                <w:color w:val="auto"/>
                <w:kern w:val="0"/>
                <w:sz w:val="21"/>
                <w:szCs w:val="21"/>
                <w:u w:val="none"/>
                <w:lang w:val="en-US" w:eastAsia="zh-CN" w:bidi="ar"/>
              </w:rPr>
              <w:t>仲兴居</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33°28′8″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117°17′47″</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2008</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仲兴水利水厂6井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仲兴镇</w:t>
            </w:r>
            <w:r>
              <w:rPr>
                <w:rFonts w:hint="default" w:ascii="Times New Roman" w:hAnsi="Times New Roman" w:eastAsia="宋体" w:cs="Times New Roman"/>
                <w:i w:val="0"/>
                <w:iCs w:val="0"/>
                <w:color w:val="auto"/>
                <w:kern w:val="0"/>
                <w:sz w:val="21"/>
                <w:szCs w:val="21"/>
                <w:u w:val="none"/>
                <w:lang w:val="en-US" w:eastAsia="zh-CN" w:bidi="ar"/>
              </w:rPr>
              <w:t>仲兴居</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33°28′18″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117°17′47″</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2008</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仲兴水利水厂7井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仲兴镇</w:t>
            </w:r>
            <w:r>
              <w:rPr>
                <w:rFonts w:hint="default" w:ascii="Times New Roman" w:hAnsi="Times New Roman" w:eastAsia="宋体" w:cs="Times New Roman"/>
                <w:i w:val="0"/>
                <w:iCs w:val="0"/>
                <w:color w:val="auto"/>
                <w:kern w:val="0"/>
                <w:sz w:val="21"/>
                <w:szCs w:val="21"/>
                <w:u w:val="none"/>
                <w:lang w:val="en-US" w:eastAsia="zh-CN" w:bidi="ar"/>
              </w:rPr>
              <w:t>仲兴居</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33°27′41″</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117°18′6″</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2019</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仲兴张巷水厂1井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仲兴镇</w:t>
            </w:r>
            <w:r>
              <w:rPr>
                <w:rFonts w:hint="default" w:ascii="Times New Roman" w:hAnsi="Times New Roman" w:eastAsia="宋体" w:cs="Times New Roman"/>
                <w:i w:val="0"/>
                <w:iCs w:val="0"/>
                <w:color w:val="auto"/>
                <w:kern w:val="0"/>
                <w:sz w:val="21"/>
                <w:szCs w:val="21"/>
                <w:u w:val="none"/>
                <w:lang w:val="en-US" w:eastAsia="zh-CN" w:bidi="ar"/>
              </w:rPr>
              <w:t>张巷村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33°24′37″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117°20′42″</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2008</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仲兴张巷水厂2井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仲兴镇</w:t>
            </w:r>
            <w:r>
              <w:rPr>
                <w:rFonts w:hint="default" w:ascii="Times New Roman" w:hAnsi="Times New Roman" w:eastAsia="宋体" w:cs="Times New Roman"/>
                <w:i w:val="0"/>
                <w:iCs w:val="0"/>
                <w:color w:val="auto"/>
                <w:kern w:val="0"/>
                <w:sz w:val="21"/>
                <w:szCs w:val="21"/>
                <w:u w:val="none"/>
                <w:lang w:val="en-US" w:eastAsia="zh-CN" w:bidi="ar"/>
              </w:rPr>
              <w:t>张巷村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33°24′33″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117°20′42″</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2008</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仲兴张巷水厂3井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仲兴镇</w:t>
            </w:r>
            <w:r>
              <w:rPr>
                <w:rFonts w:hint="default" w:ascii="Times New Roman" w:hAnsi="Times New Roman" w:eastAsia="宋体" w:cs="Times New Roman"/>
                <w:i w:val="0"/>
                <w:iCs w:val="0"/>
                <w:color w:val="auto"/>
                <w:kern w:val="0"/>
                <w:sz w:val="21"/>
                <w:szCs w:val="21"/>
                <w:u w:val="none"/>
                <w:lang w:val="en-US" w:eastAsia="zh-CN" w:bidi="ar"/>
              </w:rPr>
              <w:t>张巷村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33°24′41″</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117°2042″</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2008</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湖沟水厂</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湖沟水厂1井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湖沟镇兰石居</w:t>
            </w:r>
          </w:p>
        </w:tc>
        <w:tc>
          <w:tcPr>
            <w:tcW w:w="1391"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270.83</w:t>
            </w:r>
          </w:p>
        </w:tc>
        <w:tc>
          <w:tcPr>
            <w:tcW w:w="1137"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56191</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33°21′37″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117°8′51″</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2013</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湖沟水厂2井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湖沟镇兰石居</w:t>
            </w:r>
          </w:p>
        </w:tc>
        <w:tc>
          <w:tcPr>
            <w:tcW w:w="1391"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33°21′35″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117°8′58″</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2013</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湖沟水厂3井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湖沟镇兰石居</w:t>
            </w:r>
          </w:p>
        </w:tc>
        <w:tc>
          <w:tcPr>
            <w:tcW w:w="1391"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33°21′26″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117°8′56″</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2013</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湖沟水厂4井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湖沟镇兰石居</w:t>
            </w:r>
          </w:p>
        </w:tc>
        <w:tc>
          <w:tcPr>
            <w:tcW w:w="1391"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33°21′36″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117°7′55″</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2019</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湖沟水厂5井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湖沟镇兰石居</w:t>
            </w:r>
          </w:p>
        </w:tc>
        <w:tc>
          <w:tcPr>
            <w:tcW w:w="1391"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33°21′32″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117°8′15″</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2019</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瓦疃水厂1井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湖沟镇瓦疃居</w:t>
            </w:r>
          </w:p>
        </w:tc>
        <w:tc>
          <w:tcPr>
            <w:tcW w:w="1391"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33°17′14″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117°7′22″</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2013</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瓦疃水厂2井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湖沟镇瓦疃居</w:t>
            </w:r>
          </w:p>
        </w:tc>
        <w:tc>
          <w:tcPr>
            <w:tcW w:w="1391"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33°17′13″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117°7′22″</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2013</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瓦疃水厂3井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湖沟镇瓦疃居</w:t>
            </w:r>
          </w:p>
        </w:tc>
        <w:tc>
          <w:tcPr>
            <w:tcW w:w="1391"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33°17′14″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117°7′21″</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2013</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瓦疃水厂4井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湖沟镇瓦疃居</w:t>
            </w:r>
          </w:p>
        </w:tc>
        <w:tc>
          <w:tcPr>
            <w:tcW w:w="1391"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33°19′1″</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117°6′23″</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2013</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瓦疃水厂5井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湖沟镇瓦疃居</w:t>
            </w:r>
          </w:p>
        </w:tc>
        <w:tc>
          <w:tcPr>
            <w:tcW w:w="1391"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33°19′1″</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117°6′23″</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2019</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瓦疃水厂6井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湖沟镇瓦疃居</w:t>
            </w:r>
          </w:p>
        </w:tc>
        <w:tc>
          <w:tcPr>
            <w:tcW w:w="1391"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33°19′1″</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117°6′23″</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2019</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湖沟魏庙水厂1井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湖沟镇魏庙村</w:t>
            </w:r>
          </w:p>
        </w:tc>
        <w:tc>
          <w:tcPr>
            <w:tcW w:w="1391"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33°23′1″</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117°4′23″</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2019</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湖沟魏庙水厂2井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湖沟镇魏庙村</w:t>
            </w:r>
          </w:p>
        </w:tc>
        <w:tc>
          <w:tcPr>
            <w:tcW w:w="1391"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117°4′14″</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2014</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湖沟魏庙水厂3井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湖沟镇魏庙村</w:t>
            </w:r>
          </w:p>
        </w:tc>
        <w:tc>
          <w:tcPr>
            <w:tcW w:w="1391"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nil"/>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33°23′0″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117°4′16″</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2014</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王庄水厂</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王庄街道水厂1井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王庄镇镇北居</w:t>
            </w:r>
          </w:p>
        </w:tc>
        <w:tc>
          <w:tcPr>
            <w:tcW w:w="1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41.6</w:t>
            </w:r>
          </w:p>
        </w:tc>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11000</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33°5′51″</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117°27′59″</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2012</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王庄街道水厂2井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王庄镇镇北居</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33°5′45″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117°27′48″</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2012</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王庄街道水厂3井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王庄镇镇北居</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33°5′52″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117°27′56″</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2016</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王庄陈渡水厂</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王庄陈渡水厂1井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王庄镇陈渡村</w:t>
            </w:r>
          </w:p>
        </w:tc>
        <w:tc>
          <w:tcPr>
            <w:tcW w:w="1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32024</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33°9′22″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117°28′49″</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2014</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王庄陈渡水厂2井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王庄镇陈渡村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33°9′22″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117°28′50″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2014</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王庄陈渡水厂3井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王庄镇陈渡村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33°9′20″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117°28′47″</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2014</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王庄陈渡水厂4井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王庄镇陈渡村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33°9′20″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117°28′47″</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2019</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刘集腾达水厂</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刘集水厂1井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刘集镇刘集居</w:t>
            </w:r>
          </w:p>
        </w:tc>
        <w:tc>
          <w:tcPr>
            <w:tcW w:w="1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291.66</w:t>
            </w:r>
          </w:p>
        </w:tc>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6732</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33°13′42″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117°28′33″</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2010</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刘集水厂2井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刘集镇刘集居</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33°13′46″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117°28′13″</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2010</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刘集水厂3井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刘集镇刘集居</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33°13′34″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117°28′17″</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2010</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刘集水厂4井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刘集镇刘集居</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33°13′45″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117°28′24″</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2010</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刘集腾达水厂5井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刘集镇刘集居</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33°13′54″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117°28′21″</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2020</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新马桥水厂</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新马桥水厂1井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新马桥镇磨盘张村</w:t>
            </w:r>
          </w:p>
        </w:tc>
        <w:tc>
          <w:tcPr>
            <w:tcW w:w="1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195.8</w:t>
            </w:r>
          </w:p>
        </w:tc>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46027</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33°6′45″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117°21′53″</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新马桥水厂2井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新马桥镇磨盘张村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33°6′17″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117°21′59″</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新马桥水厂3井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新马桥镇磨盘张村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33°6′19″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117°22′8″</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新马桥怀洪水厂1井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新马桥镇胡洼村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33°11′21″</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117°19′36″</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新马桥怀洪水厂2井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新马桥镇胡洼村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33°11′41″</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117°19′23″</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杨庙乔店水厂</w:t>
            </w: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杨庙乔店水厂1井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杨庙镇</w:t>
            </w:r>
            <w:r>
              <w:rPr>
                <w:rFonts w:hint="default" w:ascii="Times New Roman" w:hAnsi="Times New Roman" w:eastAsia="宋体" w:cs="Times New Roman"/>
                <w:i w:val="0"/>
                <w:iCs w:val="0"/>
                <w:color w:val="auto"/>
                <w:kern w:val="0"/>
                <w:sz w:val="21"/>
                <w:szCs w:val="21"/>
                <w:u w:val="none"/>
                <w:lang w:val="en-US" w:eastAsia="zh-CN" w:bidi="ar"/>
              </w:rPr>
              <w:t>乔店村</w:t>
            </w:r>
          </w:p>
        </w:tc>
        <w:tc>
          <w:tcPr>
            <w:tcW w:w="1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262.5</w:t>
            </w:r>
          </w:p>
        </w:tc>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75905</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33°13′52″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117°15′31″</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2013</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杨庙乔店水厂2井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杨庙镇</w:t>
            </w:r>
            <w:r>
              <w:rPr>
                <w:rFonts w:hint="default" w:ascii="Times New Roman" w:hAnsi="Times New Roman" w:eastAsia="宋体" w:cs="Times New Roman"/>
                <w:i w:val="0"/>
                <w:iCs w:val="0"/>
                <w:color w:val="auto"/>
                <w:kern w:val="0"/>
                <w:sz w:val="21"/>
                <w:szCs w:val="21"/>
                <w:u w:val="none"/>
                <w:lang w:val="en-US" w:eastAsia="zh-CN" w:bidi="ar"/>
              </w:rPr>
              <w:t>乔店村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33°13′52″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117°15′31″</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2013</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杨庙乔店水厂3井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杨庙镇</w:t>
            </w:r>
            <w:r>
              <w:rPr>
                <w:rFonts w:hint="default" w:ascii="Times New Roman" w:hAnsi="Times New Roman" w:eastAsia="宋体" w:cs="Times New Roman"/>
                <w:i w:val="0"/>
                <w:iCs w:val="0"/>
                <w:color w:val="auto"/>
                <w:kern w:val="0"/>
                <w:sz w:val="21"/>
                <w:szCs w:val="21"/>
                <w:u w:val="none"/>
                <w:lang w:val="en-US" w:eastAsia="zh-CN" w:bidi="ar"/>
              </w:rPr>
              <w:t>乔店村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33°13′59″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117°15′41″</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2013</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杨庙乔店水厂4井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杨庙镇</w:t>
            </w:r>
            <w:r>
              <w:rPr>
                <w:rFonts w:hint="default" w:ascii="Times New Roman" w:hAnsi="Times New Roman" w:eastAsia="宋体" w:cs="Times New Roman"/>
                <w:i w:val="0"/>
                <w:iCs w:val="0"/>
                <w:color w:val="auto"/>
                <w:kern w:val="0"/>
                <w:sz w:val="21"/>
                <w:szCs w:val="21"/>
                <w:u w:val="none"/>
                <w:lang w:val="en-US" w:eastAsia="zh-CN" w:bidi="ar"/>
              </w:rPr>
              <w:t>乔店村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33°14′07″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117°15′30″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2013</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73</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杨庙乔店水厂5井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杨庙镇</w:t>
            </w:r>
            <w:r>
              <w:rPr>
                <w:rFonts w:hint="default" w:ascii="Times New Roman" w:hAnsi="Times New Roman" w:eastAsia="宋体" w:cs="Times New Roman"/>
                <w:i w:val="0"/>
                <w:iCs w:val="0"/>
                <w:color w:val="auto"/>
                <w:kern w:val="0"/>
                <w:sz w:val="21"/>
                <w:szCs w:val="21"/>
                <w:u w:val="none"/>
                <w:lang w:val="en-US" w:eastAsia="zh-CN" w:bidi="ar"/>
              </w:rPr>
              <w:t>乔店村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33°13′58″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117°15′33″</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杨庙乔店水厂6井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杨庙镇</w:t>
            </w:r>
            <w:r>
              <w:rPr>
                <w:rFonts w:hint="default" w:ascii="Times New Roman" w:hAnsi="Times New Roman" w:eastAsia="宋体" w:cs="Times New Roman"/>
                <w:i w:val="0"/>
                <w:iCs w:val="0"/>
                <w:color w:val="auto"/>
                <w:kern w:val="0"/>
                <w:sz w:val="21"/>
                <w:szCs w:val="21"/>
                <w:u w:val="none"/>
                <w:lang w:val="en-US" w:eastAsia="zh-CN" w:bidi="ar"/>
              </w:rPr>
              <w:t>乔店村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33°13′47″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117°15′30″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杨庙乔店水厂7井</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杨庙镇</w:t>
            </w:r>
            <w:r>
              <w:rPr>
                <w:rFonts w:hint="default" w:ascii="Times New Roman" w:hAnsi="Times New Roman" w:eastAsia="宋体" w:cs="Times New Roman"/>
                <w:i w:val="0"/>
                <w:iCs w:val="0"/>
                <w:color w:val="auto"/>
                <w:kern w:val="0"/>
                <w:sz w:val="21"/>
                <w:szCs w:val="21"/>
                <w:u w:val="none"/>
                <w:lang w:val="en-US" w:eastAsia="zh-CN" w:bidi="ar"/>
              </w:rPr>
              <w:t>乔店村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33°13′47″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117°15′30″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2019</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76</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杨庙乔店水厂8井</w:t>
            </w:r>
          </w:p>
        </w:tc>
        <w:tc>
          <w:tcPr>
            <w:tcW w:w="192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杨庙镇</w:t>
            </w:r>
            <w:r>
              <w:rPr>
                <w:rFonts w:hint="default" w:ascii="Times New Roman" w:hAnsi="Times New Roman" w:eastAsia="宋体" w:cs="Times New Roman"/>
                <w:i w:val="0"/>
                <w:iCs w:val="0"/>
                <w:color w:val="auto"/>
                <w:kern w:val="0"/>
                <w:sz w:val="21"/>
                <w:szCs w:val="21"/>
                <w:u w:val="none"/>
                <w:lang w:val="en-US" w:eastAsia="zh-CN" w:bidi="ar"/>
              </w:rPr>
              <w:t>乔店村</w:t>
            </w: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33°13′56″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117°15′36″</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2019</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77</w:t>
            </w:r>
          </w:p>
        </w:tc>
        <w:tc>
          <w:tcPr>
            <w:tcW w:w="1319"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2625"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杨庙乔店水厂9井</w:t>
            </w:r>
          </w:p>
        </w:tc>
        <w:tc>
          <w:tcPr>
            <w:tcW w:w="1929"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杨庙镇</w:t>
            </w:r>
            <w:r>
              <w:rPr>
                <w:rFonts w:hint="default" w:ascii="Times New Roman" w:hAnsi="Times New Roman" w:eastAsia="宋体" w:cs="Times New Roman"/>
                <w:i w:val="0"/>
                <w:iCs w:val="0"/>
                <w:color w:val="auto"/>
                <w:kern w:val="0"/>
                <w:sz w:val="21"/>
                <w:szCs w:val="21"/>
                <w:u w:val="none"/>
                <w:lang w:val="en-US" w:eastAsia="zh-CN" w:bidi="ar"/>
              </w:rPr>
              <w:t>乔店村</w:t>
            </w:r>
          </w:p>
        </w:tc>
        <w:tc>
          <w:tcPr>
            <w:tcW w:w="1391"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auto"/>
                <w:sz w:val="21"/>
                <w:szCs w:val="21"/>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33°14′3″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117°15′22″</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2019</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w:t>
            </w:r>
          </w:p>
        </w:tc>
      </w:tr>
    </w:tbl>
    <w:p>
      <w:pPr>
        <w:pStyle w:val="13"/>
        <w:rPr>
          <w:rFonts w:hint="default"/>
          <w:color w:val="auto"/>
          <w:lang w:val="en-US" w:eastAsia="zh-CN"/>
        </w:rPr>
      </w:pPr>
    </w:p>
    <w:p>
      <w:pPr>
        <w:pStyle w:val="13"/>
        <w:rPr>
          <w:rFonts w:hint="default"/>
          <w:color w:val="auto"/>
          <w:lang w:val="en-US" w:eastAsia="zh-CN"/>
        </w:rPr>
        <w:sectPr>
          <w:pgSz w:w="16838" w:h="11906" w:orient="landscape"/>
          <w:pgMar w:top="1800" w:right="1440" w:bottom="1800" w:left="1440" w:header="851" w:footer="992" w:gutter="0"/>
          <w:pgNumType w:fmt="decimal"/>
          <w:cols w:space="425" w:num="1"/>
          <w:docGrid w:type="lines" w:linePitch="312" w:charSpace="0"/>
        </w:sectPr>
      </w:pPr>
    </w:p>
    <w:p>
      <w:pPr>
        <w:rPr>
          <w:rFonts w:hint="default"/>
          <w:color w:val="auto"/>
          <w:lang w:val="en-US" w:eastAsia="zh-CN"/>
        </w:rPr>
      </w:pP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0" w:leftChars="0"/>
        <w:textAlignment w:val="auto"/>
        <w:outlineLvl w:val="1"/>
        <w:rPr>
          <w:rFonts w:hint="default" w:ascii="Arial" w:hAnsi="Arial" w:eastAsia="黑体" w:cstheme="minorBidi"/>
          <w:b/>
          <w:color w:val="auto"/>
          <w:kern w:val="2"/>
          <w:sz w:val="32"/>
          <w:szCs w:val="24"/>
          <w:lang w:val="en-US" w:eastAsia="zh-CN" w:bidi="ar-SA"/>
        </w:rPr>
      </w:pPr>
      <w:bookmarkStart w:id="25" w:name="_Toc29281"/>
      <w:bookmarkStart w:id="26" w:name="_Toc5537"/>
      <w:bookmarkStart w:id="27" w:name="_Toc15799"/>
      <w:r>
        <w:rPr>
          <w:rFonts w:hint="default"/>
          <w:color w:val="auto"/>
          <w:lang w:val="en-US" w:eastAsia="zh-CN"/>
        </w:rPr>
        <w:t>1.5 规划编制的目的和意义</w:t>
      </w:r>
      <w:bookmarkEnd w:id="25"/>
      <w:bookmarkEnd w:id="26"/>
      <w:bookmarkEnd w:id="27"/>
      <w:r>
        <w:rPr>
          <w:rFonts w:hint="default" w:ascii="Arial" w:hAnsi="Arial" w:eastAsia="黑体" w:cstheme="minorBidi"/>
          <w:b/>
          <w:color w:val="auto"/>
          <w:kern w:val="2"/>
          <w:sz w:val="32"/>
          <w:szCs w:val="24"/>
          <w:lang w:val="en-US" w:eastAsia="zh-CN" w:bidi="ar-SA"/>
        </w:rPr>
        <w:t xml:space="preserve"> </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en-US" w:eastAsia="zh-CN"/>
        </w:rPr>
        <w:t>通过对2020年固镇县畜禽养殖业现状的全面调查并结合未来发展状况和趋势的基础上，根据相关法律法规及政策，划定禁养区。</w:t>
      </w:r>
      <w:r>
        <w:rPr>
          <w:rFonts w:hint="eastAsia" w:eastAsia="仿宋_GB2312"/>
          <w:color w:val="auto"/>
          <w:kern w:val="0"/>
          <w:sz w:val="30"/>
          <w:szCs w:val="30"/>
          <w:lang w:val="zh-CN" w:eastAsia="zh-CN"/>
        </w:rPr>
        <w:t>按区域环境容量合理调整和优化畜禽养殖业结构、布局和规模，按照建设项目环境管理有关规定和规划定点要求规范禽畜养殖场建设，加强对畜禽养殖污染防治的环境管理，促进</w:t>
      </w:r>
      <w:r>
        <w:rPr>
          <w:rFonts w:hint="eastAsia" w:eastAsia="仿宋_GB2312"/>
          <w:color w:val="auto"/>
          <w:kern w:val="0"/>
          <w:sz w:val="30"/>
          <w:szCs w:val="30"/>
          <w:lang w:val="en-US" w:eastAsia="zh-CN"/>
        </w:rPr>
        <w:t>固镇</w:t>
      </w:r>
      <w:r>
        <w:rPr>
          <w:rFonts w:hint="eastAsia" w:eastAsia="仿宋_GB2312"/>
          <w:color w:val="auto"/>
          <w:kern w:val="0"/>
          <w:sz w:val="30"/>
          <w:szCs w:val="30"/>
          <w:lang w:val="zh-CN" w:eastAsia="zh-CN"/>
        </w:rPr>
        <w:t>县畜禽养殖业稳定、健康、持续发展。</w:t>
      </w:r>
    </w:p>
    <w:p>
      <w:pPr>
        <w:ind w:firstLine="600" w:firstLineChars="200"/>
        <w:rPr>
          <w:rFonts w:ascii="宋体" w:hAnsi="宋体" w:eastAsia="宋体" w:cs="宋体"/>
          <w:color w:val="auto"/>
          <w:spacing w:val="-5"/>
          <w:sz w:val="28"/>
          <w:szCs w:val="28"/>
          <w:lang w:val="zh-CN" w:eastAsia="zh-CN" w:bidi="zh-CN"/>
        </w:rPr>
      </w:pPr>
      <w:r>
        <w:rPr>
          <w:rFonts w:hint="eastAsia" w:eastAsia="仿宋_GB2312"/>
          <w:color w:val="auto"/>
          <w:kern w:val="0"/>
          <w:sz w:val="30"/>
          <w:szCs w:val="30"/>
          <w:lang w:val="zh-CN" w:eastAsia="zh-CN"/>
        </w:rPr>
        <w:t>本规划的编制有利于加强对</w:t>
      </w:r>
      <w:r>
        <w:rPr>
          <w:rFonts w:hint="eastAsia" w:eastAsia="仿宋_GB2312"/>
          <w:color w:val="auto"/>
          <w:kern w:val="0"/>
          <w:sz w:val="30"/>
          <w:szCs w:val="30"/>
          <w:lang w:val="en-US" w:eastAsia="zh-CN"/>
        </w:rPr>
        <w:t>固镇</w:t>
      </w:r>
      <w:r>
        <w:rPr>
          <w:rFonts w:hint="eastAsia" w:eastAsia="仿宋_GB2312"/>
          <w:color w:val="auto"/>
          <w:kern w:val="0"/>
          <w:sz w:val="30"/>
          <w:szCs w:val="30"/>
          <w:lang w:val="zh-CN" w:eastAsia="zh-CN"/>
        </w:rPr>
        <w:t>县畜禽养殖业的环境监管和工作指导，建立畜禽养殖业环境管理体系，将畜禽养殖业污染防治纳入本地区环境保护规划中，对违反国家法律法规和有关规定的行为进行查处；有利于在制定畜禽养殖业发展规划时，将畜禽养殖业污染防治作为一项重要内容，使规模化养殖场基本实现污染物达标排放和总量控制；有利于探索符合当地实际的畜禽养殖污染综合防治措施，结合生态农业建设及无公害农产品、绿色食品和有机食品的发展，实行综合利用优先，资源化、无害化和减量化的原则，推行清洁生产，不断提高畜禽养殖管理和污染防治水平；有利于当地生态环境改善，保障人民群众身体健康，促进</w:t>
      </w:r>
      <w:r>
        <w:rPr>
          <w:rFonts w:hint="eastAsia" w:eastAsia="仿宋_GB2312"/>
          <w:color w:val="auto"/>
          <w:kern w:val="0"/>
          <w:sz w:val="30"/>
          <w:szCs w:val="30"/>
          <w:lang w:val="en-US" w:eastAsia="zh-CN"/>
        </w:rPr>
        <w:t>固镇</w:t>
      </w:r>
      <w:r>
        <w:rPr>
          <w:rFonts w:hint="eastAsia" w:eastAsia="仿宋_GB2312"/>
          <w:color w:val="auto"/>
          <w:kern w:val="0"/>
          <w:sz w:val="30"/>
          <w:szCs w:val="30"/>
          <w:lang w:val="zh-CN" w:eastAsia="zh-CN"/>
        </w:rPr>
        <w:t>县农村经济可持续发展</w:t>
      </w:r>
      <w:r>
        <w:rPr>
          <w:rFonts w:ascii="宋体" w:hAnsi="宋体" w:eastAsia="宋体" w:cs="宋体"/>
          <w:color w:val="auto"/>
          <w:spacing w:val="-5"/>
          <w:sz w:val="28"/>
          <w:szCs w:val="28"/>
          <w:lang w:val="zh-CN" w:eastAsia="zh-CN" w:bidi="zh-CN"/>
        </w:rPr>
        <w:t>。</w:t>
      </w:r>
    </w:p>
    <w:p>
      <w:pPr>
        <w:rPr>
          <w:rFonts w:hint="default"/>
          <w:color w:val="auto"/>
          <w:lang w:val="en-US" w:eastAsia="zh-CN"/>
        </w:rPr>
      </w:pPr>
      <w:r>
        <w:rPr>
          <w:rFonts w:hint="default"/>
          <w:color w:val="auto"/>
          <w:lang w:val="en-US" w:eastAsia="zh-CN"/>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eastAsiaTheme="minorEastAsia"/>
          <w:color w:val="auto"/>
          <w:lang w:val="en-US" w:eastAsia="zh-CN"/>
        </w:rPr>
      </w:pPr>
      <w:bookmarkStart w:id="28" w:name="_Toc23801"/>
      <w:bookmarkStart w:id="29" w:name="_Toc22122"/>
      <w:bookmarkStart w:id="30" w:name="_Toc3068"/>
      <w:r>
        <w:rPr>
          <w:rFonts w:hint="default"/>
          <w:color w:val="auto"/>
          <w:lang w:val="en-US" w:eastAsia="zh-CN"/>
        </w:rPr>
        <w:t>2</w:t>
      </w:r>
      <w:r>
        <w:rPr>
          <w:rFonts w:hint="eastAsia"/>
          <w:color w:val="auto"/>
          <w:lang w:val="en-US" w:eastAsia="zh-CN"/>
        </w:rPr>
        <w:t>、</w:t>
      </w:r>
      <w:bookmarkEnd w:id="28"/>
      <w:bookmarkEnd w:id="29"/>
      <w:r>
        <w:rPr>
          <w:rFonts w:hint="eastAsia"/>
          <w:color w:val="auto"/>
          <w:lang w:val="en-US" w:eastAsia="zh-CN"/>
        </w:rPr>
        <w:t>区域概况</w:t>
      </w:r>
      <w:bookmarkEnd w:id="30"/>
    </w:p>
    <w:p>
      <w:pPr>
        <w:pStyle w:val="5"/>
        <w:rPr>
          <w:rFonts w:hint="default"/>
          <w:color w:val="auto"/>
          <w:lang w:val="en-US" w:eastAsia="zh-CN"/>
        </w:rPr>
      </w:pPr>
      <w:bookmarkStart w:id="31" w:name="_Toc1955"/>
      <w:bookmarkStart w:id="32" w:name="_Toc15138"/>
      <w:bookmarkStart w:id="33" w:name="_Toc7772"/>
      <w:r>
        <w:rPr>
          <w:rFonts w:hint="default"/>
          <w:color w:val="auto"/>
          <w:lang w:val="en-US" w:eastAsia="zh-CN"/>
        </w:rPr>
        <w:t xml:space="preserve">2.1 </w:t>
      </w:r>
      <w:bookmarkEnd w:id="31"/>
      <w:bookmarkEnd w:id="32"/>
      <w:r>
        <w:rPr>
          <w:rFonts w:hint="eastAsia"/>
          <w:color w:val="auto"/>
          <w:lang w:val="en-US" w:eastAsia="zh-CN"/>
        </w:rPr>
        <w:t>自然气候条件</w:t>
      </w:r>
      <w:bookmarkEnd w:id="33"/>
      <w:r>
        <w:rPr>
          <w:rFonts w:hint="default"/>
          <w:color w:val="auto"/>
          <w:lang w:val="en-US" w:eastAsia="zh-CN"/>
        </w:rPr>
        <w:t xml:space="preserve"> </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lang w:val="en-US" w:eastAsia="zh-CN"/>
        </w:rPr>
      </w:pPr>
      <w:bookmarkStart w:id="34" w:name="_Toc31649"/>
      <w:r>
        <w:rPr>
          <w:rFonts w:hint="default"/>
          <w:color w:val="auto"/>
          <w:lang w:val="en-US" w:eastAsia="zh-CN"/>
        </w:rPr>
        <w:t xml:space="preserve">2.1.1 </w:t>
      </w:r>
      <w:r>
        <w:rPr>
          <w:rFonts w:hint="eastAsia"/>
          <w:color w:val="auto"/>
          <w:lang w:val="en-US" w:eastAsia="zh-CN"/>
        </w:rPr>
        <w:t>地理位置</w:t>
      </w:r>
      <w:bookmarkEnd w:id="34"/>
      <w:r>
        <w:rPr>
          <w:rFonts w:hint="eastAsia"/>
          <w:color w:val="auto"/>
          <w:lang w:val="en-US" w:eastAsia="zh-CN"/>
        </w:rPr>
        <w:t xml:space="preserve"> </w:t>
      </w:r>
    </w:p>
    <w:p>
      <w:pPr>
        <w:spacing w:line="360" w:lineRule="auto"/>
        <w:ind w:firstLine="600" w:firstLineChars="200"/>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固镇县隶属于安徽省蚌埠市，位于安徽省东北部，淮河中游北岸，地处北纬33°10′-33°30′、东经117°02′-117°36′之间，1965年7月建县，面积1363平方公里，人口66.38万，耕地143.42万亩，现辖11个乡镇，228个村（居）。县城规划面积38.5平方公里，建成区面积19.7平方公里，城区人口约18万人。</w:t>
      </w:r>
    </w:p>
    <w:p>
      <w:pPr>
        <w:pStyle w:val="6"/>
        <w:bidi w:val="0"/>
        <w:spacing w:before="0" w:after="0" w:line="240" w:lineRule="auto"/>
        <w:rPr>
          <w:rFonts w:hint="eastAsia"/>
          <w:color w:val="auto"/>
          <w:lang w:val="en-US" w:eastAsia="zh-CN"/>
        </w:rPr>
      </w:pPr>
      <w:bookmarkStart w:id="35" w:name="_Toc12578"/>
      <w:r>
        <w:rPr>
          <w:rFonts w:hint="default"/>
          <w:color w:val="auto"/>
          <w:lang w:val="en-US" w:eastAsia="zh-CN"/>
        </w:rPr>
        <w:t xml:space="preserve">2.1.2 </w:t>
      </w:r>
      <w:r>
        <w:rPr>
          <w:rFonts w:hint="eastAsia"/>
          <w:color w:val="auto"/>
          <w:lang w:val="en-US" w:eastAsia="zh-CN"/>
        </w:rPr>
        <w:t>地形地质地貌</w:t>
      </w:r>
      <w:bookmarkEnd w:id="35"/>
      <w:r>
        <w:rPr>
          <w:rFonts w:hint="eastAsia"/>
          <w:color w:val="auto"/>
          <w:lang w:val="en-US" w:eastAsia="zh-CN"/>
        </w:rPr>
        <w:t xml:space="preserve"> </w:t>
      </w:r>
    </w:p>
    <w:p>
      <w:pPr>
        <w:spacing w:line="360" w:lineRule="auto"/>
        <w:ind w:firstLine="600" w:firstLineChars="200"/>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固镇县由于受黄河泛滥的影响，形成潮土类型。河间平原受黄水浸淹较重，PH值由6.5左右上升到7.5左右；沿河缓坡地带地势相对较高，受黄泛浸蚀较弱，PH值变化微弱，仍在6.7～7.5之间，保持着棕壤的特点。</w:t>
      </w:r>
    </w:p>
    <w:p>
      <w:pPr>
        <w:spacing w:line="360" w:lineRule="auto"/>
        <w:ind w:firstLine="600" w:firstLineChars="200"/>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固镇县土壤的成土母质，主要是黄土性古河流沉积物，其次为黄泛沉积物，黄土性古河流沉积物起初富含碳酸钙，在漫长的成土过程中，碳酸钙被淋到底层。这种沉积物分选作用很不明显，多为重壤。黄泛沉积物则是黄河夺淮后因黄水泛滥而沉积的。这种沉积物分选作用强，沿河按紧沙慢淤的规律分布，碳酸钙含量在10%以上。</w:t>
      </w:r>
    </w:p>
    <w:p>
      <w:pPr>
        <w:spacing w:line="360" w:lineRule="auto"/>
        <w:ind w:firstLine="600" w:firstLineChars="200"/>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固镇县海拔高度为22.5～16.0米，地势以1/10000的自然坡降度自西北向东南倾斜，因受河水浸蚀的影响，境内形成一种河口较低河岸较高、河间微凸的地形。全县1363平方千米的土地可分为湖地、湾地和岗坡地3种类型。</w:t>
      </w:r>
    </w:p>
    <w:p>
      <w:pPr>
        <w:pStyle w:val="6"/>
        <w:bidi w:val="0"/>
        <w:rPr>
          <w:rFonts w:hint="eastAsia"/>
          <w:color w:val="auto"/>
          <w:lang w:eastAsia="zh-CN"/>
        </w:rPr>
      </w:pPr>
      <w:bookmarkStart w:id="36" w:name="_Toc21474"/>
      <w:r>
        <w:rPr>
          <w:rFonts w:hint="default"/>
          <w:color w:val="auto"/>
          <w:lang w:val="en-US" w:eastAsia="zh-CN"/>
        </w:rPr>
        <w:t xml:space="preserve">2.1.3 </w:t>
      </w:r>
      <w:r>
        <w:rPr>
          <w:rFonts w:hint="eastAsia"/>
          <w:color w:val="auto"/>
          <w:lang w:val="en-US" w:eastAsia="zh-CN"/>
        </w:rPr>
        <w:t>气候气象</w:t>
      </w:r>
      <w:bookmarkEnd w:id="36"/>
      <w:r>
        <w:rPr>
          <w:rFonts w:hint="eastAsia"/>
          <w:color w:val="auto"/>
          <w:lang w:eastAsia="zh-CN"/>
        </w:rPr>
        <w:t xml:space="preserve"> </w:t>
      </w:r>
    </w:p>
    <w:p>
      <w:pPr>
        <w:spacing w:line="360" w:lineRule="auto"/>
        <w:ind w:firstLine="600" w:firstLineChars="200"/>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固镇县气候属亚热带和暖温带过渡带，气候兼有南北之长，四季分明，光照充足，年平均气温14.9℃，降雨量871毫米，日照2170小时。</w:t>
      </w:r>
    </w:p>
    <w:p>
      <w:pPr>
        <w:pStyle w:val="6"/>
        <w:bidi w:val="0"/>
        <w:rPr>
          <w:rFonts w:hint="default"/>
          <w:color w:val="auto"/>
          <w:lang w:val="en-US" w:eastAsia="zh-CN"/>
        </w:rPr>
      </w:pPr>
      <w:bookmarkStart w:id="37" w:name="_Toc24162"/>
      <w:r>
        <w:rPr>
          <w:rFonts w:hint="eastAsia"/>
          <w:color w:val="auto"/>
          <w:lang w:val="en-US" w:eastAsia="zh-CN"/>
        </w:rPr>
        <w:t>2.1.4</w:t>
      </w:r>
      <w:r>
        <w:rPr>
          <w:rFonts w:hint="default"/>
          <w:color w:val="auto"/>
          <w:lang w:val="en-US" w:eastAsia="zh-CN"/>
        </w:rPr>
        <w:t>地表水资源</w:t>
      </w:r>
      <w:bookmarkEnd w:id="37"/>
    </w:p>
    <w:p>
      <w:pPr>
        <w:spacing w:line="360" w:lineRule="auto"/>
        <w:ind w:firstLine="600" w:firstLineChars="200"/>
        <w:rPr>
          <w:rFonts w:hint="eastAsia" w:eastAsia="仿宋_GB2312"/>
          <w:color w:val="auto"/>
          <w:kern w:val="0"/>
          <w:sz w:val="30"/>
          <w:szCs w:val="30"/>
          <w:lang w:val="en-US" w:eastAsia="zh-CN"/>
        </w:rPr>
      </w:pPr>
      <w:r>
        <w:rPr>
          <w:rFonts w:hint="default" w:eastAsia="仿宋_GB2312"/>
          <w:color w:val="auto"/>
          <w:kern w:val="0"/>
          <w:sz w:val="30"/>
          <w:szCs w:val="30"/>
          <w:lang w:val="en-US" w:eastAsia="zh-CN"/>
        </w:rPr>
        <w:t>固镇县地表水系较发育，区内河流属淮河洪泽湖水系，自北向南依次分布有沱河、浍河、澥河、北淝河</w:t>
      </w:r>
      <w:r>
        <w:rPr>
          <w:rFonts w:hint="eastAsia" w:eastAsia="仿宋_GB2312"/>
          <w:color w:val="auto"/>
          <w:kern w:val="0"/>
          <w:sz w:val="30"/>
          <w:szCs w:val="30"/>
          <w:lang w:val="en-US" w:eastAsia="zh-CN"/>
        </w:rPr>
        <w:t>、</w:t>
      </w:r>
      <w:r>
        <w:rPr>
          <w:rFonts w:hint="default" w:eastAsia="仿宋_GB2312"/>
          <w:color w:val="auto"/>
          <w:kern w:val="0"/>
          <w:sz w:val="30"/>
          <w:szCs w:val="30"/>
          <w:lang w:val="en-US" w:eastAsia="zh-CN"/>
        </w:rPr>
        <w:t>怀洪新河</w:t>
      </w:r>
      <w:r>
        <w:rPr>
          <w:rFonts w:hint="eastAsia" w:eastAsia="仿宋_GB2312"/>
          <w:color w:val="auto"/>
          <w:kern w:val="0"/>
          <w:sz w:val="30"/>
          <w:szCs w:val="30"/>
          <w:lang w:val="en-US" w:eastAsia="zh-CN"/>
        </w:rPr>
        <w:t>五条</w:t>
      </w:r>
      <w:r>
        <w:rPr>
          <w:rFonts w:hint="default" w:eastAsia="仿宋_GB2312"/>
          <w:color w:val="auto"/>
          <w:kern w:val="0"/>
          <w:sz w:val="30"/>
          <w:szCs w:val="30"/>
          <w:lang w:val="en-US" w:eastAsia="zh-CN"/>
        </w:rPr>
        <w:t>过境河，河道总长153km</w:t>
      </w:r>
      <w:r>
        <w:rPr>
          <w:rFonts w:hint="eastAsia" w:eastAsia="仿宋_GB2312"/>
          <w:color w:val="auto"/>
          <w:kern w:val="0"/>
          <w:sz w:val="30"/>
          <w:szCs w:val="30"/>
          <w:lang w:val="en-US" w:eastAsia="zh-CN"/>
        </w:rPr>
        <w:t>。</w:t>
      </w:r>
    </w:p>
    <w:p>
      <w:pPr>
        <w:pStyle w:val="9"/>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1、沱河</w:t>
      </w:r>
    </w:p>
    <w:p>
      <w:pPr>
        <w:pStyle w:val="9"/>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沱河，古代又称洨水，是淮河的一条主要支流,发源于河南省商丘市李堤口西，流经虞城、夏邑、永城至王庄入安徽，经濉溪、宿州、宿县、固镇至五河县西南入淮河，全长275.13km。</w:t>
      </w:r>
    </w:p>
    <w:p>
      <w:pPr>
        <w:pStyle w:val="9"/>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1966年开挖新汴河时将宿州市埇桥区七岭子以上沱河上游3936km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的流域面积截入新汴河。截流后，七岭子以上称为沱河上段，七岭子以下称为沱河下段。沱河下段纳新汴河以北206km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来水经沱河地下涵与濉溪县戚家沟来水交汇于宿东闸上，流经埇桥、灵壁、固镇、五河、泗县于樊集入沱湖。现沱河下段，流域 面积 1115km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，长112.7km。蚌埠市沱河流域涉及固镇、五河两县七个乡镇，境内河道长 66.95km，流域面积224.7km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。固镇县境内全长42km，流域面积109.7km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，濠城闸上20年一遇设计防洪水位 18.5m，流量570m</w:t>
      </w:r>
      <w:r>
        <w:rPr>
          <w:rFonts w:hint="eastAsia" w:ascii="仿宋" w:hAnsi="仿宋" w:eastAsia="仿宋" w:cs="仿宋"/>
          <w:color w:val="auto"/>
          <w:sz w:val="28"/>
          <w:szCs w:val="28"/>
          <w:vertAlign w:val="superscript"/>
        </w:rPr>
        <w:t>3</w:t>
      </w:r>
      <w:r>
        <w:rPr>
          <w:rFonts w:hint="eastAsia" w:ascii="仿宋" w:hAnsi="仿宋" w:eastAsia="仿宋" w:cs="仿宋"/>
          <w:color w:val="auto"/>
          <w:sz w:val="28"/>
          <w:szCs w:val="28"/>
        </w:rPr>
        <w:t>/s，5年一遇设计除涝水位17.52m。</w:t>
      </w:r>
    </w:p>
    <w:p>
      <w:pPr>
        <w:pStyle w:val="9"/>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2、浍河</w:t>
      </w:r>
    </w:p>
    <w:p>
      <w:pPr>
        <w:pStyle w:val="9"/>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浍河是淮北地区主要的跨省排水河道，原属漴潼河水系，怀洪新河开挖后属怀洪新河水系。浍河干流上游豫境称为东沙河，发源于河南省商丘县关庄集，流经夏邑，在永城市张瓦店进入我省濉溪县境，经临涣、南坪、祁县、固镇，于九湾汇入怀洪新河香涧湖。浍河干流全长213km，我省境内河线长为153km，其中固镇县境河线长为56.72km。九湾以上流域面积4850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，其中我省境内为2930km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，流域面积619.1km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，固镇闸上20年一遇设计防洪水位19.02m，流量1540m</w:t>
      </w:r>
      <w:r>
        <w:rPr>
          <w:rFonts w:hint="eastAsia" w:ascii="仿宋" w:hAnsi="仿宋" w:eastAsia="仿宋" w:cs="仿宋"/>
          <w:color w:val="auto"/>
          <w:sz w:val="28"/>
          <w:szCs w:val="28"/>
          <w:vertAlign w:val="superscript"/>
        </w:rPr>
        <w:t>3</w:t>
      </w:r>
      <w:r>
        <w:rPr>
          <w:rFonts w:hint="eastAsia" w:ascii="仿宋" w:hAnsi="仿宋" w:eastAsia="仿宋" w:cs="仿宋"/>
          <w:color w:val="auto"/>
          <w:sz w:val="28"/>
          <w:szCs w:val="28"/>
        </w:rPr>
        <w:t>/s，5 年一遇设计除涝水位17.37m。</w:t>
      </w:r>
    </w:p>
    <w:p>
      <w:pPr>
        <w:pStyle w:val="9"/>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3、澥河</w:t>
      </w:r>
    </w:p>
    <w:p>
      <w:pPr>
        <w:pStyle w:val="9"/>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澥河位于北淝河与八丈沟之间，源于淮北市濉溪县白沙乡潘庄，流经濉溪县、蚌埠市固镇县、怀远县和固镇县。在怀洪新河没有开挖之前，澥河至九湾入香涧湖，为漴潼河水系二级支流，全长98km，总流域面积2596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。怀洪新河开挖后，澥河于老胡洼闸泄入怀洪新河，成为怀洪新河的一级支流，全长80km，流域面积为2427km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，其中本干757km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，北淝河中游刘桥闸上1470km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，新淝河刘桥闸至老胡洼闸区间200km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。固镇县境内全长 23km，流域面积 173.8km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，老胡洼闸上20年一遇设计防洪水位18.16m，流量516m</w:t>
      </w:r>
      <w:r>
        <w:rPr>
          <w:rFonts w:hint="eastAsia" w:ascii="仿宋" w:hAnsi="仿宋" w:eastAsia="仿宋" w:cs="仿宋"/>
          <w:color w:val="auto"/>
          <w:sz w:val="28"/>
          <w:szCs w:val="28"/>
          <w:vertAlign w:val="superscript"/>
        </w:rPr>
        <w:t>3</w:t>
      </w:r>
      <w:r>
        <w:rPr>
          <w:rFonts w:hint="eastAsia" w:ascii="仿宋" w:hAnsi="仿宋" w:eastAsia="仿宋" w:cs="仿宋"/>
          <w:color w:val="auto"/>
          <w:sz w:val="28"/>
          <w:szCs w:val="28"/>
        </w:rPr>
        <w:t>/s，5年一遇设计除涝水位 16.78m。</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、北淝河下游</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北淝河下游流域位于涡河口以下至固镇经济开发区的沿淮淮北地区，西起怀洪新河符怀新河段右堤，东至五河县固镇经济开发区镇仇冲坝，南起淮北大堤，北达怀洪新河澥河洼、香涧湖段分水岭，流域面积505km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涉及怀远、固镇、五河三县及蚌埠市淮上区，共10个乡镇。流域内地势低洼，整个地形南北高，中间洼，东西向坡降缓，中部圩区一般高程为15.50～17.50m，最低的圩外地面高程14.00～15.50m，最高的南部沿淮和北部分水岭地面高程也仅19.00～19.50m。据统计，地面低于17.50m 高程的面积 198km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（其中圩外面积55km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），约占流域总面积的 40%。</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、怀洪新河</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怀洪新河起点在涡河口以上6.7km的何巷，出口为洪泽湖溧河洼，全长125.0km。主要任务是分泄淮河中游洪水，并可扩大漴潼河水系的排水出路。怀洪新河本干河道是按3年一遇除涝标准开挖，按淮河分洪流量 2000m3/s,40年一遇内水进行防洪治理。大部分河段是利用老河道扩建和现有湖泊洼地整治而成，其河道自上而下由符怀新河、澥河洼、香涧湖、香沱引河、沱湖、新开沱湖、漴潼河、南峰山、窑河及双沟引河等河段组成，同时还利用了现有的新浍河、北峰山和下草湾等河段。</w:t>
      </w:r>
    </w:p>
    <w:p>
      <w:pPr>
        <w:spacing w:line="360" w:lineRule="auto"/>
        <w:ind w:firstLine="560" w:firstLineChars="200"/>
        <w:rPr>
          <w:rFonts w:hint="default" w:ascii="Times New Roman" w:hAnsi="Times New Roman" w:cs="Times New Roman"/>
          <w:color w:val="auto"/>
        </w:rPr>
      </w:pPr>
      <w:r>
        <w:rPr>
          <w:rFonts w:hint="default" w:ascii="Times New Roman" w:hAnsi="Times New Roman" w:eastAsia="仿宋" w:cs="Times New Roman"/>
          <w:color w:val="auto"/>
          <w:sz w:val="28"/>
          <w:szCs w:val="28"/>
        </w:rPr>
        <w:t>固镇县境内全长31.71km，流域面积402.3km</w:t>
      </w:r>
      <w:r>
        <w:rPr>
          <w:rFonts w:hint="default" w:ascii="Times New Roman" w:hAnsi="Times New Roman" w:eastAsia="仿宋" w:cs="Times New Roman"/>
          <w:color w:val="auto"/>
          <w:sz w:val="28"/>
          <w:szCs w:val="28"/>
          <w:vertAlign w:val="superscript"/>
        </w:rPr>
        <w:t>2</w:t>
      </w:r>
      <w:r>
        <w:rPr>
          <w:rFonts w:hint="default" w:ascii="Times New Roman" w:hAnsi="Times New Roman" w:eastAsia="仿宋" w:cs="Times New Roman"/>
          <w:color w:val="auto"/>
          <w:sz w:val="28"/>
          <w:szCs w:val="28"/>
        </w:rPr>
        <w:t>，共分为3段，分别为符怀新河段、澥河洼段、香涧湖段。符怀新河段：新胡洼闸上设计（分洪2000m</w:t>
      </w:r>
      <w:r>
        <w:rPr>
          <w:rFonts w:hint="default" w:ascii="Times New Roman" w:hAnsi="Times New Roman" w:eastAsia="仿宋" w:cs="Times New Roman"/>
          <w:color w:val="auto"/>
          <w:sz w:val="28"/>
          <w:szCs w:val="28"/>
          <w:vertAlign w:val="superscript"/>
        </w:rPr>
        <w:t>3</w:t>
      </w:r>
      <w:r>
        <w:rPr>
          <w:rFonts w:hint="default" w:ascii="Times New Roman" w:hAnsi="Times New Roman" w:eastAsia="仿宋" w:cs="Times New Roman"/>
          <w:color w:val="auto"/>
          <w:sz w:val="28"/>
          <w:szCs w:val="28"/>
        </w:rPr>
        <w:t>/s）防洪水位20.07m，流量 2000m</w:t>
      </w:r>
      <w:r>
        <w:rPr>
          <w:rFonts w:hint="default" w:ascii="Times New Roman" w:hAnsi="Times New Roman" w:eastAsia="仿宋" w:cs="Times New Roman"/>
          <w:color w:val="auto"/>
          <w:sz w:val="28"/>
          <w:szCs w:val="28"/>
          <w:vertAlign w:val="superscript"/>
        </w:rPr>
        <w:t>3</w:t>
      </w:r>
      <w:r>
        <w:rPr>
          <w:rFonts w:hint="default" w:ascii="Times New Roman" w:hAnsi="Times New Roman" w:eastAsia="仿宋" w:cs="Times New Roman"/>
          <w:color w:val="auto"/>
          <w:sz w:val="28"/>
          <w:szCs w:val="28"/>
        </w:rPr>
        <w:t>/s，设计3年一遇除涝水位17.07m，流量 480m</w:t>
      </w:r>
      <w:r>
        <w:rPr>
          <w:rFonts w:hint="default" w:ascii="Times New Roman" w:hAnsi="Times New Roman" w:eastAsia="仿宋" w:cs="Times New Roman"/>
          <w:color w:val="auto"/>
          <w:sz w:val="28"/>
          <w:szCs w:val="28"/>
          <w:vertAlign w:val="superscript"/>
        </w:rPr>
        <w:t>3</w:t>
      </w:r>
      <w:r>
        <w:rPr>
          <w:rFonts w:hint="default" w:ascii="Times New Roman" w:hAnsi="Times New Roman" w:eastAsia="仿宋" w:cs="Times New Roman"/>
          <w:color w:val="auto"/>
          <w:sz w:val="28"/>
          <w:szCs w:val="28"/>
        </w:rPr>
        <w:t>/s。澥河洼段：防洪水位（分洪2000m3/s）19.87～19.15m，流量2490m</w:t>
      </w:r>
      <w:r>
        <w:rPr>
          <w:rFonts w:hint="default" w:ascii="Times New Roman" w:hAnsi="Times New Roman" w:eastAsia="仿宋" w:cs="Times New Roman"/>
          <w:color w:val="auto"/>
          <w:sz w:val="28"/>
          <w:szCs w:val="28"/>
          <w:vertAlign w:val="superscript"/>
        </w:rPr>
        <w:t>3</w:t>
      </w:r>
      <w:r>
        <w:rPr>
          <w:rFonts w:hint="default" w:ascii="Times New Roman" w:hAnsi="Times New Roman" w:eastAsia="仿宋" w:cs="Times New Roman"/>
          <w:color w:val="auto"/>
          <w:sz w:val="28"/>
          <w:szCs w:val="28"/>
        </w:rPr>
        <w:t>/s，设计3年一遇除涝水位17.02～16.73m，流量610m</w:t>
      </w:r>
      <w:r>
        <w:rPr>
          <w:rFonts w:hint="default" w:ascii="Times New Roman" w:hAnsi="Times New Roman" w:eastAsia="仿宋" w:cs="Times New Roman"/>
          <w:color w:val="auto"/>
          <w:sz w:val="28"/>
          <w:szCs w:val="28"/>
          <w:vertAlign w:val="superscript"/>
        </w:rPr>
        <w:t>3</w:t>
      </w:r>
      <w:r>
        <w:rPr>
          <w:rFonts w:hint="default" w:ascii="Times New Roman" w:hAnsi="Times New Roman" w:eastAsia="仿宋" w:cs="Times New Roman"/>
          <w:color w:val="auto"/>
          <w:sz w:val="28"/>
          <w:szCs w:val="28"/>
        </w:rPr>
        <w:t>/s。香涧湖段：防洪水位（分洪2000m</w:t>
      </w:r>
      <w:r>
        <w:rPr>
          <w:rFonts w:hint="default" w:ascii="Times New Roman" w:hAnsi="Times New Roman" w:eastAsia="仿宋" w:cs="Times New Roman"/>
          <w:color w:val="auto"/>
          <w:sz w:val="28"/>
          <w:szCs w:val="28"/>
          <w:vertAlign w:val="superscript"/>
        </w:rPr>
        <w:t>3</w:t>
      </w:r>
      <w:r>
        <w:rPr>
          <w:rFonts w:hint="default" w:ascii="Times New Roman" w:hAnsi="Times New Roman" w:eastAsia="仿宋" w:cs="Times New Roman"/>
          <w:color w:val="auto"/>
          <w:sz w:val="28"/>
          <w:szCs w:val="28"/>
        </w:rPr>
        <w:t>/s）19.15～18.37m，流量 3700m</w:t>
      </w:r>
      <w:r>
        <w:rPr>
          <w:rFonts w:hint="default" w:ascii="Times New Roman" w:hAnsi="Times New Roman" w:eastAsia="仿宋" w:cs="Times New Roman"/>
          <w:color w:val="auto"/>
          <w:sz w:val="28"/>
          <w:szCs w:val="28"/>
          <w:vertAlign w:val="superscript"/>
        </w:rPr>
        <w:t>3</w:t>
      </w:r>
      <w:r>
        <w:rPr>
          <w:rFonts w:hint="default" w:ascii="Times New Roman" w:hAnsi="Times New Roman" w:eastAsia="仿宋" w:cs="Times New Roman"/>
          <w:color w:val="auto"/>
          <w:sz w:val="28"/>
          <w:szCs w:val="28"/>
        </w:rPr>
        <w:t>/s，设计3年一遇除涝水位16.73～15.52m，流量610m</w:t>
      </w:r>
      <w:r>
        <w:rPr>
          <w:rFonts w:hint="default" w:ascii="Times New Roman" w:hAnsi="Times New Roman" w:eastAsia="仿宋" w:cs="Times New Roman"/>
          <w:color w:val="auto"/>
          <w:sz w:val="28"/>
          <w:szCs w:val="28"/>
          <w:vertAlign w:val="superscript"/>
        </w:rPr>
        <w:t>3</w:t>
      </w:r>
      <w:r>
        <w:rPr>
          <w:rFonts w:hint="default" w:ascii="Times New Roman" w:hAnsi="Times New Roman" w:eastAsia="仿宋" w:cs="Times New Roman"/>
          <w:color w:val="auto"/>
          <w:sz w:val="28"/>
          <w:szCs w:val="28"/>
        </w:rPr>
        <w:t>/s。</w:t>
      </w:r>
    </w:p>
    <w:p>
      <w:pPr>
        <w:pStyle w:val="6"/>
        <w:bidi w:val="0"/>
        <w:rPr>
          <w:rFonts w:hint="eastAsia"/>
          <w:color w:val="auto"/>
          <w:lang w:val="zh-CN" w:eastAsia="zh-CN"/>
        </w:rPr>
      </w:pPr>
      <w:bookmarkStart w:id="38" w:name="_Toc11993"/>
      <w:r>
        <w:rPr>
          <w:rFonts w:hint="eastAsia"/>
          <w:color w:val="auto"/>
          <w:lang w:val="en-US" w:eastAsia="zh-CN"/>
        </w:rPr>
        <w:t>2.1.5</w:t>
      </w:r>
      <w:r>
        <w:rPr>
          <w:rFonts w:hint="eastAsia"/>
          <w:color w:val="auto"/>
          <w:lang w:val="zh-CN" w:eastAsia="zh-CN"/>
        </w:rPr>
        <w:t>自然资源</w:t>
      </w:r>
      <w:bookmarkEnd w:id="38"/>
    </w:p>
    <w:p>
      <w:pPr>
        <w:spacing w:line="360" w:lineRule="auto"/>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固镇县主要有藕、菱角、芦苇等水生植物。木本植物主要有臭椿、泡桐、中槐、桑、枣、榆、苦楝、枫杨、旱柳、棠棣、侧柏、杏、桃、梨等。其中银杏为珍贵的遗树种，杨树、刺槐、臭椿、泡桐的面积和立木蓄积量最大。花草类主要有月季、牡丹、腊梅、蔷薇等。药用植物主要有半夏、光菇、益母草、地骨皮等，尤以半夏最为名贵。</w:t>
      </w:r>
    </w:p>
    <w:p>
      <w:pPr>
        <w:spacing w:line="360" w:lineRule="auto"/>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 xml:space="preserve">固镇县主要有黄牛、水牛、马、驴、骡、山羊、猪等家畜；家禽类主要有鸡、鸭、鹅、鸽等；昆虫类主要有蚕、蜜蜂（可入药）等；水族类主要有家鱼、螃蟹、大对虾、三角帆蚌等。兽类主要有黄鼬、野兔、獾、灵猫、家鼠、田鼠、剌猬、蝙蝠等；鸟类主要有燕子、喜鹊、斑鸠、鹌鹑、麻雀、啄木鸟、绿头鸭等；爬行两栖类主要有蚂蚁、蜥蜴、壁虎、蝎子、蜗牛、蜘蛛等；水族类主要有鲤鱼、鳜鱼、鲫鱼、粘鱼、银鱼等。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lang w:val="en-US" w:eastAsia="zh-CN"/>
        </w:rPr>
      </w:pPr>
      <w:bookmarkStart w:id="39" w:name="_Toc25525"/>
      <w:bookmarkStart w:id="40" w:name="_Toc6654"/>
      <w:bookmarkStart w:id="41" w:name="_Toc18841"/>
      <w:r>
        <w:rPr>
          <w:rFonts w:hint="default"/>
          <w:color w:val="auto"/>
          <w:lang w:val="en-US" w:eastAsia="zh-CN"/>
        </w:rPr>
        <w:t xml:space="preserve">2.2 </w:t>
      </w:r>
      <w:r>
        <w:rPr>
          <w:rFonts w:hint="eastAsia"/>
          <w:color w:val="auto"/>
          <w:lang w:val="en-US" w:eastAsia="zh-CN"/>
        </w:rPr>
        <w:t>社会经济</w:t>
      </w:r>
      <w:bookmarkEnd w:id="39"/>
      <w:bookmarkEnd w:id="40"/>
      <w:r>
        <w:rPr>
          <w:rFonts w:hint="eastAsia"/>
          <w:color w:val="auto"/>
          <w:lang w:val="en-US" w:eastAsia="zh-CN"/>
        </w:rPr>
        <w:t>状况</w:t>
      </w:r>
      <w:bookmarkEnd w:id="41"/>
      <w:r>
        <w:rPr>
          <w:rFonts w:hint="eastAsia"/>
          <w:color w:val="auto"/>
          <w:lang w:val="en-US" w:eastAsia="zh-CN"/>
        </w:rPr>
        <w:t xml:space="preserve">  </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lang w:val="zh-CN" w:eastAsia="zh-CN"/>
        </w:rPr>
      </w:pPr>
      <w:bookmarkStart w:id="42" w:name="_Toc5928"/>
      <w:r>
        <w:rPr>
          <w:rFonts w:hint="eastAsia"/>
          <w:color w:val="auto"/>
          <w:lang w:val="zh-CN" w:eastAsia="zh-CN"/>
        </w:rPr>
        <w:t>2.2.</w:t>
      </w:r>
      <w:r>
        <w:rPr>
          <w:rFonts w:hint="eastAsia"/>
          <w:color w:val="auto"/>
          <w:lang w:val="en-US" w:eastAsia="zh-CN"/>
        </w:rPr>
        <w:t>1</w:t>
      </w:r>
      <w:r>
        <w:rPr>
          <w:rFonts w:hint="eastAsia"/>
          <w:color w:val="auto"/>
          <w:lang w:val="zh-CN" w:eastAsia="zh-CN"/>
        </w:rPr>
        <w:t>历史沿革</w:t>
      </w:r>
      <w:bookmarkEnd w:id="42"/>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eastAsia="仿宋_GB2312"/>
          <w:color w:val="auto"/>
          <w:kern w:val="0"/>
          <w:sz w:val="30"/>
          <w:szCs w:val="30"/>
          <w:lang w:val="en-US" w:eastAsia="zh-CN"/>
        </w:rPr>
        <w:t>固镇县隶属于安徽省蚌埠市，位于安徽省东北部，淮河中游北岸，1965年7月建县，面积1363平方公里，人口66.38万，耕地143.42万亩，现辖11个乡镇，228个村（居）。县城规划面积38.5平方公里，建成区面积19.7平方公里，城区人口约18万人。公元前202年，著名的“垓下之战”发生在我县境内，留下了“四面楚歌”、“霸王别姬”等动人故事，旅游及考古价值极高，“垓下遗址”被列为国家级重点文物保护单位、国家3A级景区；考古发现4600年前的垓下史前城址，被专家称为“大汶口文化第一城”，填补了安徽省无史前城址的空白，获“2009年全国十大考古新发现”。东汉著名的经学家、文字学家许慎曾在固镇为官，著有《说文解字》，开启了中国字典之先河。 南城孜遗址、谷阳城遗址、集东遗址、津浦铁路火车站遗址等一批省级文物保护单位，清晰地记载着固镇的历史脉络和文化变迁。垓下之战、辛亥革命北伐固镇首捷、淮海战役等转变历史进程的数场大捷，确立了固镇在数次决战决胜中的历史地位和历史价值，被誉为“汉兴之地、胜利之城”。</w:t>
      </w:r>
      <w:r>
        <w:rPr>
          <w:rFonts w:hint="eastAsia" w:asciiTheme="minorEastAsia" w:hAnsiTheme="minorEastAsia" w:eastAsiaTheme="minorEastAsia" w:cstheme="minorEastAsia"/>
          <w:color w:val="auto"/>
          <w:sz w:val="28"/>
          <w:szCs w:val="28"/>
          <w:lang w:val="en-US" w:eastAsia="zh-CN"/>
        </w:rPr>
        <w:t> </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lang w:val="zh-CN" w:eastAsia="zh-CN"/>
        </w:rPr>
      </w:pPr>
      <w:bookmarkStart w:id="43" w:name="_Toc10059"/>
      <w:r>
        <w:rPr>
          <w:rFonts w:hint="eastAsia"/>
          <w:color w:val="auto"/>
          <w:lang w:val="en-US" w:eastAsia="zh-CN"/>
        </w:rPr>
        <w:t>2.2.2</w:t>
      </w:r>
      <w:r>
        <w:rPr>
          <w:rFonts w:hint="eastAsia"/>
          <w:color w:val="auto"/>
          <w:lang w:val="zh-CN" w:eastAsia="zh-CN"/>
        </w:rPr>
        <w:t>社会经济和发展状况</w:t>
      </w:r>
      <w:bookmarkEnd w:id="43"/>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eastAsia="仿宋_GB2312"/>
          <w:color w:val="auto"/>
          <w:kern w:val="0"/>
          <w:sz w:val="30"/>
          <w:szCs w:val="30"/>
          <w:lang w:val="en-US" w:eastAsia="zh-CN"/>
        </w:rPr>
      </w:pPr>
      <w:r>
        <w:rPr>
          <w:rFonts w:hint="eastAsia" w:eastAsia="仿宋_GB2312"/>
          <w:color w:val="auto"/>
          <w:kern w:val="0"/>
          <w:sz w:val="30"/>
          <w:szCs w:val="30"/>
          <w:lang w:val="zh-CN" w:eastAsia="zh-CN"/>
        </w:rPr>
        <w:t>（</w:t>
      </w:r>
      <w:r>
        <w:rPr>
          <w:rFonts w:hint="eastAsia" w:eastAsia="仿宋_GB2312"/>
          <w:color w:val="auto"/>
          <w:kern w:val="0"/>
          <w:sz w:val="30"/>
          <w:szCs w:val="30"/>
          <w:lang w:val="en-US" w:eastAsia="zh-CN"/>
        </w:rPr>
        <w:t>1</w:t>
      </w:r>
      <w:r>
        <w:rPr>
          <w:rFonts w:hint="eastAsia" w:eastAsia="仿宋_GB2312"/>
          <w:color w:val="auto"/>
          <w:kern w:val="0"/>
          <w:sz w:val="30"/>
          <w:szCs w:val="30"/>
          <w:lang w:val="zh-CN" w:eastAsia="zh-CN"/>
        </w:rPr>
        <w:t>）</w:t>
      </w:r>
      <w:r>
        <w:rPr>
          <w:rFonts w:hint="eastAsia" w:eastAsia="仿宋_GB2312"/>
          <w:color w:val="auto"/>
          <w:kern w:val="0"/>
          <w:sz w:val="30"/>
          <w:szCs w:val="30"/>
          <w:lang w:val="en-US" w:eastAsia="zh-CN"/>
        </w:rPr>
        <w:t>综述</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初步核算，</w:t>
      </w:r>
      <w:r>
        <w:rPr>
          <w:rFonts w:hint="eastAsia" w:eastAsia="仿宋_GB2312"/>
          <w:color w:val="auto"/>
          <w:kern w:val="0"/>
          <w:sz w:val="30"/>
          <w:szCs w:val="30"/>
          <w:lang w:val="en-US" w:eastAsia="zh-CN"/>
        </w:rPr>
        <w:t>2020年</w:t>
      </w:r>
      <w:r>
        <w:rPr>
          <w:rFonts w:hint="eastAsia" w:eastAsia="仿宋_GB2312"/>
          <w:color w:val="auto"/>
          <w:kern w:val="0"/>
          <w:sz w:val="30"/>
          <w:szCs w:val="30"/>
          <w:lang w:val="zh-CN" w:eastAsia="zh-CN"/>
        </w:rPr>
        <w:t>全年地区生产总值（GDP）311.58亿元，按可比价格计算，比上年增长4.4%。分产业看，第一产业增加值82.31亿元，增长2.1%；第二产业增加值125.19亿元，增长6.9%,其中工业增加值116.36亿元，增长6.8%；第三产业增加值104.09亿元，增长2.5%。三次产业结构为26.4:40.2:33.4。全县城镇新增就业9880人，失业人员再就业率67.8%，新增农村劳动力转移7215人。年末城镇登记失业率3.48%。</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w:t>
      </w:r>
      <w:r>
        <w:rPr>
          <w:rFonts w:hint="eastAsia" w:eastAsia="仿宋_GB2312"/>
          <w:color w:val="auto"/>
          <w:kern w:val="0"/>
          <w:sz w:val="30"/>
          <w:szCs w:val="30"/>
          <w:lang w:val="en-US" w:eastAsia="zh-CN"/>
        </w:rPr>
        <w:t>2</w:t>
      </w:r>
      <w:r>
        <w:rPr>
          <w:rFonts w:hint="eastAsia" w:eastAsia="仿宋_GB2312"/>
          <w:color w:val="auto"/>
          <w:kern w:val="0"/>
          <w:sz w:val="30"/>
          <w:szCs w:val="30"/>
          <w:lang w:val="zh-CN" w:eastAsia="zh-CN"/>
        </w:rPr>
        <w:t>）农业</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全年粮食作物种植面积109.67千公顷，其中，小麦面积56.47千公顷，稻谷面积1.78千公顷，玉米面积48.25千公顷。油料种植面积35.59千公顷，蔬菜种植面积16.11千公顷。</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全年粮食产量62.18万吨，比上年增长1.2%。其中，夏粮34.58万吨，增长1.6%；秋粮27.60万吨，增长0.8%。油料产量25.83万吨，增长0.7%。蔬菜产量89.69万吨，增长4.0%。水果产量24.17万吨，下降1.7%。</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全年生猪出栏46.86万头，下降8.7%。肉类总产量16.22万吨，增长2.0%。禽蛋产量4.46万吨，增长2.9%。水产品产量1.12万吨，增长0.8%。全年化肥施用量（折纯）6.55万吨，下降2.1%。农用薄膜使用量0.19万吨, 下降8.0%。农药使用量0.11万吨，下降7.2%。</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w:t>
      </w:r>
      <w:r>
        <w:rPr>
          <w:rFonts w:hint="eastAsia" w:eastAsia="仿宋_GB2312"/>
          <w:color w:val="auto"/>
          <w:kern w:val="0"/>
          <w:sz w:val="30"/>
          <w:szCs w:val="30"/>
          <w:lang w:val="en-US" w:eastAsia="zh-CN"/>
        </w:rPr>
        <w:t>3</w:t>
      </w:r>
      <w:r>
        <w:rPr>
          <w:rFonts w:hint="eastAsia" w:eastAsia="仿宋_GB2312"/>
          <w:color w:val="auto"/>
          <w:kern w:val="0"/>
          <w:sz w:val="30"/>
          <w:szCs w:val="30"/>
          <w:lang w:val="zh-CN" w:eastAsia="zh-CN"/>
        </w:rPr>
        <w:t>）工业和建筑业</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202</w:t>
      </w:r>
      <w:r>
        <w:rPr>
          <w:rFonts w:hint="eastAsia" w:eastAsia="仿宋_GB2312"/>
          <w:color w:val="auto"/>
          <w:kern w:val="0"/>
          <w:sz w:val="30"/>
          <w:szCs w:val="30"/>
          <w:lang w:val="en-US" w:eastAsia="zh-CN"/>
        </w:rPr>
        <w:t>0</w:t>
      </w:r>
      <w:r>
        <w:rPr>
          <w:rFonts w:hint="eastAsia" w:eastAsia="仿宋_GB2312"/>
          <w:color w:val="auto"/>
          <w:kern w:val="0"/>
          <w:sz w:val="30"/>
          <w:szCs w:val="30"/>
          <w:lang w:val="zh-CN" w:eastAsia="zh-CN"/>
        </w:rPr>
        <w:t>年年末全县规模以上工业企业[4]达186户，全年规模以上工业增加值增长9.0%。分经济类型看，股份制企业增长8.2%，外商及港澳台投资企业增长18.8%，其他企业增长3.2%。分行业看，24个工业大类行业有15个行业增加值实现正增长，其中，食品制造业增长98.0%，纺织业增长57.1%，化学原料及化学制品制造业增长34.7%，医药制造业增长26.8%，橡胶和塑料制品业增长14.8%，非金属矿物制品业增长8.6%。</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新兴动能加快成长。高新技术产业增加值增长22.4%，战略性新兴产业产值增长33.5%。全县规模以上工业实现营业收入425.41亿元，增长6.0%；利润总额7.18亿元，下降22.0%。</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w:t>
      </w:r>
      <w:r>
        <w:rPr>
          <w:rFonts w:hint="eastAsia" w:eastAsia="仿宋_GB2312"/>
          <w:color w:val="auto"/>
          <w:kern w:val="0"/>
          <w:sz w:val="30"/>
          <w:szCs w:val="30"/>
          <w:lang w:val="en-US" w:eastAsia="zh-CN"/>
        </w:rPr>
        <w:t>4</w:t>
      </w:r>
      <w:r>
        <w:rPr>
          <w:rFonts w:hint="eastAsia" w:eastAsia="仿宋_GB2312"/>
          <w:color w:val="auto"/>
          <w:kern w:val="0"/>
          <w:sz w:val="30"/>
          <w:szCs w:val="30"/>
          <w:lang w:val="zh-CN" w:eastAsia="zh-CN"/>
        </w:rPr>
        <w:t>）固定资产投资</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全年固定资产投资[5]比上年增长16.7%，其中，技术改造投资增长34.6%，工业投资增长34.1%。分产业看，第一产业投资增长104.9%，第二产业投资增长34.1%，第三产业投资增长6.2%。全年房地产开发投资64.71亿元，比上年下降7.1%；房屋销售面积159.47万平方米，增长9.0%；房屋销售额71.23亿元，增长3.9%。</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全年新增谋划储备项目2401亿元。年产50万吨乳酸/30万吨聚乳酸第一模块、一中新校区、龙华实验学校、连徐路提升改造项目等86个项目开工建设；中水厂一期、污水处理厂三期、蚌埠汉兴国际学校、“四好农村路”建设等39个项目竣工。</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w:t>
      </w:r>
      <w:r>
        <w:rPr>
          <w:rFonts w:hint="eastAsia" w:eastAsia="仿宋_GB2312"/>
          <w:color w:val="auto"/>
          <w:kern w:val="0"/>
          <w:sz w:val="30"/>
          <w:szCs w:val="30"/>
          <w:lang w:val="en-US" w:eastAsia="zh-CN"/>
        </w:rPr>
        <w:t>5</w:t>
      </w:r>
      <w:r>
        <w:rPr>
          <w:rFonts w:hint="eastAsia" w:eastAsia="仿宋_GB2312"/>
          <w:color w:val="auto"/>
          <w:kern w:val="0"/>
          <w:sz w:val="30"/>
          <w:szCs w:val="30"/>
          <w:lang w:val="zh-CN" w:eastAsia="zh-CN"/>
        </w:rPr>
        <w:t>）国内贸易</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全年社会消费品零售总额110.32亿元，比上年增长1.0%。按经营单位所在地分，城镇消费品零售额83.28亿元，增长-0.2%；乡村消费品零售额27.04亿元，增长4.9%。其中限额以上企业（单位）零售额6.98亿元，增长0.4%。</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w:t>
      </w:r>
      <w:r>
        <w:rPr>
          <w:rFonts w:hint="eastAsia" w:eastAsia="仿宋_GB2312"/>
          <w:color w:val="auto"/>
          <w:kern w:val="0"/>
          <w:sz w:val="30"/>
          <w:szCs w:val="30"/>
          <w:lang w:val="en-US" w:eastAsia="zh-CN"/>
        </w:rPr>
        <w:t>6</w:t>
      </w:r>
      <w:r>
        <w:rPr>
          <w:rFonts w:hint="eastAsia" w:eastAsia="仿宋_GB2312"/>
          <w:color w:val="auto"/>
          <w:kern w:val="0"/>
          <w:sz w:val="30"/>
          <w:szCs w:val="30"/>
          <w:lang w:val="zh-CN" w:eastAsia="zh-CN"/>
        </w:rPr>
        <w:t>）对外经济和旅游业</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全年进出口总额13502万美元，比上年增长48.5 %。其中，出口12043万美元，增长60.2%；进口1459万美元，增长-7.2%。全年外商直接投资2731万美元，增长-73.0%。</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2020年，实现旅游总收入26.2亿元，同比下降18.5%。接待国内游客492万人次，接待入境游客0.5万人次。全县星级饭店（宾馆） 1 个。旅行社分社9家。A级旅游景区3个,其中，3A级旅游景区 2 个，2A级旅游景区 1 个。</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w:t>
      </w:r>
      <w:r>
        <w:rPr>
          <w:rFonts w:hint="eastAsia" w:eastAsia="仿宋_GB2312"/>
          <w:color w:val="auto"/>
          <w:kern w:val="0"/>
          <w:sz w:val="30"/>
          <w:szCs w:val="30"/>
          <w:lang w:val="en-US" w:eastAsia="zh-CN"/>
        </w:rPr>
        <w:t>7</w:t>
      </w:r>
      <w:r>
        <w:rPr>
          <w:rFonts w:hint="eastAsia" w:eastAsia="仿宋_GB2312"/>
          <w:color w:val="auto"/>
          <w:kern w:val="0"/>
          <w:sz w:val="30"/>
          <w:szCs w:val="30"/>
          <w:lang w:val="zh-CN" w:eastAsia="zh-CN"/>
        </w:rPr>
        <w:t>）交通和邮电</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全年交通运输、仓储和邮政业增加值12.55亿元，比上年下降0.9%。</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全年公路客运量88.31万人，比上年下降62.8%；公路货运量1782.88万吨，增长25.5%。</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年末全县汽车拥有量5.82万辆，比上年增长16.3%，其中个人汽车5.24万辆，增长17.7%。个人汽车中小型、微型载客汽车拥有量4.64万辆，增长18.1%。</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全年邮政业务总量12293万元，增长50.2%。电信业务收入3.0亿元，比上年增长5.3%。年末全县固定电话用户数2.42万户, 比上年下降4.3%；移动电话用户数49.42万户，比上年增长1.8%。</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w:t>
      </w:r>
      <w:r>
        <w:rPr>
          <w:rFonts w:hint="eastAsia" w:eastAsia="仿宋_GB2312"/>
          <w:color w:val="auto"/>
          <w:kern w:val="0"/>
          <w:sz w:val="30"/>
          <w:szCs w:val="30"/>
          <w:lang w:val="en-US" w:eastAsia="zh-CN"/>
        </w:rPr>
        <w:t>8</w:t>
      </w:r>
      <w:r>
        <w:rPr>
          <w:rFonts w:hint="eastAsia" w:eastAsia="仿宋_GB2312"/>
          <w:color w:val="auto"/>
          <w:kern w:val="0"/>
          <w:sz w:val="30"/>
          <w:szCs w:val="30"/>
          <w:lang w:val="zh-CN" w:eastAsia="zh-CN"/>
        </w:rPr>
        <w:t>）财政和金融业</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全年财政收入21.56亿元，比上年增长7.2%，其中地方财政收入15.63亿元，增长6.6%。在地方财政收入中，城镇土地使用税增长50.1%，房产税增长30.1%，增值税增长18.1%，契税增长16.2%。财政支出40.67亿元，增长1.3%。全年30项民生工程累计投入11.74亿元，惠及100%城乡居民。</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w:t>
      </w:r>
      <w:r>
        <w:rPr>
          <w:rFonts w:hint="eastAsia" w:eastAsia="仿宋_GB2312"/>
          <w:color w:val="auto"/>
          <w:kern w:val="0"/>
          <w:sz w:val="30"/>
          <w:szCs w:val="30"/>
          <w:lang w:val="en-US" w:eastAsia="zh-CN"/>
        </w:rPr>
        <w:t>9</w:t>
      </w:r>
      <w:r>
        <w:rPr>
          <w:rFonts w:hint="eastAsia" w:eastAsia="仿宋_GB2312"/>
          <w:color w:val="auto"/>
          <w:kern w:val="0"/>
          <w:sz w:val="30"/>
          <w:szCs w:val="30"/>
          <w:lang w:val="zh-CN" w:eastAsia="zh-CN"/>
        </w:rPr>
        <w:t>）教育和科学技术</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全县共有中等职业教育学校1所，其中中等职业技术学校1所；普通教育学校208所，其中，普通中学30所（高中9所，初中21所），小学89所，幼儿园88所，特殊教育学校1所。</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全县中等职业学校专任教师387人，普通中学专任教师2141人，其中，高中779人，初中1362人。</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全县中等职业教育学校在校学生0.97万人；普通教育学校在校学生11.27万人，其中，普通中学在校学生3.03万人（高中在校学生1.06万人，初中在校学生1.98万人）；小学在校学生5.85万人。幼儿园在园幼儿2.37万人，特殊教育学校在校生357人。</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全县小学适龄儿童入学率100%，初中学龄人口入学率100%，高中阶段毛入学率96.05%。全年新认定高新技术企业15家，净增11家，高新技术企业总数达44家。全社会研发经费投入7.65亿。全县有省级以上工程(技术)研究中心5家。</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全年发明专利申请量183件，发明专利授权27件。技术合同成交额5.46亿元，比上年增长42.8%。万人发明专利拥有量达5.14件。</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w:t>
      </w:r>
      <w:r>
        <w:rPr>
          <w:rFonts w:hint="eastAsia" w:eastAsia="仿宋_GB2312"/>
          <w:color w:val="auto"/>
          <w:kern w:val="0"/>
          <w:sz w:val="30"/>
          <w:szCs w:val="30"/>
          <w:lang w:val="en-US" w:eastAsia="zh-CN"/>
        </w:rPr>
        <w:t>10</w:t>
      </w:r>
      <w:r>
        <w:rPr>
          <w:rFonts w:hint="eastAsia" w:eastAsia="仿宋_GB2312"/>
          <w:color w:val="auto"/>
          <w:kern w:val="0"/>
          <w:sz w:val="30"/>
          <w:szCs w:val="30"/>
          <w:lang w:val="zh-CN" w:eastAsia="zh-CN"/>
        </w:rPr>
        <w:t>）文化、卫生和体育</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举办“美丽固镇·唱响谷阳”迎新年暨第五届全县歌手大赛、迎新春团拜会、2020年全县少儿书画大赛及少儿书画展、端午诗会、全县广场舞展演等各类群众文化活动;举办全县少儿书画大赛及少儿书画展，并为农民工、留守儿童、残疾人开展专项文化服务项目，送文艺进养老院。抗疫文艺作品《信仰的力量》代表蚌埠市参加安徽省“艺心抗疫，相约云端”2020年安徽省群众文艺优秀作品展播;在全市广场舞大赛中《家乡美 蚌埠棒》获得一等奖，县曳步舞队《家乡美 蚌埠棒》获得三等奖。</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eastAsia="仿宋_GB2312"/>
          <w:color w:val="auto"/>
          <w:kern w:val="0"/>
          <w:sz w:val="30"/>
          <w:szCs w:val="30"/>
          <w:lang w:val="en-US" w:eastAsia="zh-CN"/>
        </w:rPr>
      </w:pPr>
      <w:r>
        <w:rPr>
          <w:rFonts w:hint="eastAsia" w:eastAsia="仿宋_GB2312"/>
          <w:color w:val="auto"/>
          <w:kern w:val="0"/>
          <w:sz w:val="30"/>
          <w:szCs w:val="30"/>
          <w:lang w:val="zh-CN" w:eastAsia="zh-CN"/>
        </w:rPr>
        <w:t>年末全县有医疗卫生机构250个（县级公立医院2所、乡镇卫生院11所、村卫生室204所、民营医院9所、妇幼保健机构1个、诊所14个、医务室3所、卫生所1个、社区卫生服务站2个、疾控中心1个、卫生监督执法大队1所、卫生学校1所）。全县卫生技术人员2176人，其中执业（助理）医师763人，注册护士976人。医疗卫生机构床位2741张，其中医院床位2090张。</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举办迎新春全县职工乒乓球大赛。广泛开展全民健身活动。组织农村体育活动192场。举办了足球、篮球、乒乓球、羽毛球、广场舞三级联赛县级选拔赛。获得技术等级证书的社会体育指导员总人数70人，其中一级1人，二级10人，三级59人。公共体育场馆总数为2个。各乡镇已建设完成健身广场11个，多功能球场11块，健身中心3个。</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w:t>
      </w:r>
      <w:r>
        <w:rPr>
          <w:rFonts w:hint="eastAsia" w:eastAsia="仿宋_GB2312"/>
          <w:color w:val="auto"/>
          <w:kern w:val="0"/>
          <w:sz w:val="30"/>
          <w:szCs w:val="30"/>
          <w:lang w:val="en-US" w:eastAsia="zh-CN"/>
        </w:rPr>
        <w:t>11</w:t>
      </w:r>
      <w:r>
        <w:rPr>
          <w:rFonts w:hint="eastAsia" w:eastAsia="仿宋_GB2312"/>
          <w:color w:val="auto"/>
          <w:kern w:val="0"/>
          <w:sz w:val="30"/>
          <w:szCs w:val="30"/>
          <w:lang w:val="zh-CN" w:eastAsia="zh-CN"/>
        </w:rPr>
        <w:t>）人民生活和社会保障</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2020年，城镇常住居民人均可支配收入35147元，同比增长5.6%；农村常住居民人均可支配收入18217元，同比增长8.1%。</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cstheme="minorBidi"/>
          <w:b/>
          <w:color w:val="auto"/>
          <w:kern w:val="2"/>
          <w:sz w:val="32"/>
          <w:szCs w:val="24"/>
          <w:lang w:val="zh-CN" w:eastAsia="zh-CN" w:bidi="ar-SA"/>
        </w:rPr>
      </w:pPr>
      <w:bookmarkStart w:id="44" w:name="_Toc21933"/>
      <w:bookmarkStart w:id="45" w:name="_Toc19260"/>
      <w:bookmarkStart w:id="46" w:name="_Toc6330"/>
      <w:r>
        <w:rPr>
          <w:rFonts w:hint="eastAsia" w:cstheme="minorBidi"/>
          <w:b/>
          <w:color w:val="auto"/>
          <w:kern w:val="2"/>
          <w:sz w:val="32"/>
          <w:szCs w:val="24"/>
          <w:lang w:val="en-US" w:eastAsia="zh-CN" w:bidi="ar-SA"/>
        </w:rPr>
        <w:t>2.3</w:t>
      </w:r>
      <w:bookmarkEnd w:id="44"/>
      <w:bookmarkEnd w:id="45"/>
      <w:r>
        <w:rPr>
          <w:rFonts w:hint="eastAsia" w:cstheme="minorBidi"/>
          <w:b/>
          <w:color w:val="auto"/>
          <w:kern w:val="2"/>
          <w:sz w:val="32"/>
          <w:szCs w:val="24"/>
          <w:lang w:val="zh-CN" w:eastAsia="zh-CN" w:bidi="ar-SA"/>
        </w:rPr>
        <w:t>生态环境概况</w:t>
      </w:r>
      <w:bookmarkEnd w:id="46"/>
    </w:p>
    <w:p>
      <w:pPr>
        <w:pStyle w:val="6"/>
        <w:keepNext/>
        <w:keepLines/>
        <w:pageBreakBefore w:val="0"/>
        <w:widowControl w:val="0"/>
        <w:numPr>
          <w:ilvl w:val="2"/>
          <w:numId w:val="5"/>
        </w:numPr>
        <w:kinsoku/>
        <w:wordWrap/>
        <w:overflowPunct/>
        <w:topLinePunct w:val="0"/>
        <w:autoSpaceDE/>
        <w:autoSpaceDN/>
        <w:bidi w:val="0"/>
        <w:adjustRightInd/>
        <w:snapToGrid/>
        <w:spacing w:before="0" w:after="0" w:line="360" w:lineRule="auto"/>
        <w:ind w:left="0" w:firstLine="0"/>
        <w:textAlignment w:val="auto"/>
        <w:rPr>
          <w:rFonts w:hint="eastAsia"/>
          <w:color w:val="auto"/>
          <w:lang w:val="zh-CN" w:eastAsia="zh-CN"/>
        </w:rPr>
      </w:pPr>
      <w:bookmarkStart w:id="47" w:name="_Toc3349"/>
      <w:r>
        <w:rPr>
          <w:rFonts w:hint="eastAsia"/>
          <w:color w:val="auto"/>
          <w:lang w:val="zh-CN" w:eastAsia="zh-CN"/>
        </w:rPr>
        <w:t>大气环境状况</w:t>
      </w:r>
      <w:bookmarkEnd w:id="47"/>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zh-CN" w:eastAsia="zh-CN"/>
        </w:rPr>
      </w:pPr>
      <w:r>
        <w:rPr>
          <w:rFonts w:hint="eastAsia" w:eastAsia="仿宋_GB2312"/>
          <w:color w:val="auto"/>
          <w:kern w:val="0"/>
          <w:sz w:val="30"/>
          <w:szCs w:val="30"/>
          <w:lang w:val="en-US" w:eastAsia="zh-CN"/>
        </w:rPr>
        <w:t>根据固镇县人民政府发布的《2020年全县大气环境质量状况公报》，</w:t>
      </w:r>
      <w:r>
        <w:rPr>
          <w:rFonts w:hint="eastAsia" w:eastAsia="仿宋_GB2312"/>
          <w:color w:val="auto"/>
          <w:kern w:val="0"/>
          <w:sz w:val="30"/>
          <w:szCs w:val="30"/>
          <w:lang w:val="zh-CN" w:eastAsia="zh-CN"/>
        </w:rPr>
        <w:t>202</w:t>
      </w:r>
      <w:r>
        <w:rPr>
          <w:rFonts w:hint="eastAsia" w:eastAsia="仿宋_GB2312"/>
          <w:color w:val="auto"/>
          <w:kern w:val="0"/>
          <w:sz w:val="30"/>
          <w:szCs w:val="30"/>
          <w:lang w:val="en-US" w:eastAsia="zh-CN"/>
        </w:rPr>
        <w:t>0</w:t>
      </w:r>
      <w:r>
        <w:rPr>
          <w:rFonts w:hint="eastAsia" w:eastAsia="仿宋_GB2312"/>
          <w:color w:val="auto"/>
          <w:kern w:val="0"/>
          <w:sz w:val="30"/>
          <w:szCs w:val="30"/>
          <w:lang w:val="zh-CN" w:eastAsia="zh-CN"/>
        </w:rPr>
        <w:t>年环境空气监测结果如下：</w:t>
      </w:r>
      <w:r>
        <w:rPr>
          <w:rFonts w:hint="eastAsia" w:eastAsia="仿宋_GB2312"/>
          <w:color w:val="auto"/>
          <w:kern w:val="0"/>
          <w:sz w:val="30"/>
          <w:szCs w:val="30"/>
          <w:lang w:val="en-US" w:eastAsia="zh-CN"/>
        </w:rPr>
        <w:t>PM2.5平均浓度为58.75微克/立方米；PM10平均浓度为78.90微克/立方米；空气优良天数比率为74.12%。</w:t>
      </w:r>
      <w:r>
        <w:rPr>
          <w:rFonts w:hint="default" w:eastAsia="仿宋_GB2312"/>
          <w:color w:val="auto"/>
          <w:kern w:val="0"/>
          <w:sz w:val="30"/>
          <w:szCs w:val="30"/>
          <w:lang w:val="en-US" w:eastAsia="zh-CN"/>
        </w:rPr>
        <w:t>PM</w:t>
      </w:r>
      <w:r>
        <w:rPr>
          <w:rFonts w:hint="default" w:eastAsia="仿宋_GB2312"/>
          <w:color w:val="auto"/>
          <w:kern w:val="0"/>
          <w:sz w:val="30"/>
          <w:szCs w:val="30"/>
          <w:vertAlign w:val="subscript"/>
          <w:lang w:val="en-US" w:eastAsia="zh-CN"/>
        </w:rPr>
        <w:t>2.5</w:t>
      </w:r>
      <w:r>
        <w:rPr>
          <w:rFonts w:hint="default" w:eastAsia="仿宋_GB2312"/>
          <w:color w:val="auto"/>
          <w:kern w:val="0"/>
          <w:sz w:val="30"/>
          <w:szCs w:val="30"/>
          <w:lang w:val="en-US" w:eastAsia="zh-CN"/>
        </w:rPr>
        <w:t>和PM</w:t>
      </w:r>
      <w:r>
        <w:rPr>
          <w:rFonts w:hint="default" w:eastAsia="仿宋_GB2312"/>
          <w:color w:val="auto"/>
          <w:kern w:val="0"/>
          <w:sz w:val="30"/>
          <w:szCs w:val="30"/>
          <w:vertAlign w:val="subscript"/>
          <w:lang w:val="en-US" w:eastAsia="zh-CN"/>
        </w:rPr>
        <w:t>10</w:t>
      </w:r>
      <w:r>
        <w:rPr>
          <w:rFonts w:hint="default" w:eastAsia="仿宋_GB2312"/>
          <w:color w:val="auto"/>
          <w:kern w:val="0"/>
          <w:sz w:val="30"/>
          <w:szCs w:val="30"/>
          <w:lang w:val="en-US" w:eastAsia="zh-CN"/>
        </w:rPr>
        <w:t>年均浓度值超过空气环境质量二级标准。因此，项目区域环境空气质量不达标</w:t>
      </w:r>
      <w:r>
        <w:rPr>
          <w:rFonts w:hint="eastAsia" w:eastAsia="仿宋_GB2312"/>
          <w:color w:val="auto"/>
          <w:kern w:val="0"/>
          <w:sz w:val="30"/>
          <w:szCs w:val="30"/>
          <w:lang w:val="en-US" w:eastAsia="zh-CN"/>
        </w:rPr>
        <w:t>。</w:t>
      </w:r>
    </w:p>
    <w:p>
      <w:pPr>
        <w:pStyle w:val="6"/>
        <w:keepNext/>
        <w:keepLines/>
        <w:pageBreakBefore w:val="0"/>
        <w:widowControl w:val="0"/>
        <w:numPr>
          <w:ilvl w:val="2"/>
          <w:numId w:val="5"/>
        </w:numPr>
        <w:kinsoku/>
        <w:wordWrap/>
        <w:overflowPunct/>
        <w:topLinePunct w:val="0"/>
        <w:autoSpaceDE/>
        <w:autoSpaceDN/>
        <w:bidi w:val="0"/>
        <w:adjustRightInd/>
        <w:snapToGrid/>
        <w:spacing w:before="0" w:after="0" w:line="360" w:lineRule="auto"/>
        <w:ind w:left="0" w:firstLine="0"/>
        <w:textAlignment w:val="auto"/>
        <w:rPr>
          <w:color w:val="auto"/>
        </w:rPr>
      </w:pPr>
      <w:bookmarkStart w:id="48" w:name="_Toc16992"/>
      <w:r>
        <w:rPr>
          <w:color w:val="auto"/>
        </w:rPr>
        <w:t>水环境状况</w:t>
      </w:r>
      <w:bookmarkEnd w:id="48"/>
    </w:p>
    <w:p>
      <w:pPr>
        <w:autoSpaceDE w:val="0"/>
        <w:autoSpaceDN w:val="0"/>
        <w:snapToGrid w:val="0"/>
        <w:spacing w:before="47" w:after="0" w:line="360" w:lineRule="auto"/>
        <w:ind w:left="0" w:right="0" w:firstLine="624" w:firstLineChars="200"/>
        <w:jc w:val="left"/>
        <w:textAlignment w:val="auto"/>
        <w:rPr>
          <w:rFonts w:hint="default" w:ascii="华文仿宋" w:hAnsi="华文仿宋" w:eastAsia="华文仿宋" w:cs="华文仿宋"/>
          <w:color w:val="auto"/>
          <w:sz w:val="28"/>
        </w:rPr>
      </w:pPr>
      <w:r>
        <w:rPr>
          <w:rFonts w:hint="eastAsia" w:ascii="华文仿宋" w:hAnsi="华文仿宋" w:eastAsia="华文仿宋" w:cs="华文仿宋"/>
          <w:color w:val="auto"/>
          <w:spacing w:val="-4"/>
          <w:sz w:val="32"/>
          <w:lang w:val="en-US" w:eastAsia="zh-CN"/>
        </w:rPr>
        <w:t>固镇县地表水环境</w:t>
      </w:r>
      <w:r>
        <w:rPr>
          <w:rFonts w:hint="default" w:ascii="华文仿宋" w:hAnsi="华文仿宋" w:eastAsia="华文仿宋" w:cs="华文仿宋"/>
          <w:color w:val="auto"/>
          <w:spacing w:val="-4"/>
          <w:sz w:val="32"/>
        </w:rPr>
        <w:t>主要监测断面有 2 个，分别为国控浍河湖沟断面（入境断面</w:t>
      </w:r>
      <w:r>
        <w:rPr>
          <w:rFonts w:hint="default" w:ascii="华文仿宋" w:hAnsi="华文仿宋" w:eastAsia="华文仿宋" w:cs="华文仿宋"/>
          <w:color w:val="auto"/>
          <w:spacing w:val="-82"/>
          <w:sz w:val="32"/>
        </w:rPr>
        <w:t>）</w:t>
      </w:r>
      <w:r>
        <w:rPr>
          <w:rFonts w:hint="default" w:ascii="华文仿宋" w:hAnsi="华文仿宋" w:eastAsia="华文仿宋" w:cs="华文仿宋"/>
          <w:color w:val="auto"/>
          <w:sz w:val="32"/>
        </w:rPr>
        <w:t>、</w:t>
      </w:r>
      <w:r>
        <w:rPr>
          <w:rFonts w:hint="default" w:ascii="华文仿宋" w:hAnsi="华文仿宋" w:eastAsia="华文仿宋" w:cs="华文仿宋"/>
          <w:color w:val="auto"/>
          <w:spacing w:val="-5"/>
          <w:sz w:val="32"/>
        </w:rPr>
        <w:t>国控浍河蚌</w:t>
      </w:r>
      <w:r>
        <w:rPr>
          <w:rFonts w:hint="default" w:ascii="华文仿宋" w:hAnsi="华文仿宋" w:eastAsia="华文仿宋" w:cs="华文仿宋"/>
          <w:color w:val="auto"/>
          <w:spacing w:val="-4"/>
          <w:sz w:val="32"/>
        </w:rPr>
        <w:t>埠固镇断面</w:t>
      </w:r>
      <w:r>
        <w:rPr>
          <w:rFonts w:hint="default" w:ascii="华文仿宋" w:hAnsi="华文仿宋" w:eastAsia="华文仿宋" w:cs="华文仿宋"/>
          <w:color w:val="auto"/>
          <w:spacing w:val="-38"/>
          <w:sz w:val="32"/>
        </w:rPr>
        <w:t>，</w:t>
      </w:r>
      <w:r>
        <w:rPr>
          <w:rFonts w:hint="default" w:ascii="华文仿宋" w:hAnsi="华文仿宋" w:eastAsia="华文仿宋" w:cs="华文仿宋"/>
          <w:color w:val="auto"/>
          <w:spacing w:val="-4"/>
          <w:sz w:val="32"/>
        </w:rPr>
        <w:t>水质均基本能达</w:t>
      </w:r>
      <w:r>
        <w:rPr>
          <w:rFonts w:hint="default" w:ascii="华文仿宋" w:hAnsi="华文仿宋" w:eastAsia="华文仿宋" w:cs="华文仿宋"/>
          <w:color w:val="auto"/>
          <w:spacing w:val="-38"/>
          <w:sz w:val="32"/>
        </w:rPr>
        <w:t>到</w:t>
      </w:r>
      <w:r>
        <w:rPr>
          <w:rFonts w:hint="default" w:ascii="华文仿宋" w:hAnsi="华文仿宋" w:eastAsia="华文仿宋" w:cs="华文仿宋"/>
          <w:color w:val="auto"/>
          <w:spacing w:val="-4"/>
          <w:sz w:val="32"/>
        </w:rPr>
        <w:t>《地表水环境质量标准</w:t>
      </w:r>
      <w:r>
        <w:rPr>
          <w:rFonts w:hint="default" w:ascii="华文仿宋" w:hAnsi="华文仿宋" w:eastAsia="华文仿宋" w:cs="华文仿宋"/>
          <w:color w:val="auto"/>
          <w:sz w:val="32"/>
        </w:rPr>
        <w:t>》</w:t>
      </w:r>
      <w:r>
        <w:rPr>
          <w:rFonts w:hint="default" w:ascii="华文仿宋" w:hAnsi="华文仿宋" w:eastAsia="华文仿宋" w:cs="华文仿宋"/>
          <w:color w:val="auto"/>
          <w:spacing w:val="-4"/>
          <w:sz w:val="32"/>
        </w:rPr>
        <w:t>（</w:t>
      </w:r>
      <w:r>
        <w:rPr>
          <w:rFonts w:hint="default" w:ascii="华文仿宋" w:hAnsi="华文仿宋" w:eastAsia="华文仿宋" w:cs="华文仿宋"/>
          <w:color w:val="auto"/>
          <w:spacing w:val="-2"/>
          <w:sz w:val="32"/>
        </w:rPr>
        <w:t>GB</w:t>
      </w:r>
      <w:r>
        <w:rPr>
          <w:rFonts w:hint="default" w:ascii="华文仿宋" w:hAnsi="华文仿宋" w:eastAsia="华文仿宋" w:cs="华文仿宋"/>
          <w:color w:val="auto"/>
          <w:spacing w:val="-4"/>
          <w:sz w:val="32"/>
        </w:rPr>
        <w:t>38</w:t>
      </w:r>
      <w:r>
        <w:rPr>
          <w:rFonts w:hint="default" w:ascii="华文仿宋" w:hAnsi="华文仿宋" w:eastAsia="华文仿宋" w:cs="华文仿宋"/>
          <w:color w:val="auto"/>
          <w:spacing w:val="-6"/>
          <w:sz w:val="32"/>
        </w:rPr>
        <w:t>3</w:t>
      </w:r>
      <w:r>
        <w:rPr>
          <w:rFonts w:hint="default" w:ascii="华文仿宋" w:hAnsi="华文仿宋" w:eastAsia="华文仿宋" w:cs="华文仿宋"/>
          <w:color w:val="auto"/>
          <w:spacing w:val="-4"/>
          <w:sz w:val="32"/>
        </w:rPr>
        <w:t>8-200</w:t>
      </w:r>
      <w:r>
        <w:rPr>
          <w:rFonts w:hint="default" w:ascii="华文仿宋" w:hAnsi="华文仿宋" w:eastAsia="华文仿宋" w:cs="华文仿宋"/>
          <w:color w:val="auto"/>
          <w:spacing w:val="-8"/>
          <w:sz w:val="32"/>
        </w:rPr>
        <w:t>2</w:t>
      </w:r>
      <w:r>
        <w:rPr>
          <w:rFonts w:hint="default" w:ascii="华文仿宋" w:hAnsi="华文仿宋" w:eastAsia="华文仿宋" w:cs="华文仿宋"/>
          <w:color w:val="auto"/>
          <w:spacing w:val="-4"/>
          <w:sz w:val="32"/>
        </w:rPr>
        <w:t>）Ⅳ类标准。</w:t>
      </w:r>
      <w:r>
        <w:rPr>
          <w:rFonts w:hint="default" w:ascii="华文仿宋" w:hAnsi="华文仿宋" w:eastAsia="华文仿宋" w:cs="华文仿宋"/>
          <w:color w:val="auto"/>
          <w:sz w:val="32"/>
        </w:rPr>
        <w:t>2</w:t>
      </w:r>
      <w:r>
        <w:rPr>
          <w:rFonts w:hint="default" w:ascii="华文仿宋" w:hAnsi="华文仿宋" w:eastAsia="华文仿宋" w:cs="华文仿宋"/>
          <w:color w:val="auto"/>
          <w:spacing w:val="-43"/>
          <w:sz w:val="32"/>
        </w:rPr>
        <w:t xml:space="preserve"> </w:t>
      </w:r>
      <w:r>
        <w:rPr>
          <w:rFonts w:hint="default" w:ascii="华文仿宋" w:hAnsi="华文仿宋" w:eastAsia="华文仿宋" w:cs="华文仿宋"/>
          <w:color w:val="auto"/>
          <w:spacing w:val="-4"/>
          <w:sz w:val="32"/>
        </w:rPr>
        <w:t>个国控断面具体情况见</w:t>
      </w:r>
      <w:r>
        <w:rPr>
          <w:rFonts w:hint="default" w:ascii="华文仿宋" w:hAnsi="华文仿宋" w:eastAsia="华文仿宋" w:cs="华文仿宋"/>
          <w:color w:val="auto"/>
          <w:sz w:val="32"/>
        </w:rPr>
        <w:t>表</w:t>
      </w:r>
      <w:r>
        <w:rPr>
          <w:rFonts w:hint="default" w:ascii="华文仿宋" w:hAnsi="华文仿宋" w:eastAsia="华文仿宋" w:cs="华文仿宋"/>
          <w:color w:val="auto"/>
          <w:spacing w:val="-44"/>
          <w:sz w:val="32"/>
        </w:rPr>
        <w:t xml:space="preserve"> </w:t>
      </w:r>
      <w:r>
        <w:rPr>
          <w:rFonts w:hint="default" w:ascii="华文仿宋" w:hAnsi="华文仿宋" w:eastAsia="华文仿宋" w:cs="华文仿宋"/>
          <w:color w:val="auto"/>
          <w:spacing w:val="-4"/>
          <w:sz w:val="32"/>
        </w:rPr>
        <w:t>2</w:t>
      </w:r>
      <w:r>
        <w:rPr>
          <w:rFonts w:hint="default" w:ascii="华文仿宋" w:hAnsi="华文仿宋" w:eastAsia="华文仿宋" w:cs="华文仿宋"/>
          <w:color w:val="auto"/>
          <w:spacing w:val="-5"/>
          <w:sz w:val="32"/>
        </w:rPr>
        <w:t>.</w:t>
      </w:r>
      <w:r>
        <w:rPr>
          <w:rFonts w:hint="default" w:ascii="华文仿宋" w:hAnsi="华文仿宋" w:eastAsia="华文仿宋" w:cs="华文仿宋"/>
          <w:color w:val="auto"/>
          <w:spacing w:val="-4"/>
          <w:sz w:val="32"/>
        </w:rPr>
        <w:t>3-</w:t>
      </w:r>
      <w:r>
        <w:rPr>
          <w:rFonts w:hint="eastAsia" w:ascii="华文仿宋" w:hAnsi="华文仿宋" w:eastAsia="华文仿宋" w:cs="华文仿宋"/>
          <w:color w:val="auto"/>
          <w:spacing w:val="-4"/>
          <w:sz w:val="32"/>
          <w:lang w:val="en-US" w:eastAsia="zh-CN"/>
        </w:rPr>
        <w:t>1</w:t>
      </w:r>
      <w:r>
        <w:rPr>
          <w:rFonts w:hint="default" w:ascii="华文仿宋" w:hAnsi="华文仿宋" w:eastAsia="华文仿宋" w:cs="华文仿宋"/>
          <w:color w:val="auto"/>
          <w:sz w:val="32"/>
        </w:rPr>
        <w:t>：</w:t>
      </w:r>
    </w:p>
    <w:p>
      <w:pPr>
        <w:pStyle w:val="13"/>
        <w:jc w:val="center"/>
        <w:rPr>
          <w:rFonts w:hint="default" w:eastAsia="仿宋_GB2312" w:asciiTheme="minorHAnsi" w:hAnsiTheme="minorHAnsi" w:cstheme="minorBidi"/>
          <w:b/>
          <w:bCs/>
          <w:color w:val="auto"/>
          <w:kern w:val="0"/>
          <w:sz w:val="24"/>
          <w:szCs w:val="24"/>
          <w:lang w:val="en-US" w:eastAsia="zh-CN" w:bidi="ar-SA"/>
        </w:rPr>
      </w:pPr>
      <w:r>
        <w:rPr>
          <w:rFonts w:hint="default" w:eastAsia="仿宋_GB2312" w:asciiTheme="minorHAnsi" w:hAnsiTheme="minorHAnsi" w:cstheme="minorBidi"/>
          <w:b/>
          <w:bCs/>
          <w:color w:val="auto"/>
          <w:kern w:val="0"/>
          <w:sz w:val="24"/>
          <w:szCs w:val="24"/>
          <w:lang w:val="en-US" w:eastAsia="zh-CN" w:bidi="ar-SA"/>
        </w:rPr>
        <w:t>表 2.3-</w:t>
      </w:r>
      <w:r>
        <w:rPr>
          <w:rFonts w:hint="eastAsia" w:eastAsia="仿宋_GB2312" w:asciiTheme="minorHAnsi" w:hAnsiTheme="minorHAnsi" w:cstheme="minorBidi"/>
          <w:b/>
          <w:bCs/>
          <w:color w:val="auto"/>
          <w:kern w:val="0"/>
          <w:sz w:val="24"/>
          <w:szCs w:val="24"/>
          <w:lang w:val="en-US" w:eastAsia="zh-CN" w:bidi="ar-SA"/>
        </w:rPr>
        <w:t>1</w:t>
      </w:r>
      <w:r>
        <w:rPr>
          <w:rFonts w:hint="default" w:eastAsia="仿宋_GB2312" w:asciiTheme="minorHAnsi" w:hAnsiTheme="minorHAnsi" w:cstheme="minorBidi"/>
          <w:b/>
          <w:bCs/>
          <w:color w:val="auto"/>
          <w:kern w:val="0"/>
          <w:sz w:val="24"/>
          <w:szCs w:val="24"/>
          <w:lang w:val="en-US" w:eastAsia="zh-CN" w:bidi="ar-SA"/>
        </w:rPr>
        <w:t xml:space="preserve"> 断面基本信息表</w:t>
      </w:r>
    </w:p>
    <w:tbl>
      <w:tblPr>
        <w:tblStyle w:val="20"/>
        <w:tblW w:w="930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2"/>
        <w:gridCol w:w="403"/>
        <w:gridCol w:w="403"/>
        <w:gridCol w:w="402"/>
        <w:gridCol w:w="478"/>
        <w:gridCol w:w="465"/>
        <w:gridCol w:w="465"/>
        <w:gridCol w:w="465"/>
        <w:gridCol w:w="452"/>
        <w:gridCol w:w="662"/>
        <w:gridCol w:w="783"/>
        <w:gridCol w:w="590"/>
        <w:gridCol w:w="682"/>
        <w:gridCol w:w="747"/>
        <w:gridCol w:w="557"/>
        <w:gridCol w:w="616"/>
        <w:gridCol w:w="7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2" w:hRule="atLeast"/>
        </w:trPr>
        <w:tc>
          <w:tcPr>
            <w:tcW w:w="424" w:type="dxa"/>
            <w:vMerge w:val="restart"/>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序</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号</w:t>
            </w:r>
          </w:p>
        </w:tc>
        <w:tc>
          <w:tcPr>
            <w:tcW w:w="405" w:type="dxa"/>
            <w:vMerge w:val="restart"/>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省</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份</w:t>
            </w:r>
          </w:p>
        </w:tc>
        <w:tc>
          <w:tcPr>
            <w:tcW w:w="405" w:type="dxa"/>
            <w:vMerge w:val="restart"/>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地</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市</w:t>
            </w:r>
          </w:p>
        </w:tc>
        <w:tc>
          <w:tcPr>
            <w:tcW w:w="404" w:type="dxa"/>
            <w:vMerge w:val="restart"/>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区</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县</w:t>
            </w:r>
          </w:p>
        </w:tc>
        <w:tc>
          <w:tcPr>
            <w:tcW w:w="480" w:type="dxa"/>
            <w:vMerge w:val="restart"/>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所属</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流域</w:t>
            </w:r>
          </w:p>
        </w:tc>
        <w:tc>
          <w:tcPr>
            <w:tcW w:w="467" w:type="dxa"/>
            <w:vMerge w:val="restart"/>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断面</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名称</w:t>
            </w:r>
          </w:p>
        </w:tc>
        <w:tc>
          <w:tcPr>
            <w:tcW w:w="467" w:type="dxa"/>
            <w:vMerge w:val="restart"/>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断面</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类型</w:t>
            </w:r>
          </w:p>
        </w:tc>
        <w:tc>
          <w:tcPr>
            <w:tcW w:w="467" w:type="dxa"/>
            <w:vMerge w:val="restart"/>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所在</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水体</w:t>
            </w:r>
          </w:p>
        </w:tc>
        <w:tc>
          <w:tcPr>
            <w:tcW w:w="454" w:type="dxa"/>
            <w:vMerge w:val="restart"/>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断面</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级别</w:t>
            </w:r>
          </w:p>
        </w:tc>
        <w:tc>
          <w:tcPr>
            <w:tcW w:w="632" w:type="dxa"/>
            <w:vMerge w:val="restart"/>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经度</w:t>
            </w:r>
          </w:p>
        </w:tc>
        <w:tc>
          <w:tcPr>
            <w:tcW w:w="785" w:type="dxa"/>
            <w:vMerge w:val="restart"/>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纬度</w:t>
            </w:r>
          </w:p>
        </w:tc>
        <w:tc>
          <w:tcPr>
            <w:tcW w:w="3919" w:type="dxa"/>
            <w:gridSpan w:val="6"/>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水质状况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2" w:hRule="atLeast"/>
        </w:trPr>
        <w:tc>
          <w:tcPr>
            <w:tcW w:w="424" w:type="dxa"/>
            <w:vMerge w:val="continue"/>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sz w:val="24"/>
                <w:szCs w:val="24"/>
              </w:rPr>
            </w:pPr>
          </w:p>
        </w:tc>
        <w:tc>
          <w:tcPr>
            <w:tcW w:w="405" w:type="dxa"/>
            <w:vMerge w:val="continue"/>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sz w:val="24"/>
                <w:szCs w:val="24"/>
              </w:rPr>
            </w:pPr>
          </w:p>
        </w:tc>
        <w:tc>
          <w:tcPr>
            <w:tcW w:w="405" w:type="dxa"/>
            <w:vMerge w:val="continue"/>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sz w:val="24"/>
                <w:szCs w:val="24"/>
              </w:rPr>
            </w:pPr>
          </w:p>
        </w:tc>
        <w:tc>
          <w:tcPr>
            <w:tcW w:w="404" w:type="dxa"/>
            <w:vMerge w:val="continue"/>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sz w:val="24"/>
                <w:szCs w:val="24"/>
              </w:rPr>
            </w:pPr>
          </w:p>
        </w:tc>
        <w:tc>
          <w:tcPr>
            <w:tcW w:w="480" w:type="dxa"/>
            <w:vMerge w:val="continue"/>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sz w:val="24"/>
                <w:szCs w:val="24"/>
              </w:rPr>
            </w:pPr>
          </w:p>
        </w:tc>
        <w:tc>
          <w:tcPr>
            <w:tcW w:w="467" w:type="dxa"/>
            <w:vMerge w:val="continue"/>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sz w:val="24"/>
                <w:szCs w:val="24"/>
              </w:rPr>
            </w:pPr>
          </w:p>
        </w:tc>
        <w:tc>
          <w:tcPr>
            <w:tcW w:w="467" w:type="dxa"/>
            <w:vMerge w:val="continue"/>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sz w:val="24"/>
                <w:szCs w:val="24"/>
              </w:rPr>
            </w:pPr>
          </w:p>
        </w:tc>
        <w:tc>
          <w:tcPr>
            <w:tcW w:w="467" w:type="dxa"/>
            <w:vMerge w:val="continue"/>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sz w:val="24"/>
                <w:szCs w:val="24"/>
              </w:rPr>
            </w:pPr>
          </w:p>
        </w:tc>
        <w:tc>
          <w:tcPr>
            <w:tcW w:w="454" w:type="dxa"/>
            <w:vMerge w:val="continue"/>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sz w:val="24"/>
                <w:szCs w:val="24"/>
              </w:rPr>
            </w:pPr>
          </w:p>
        </w:tc>
        <w:tc>
          <w:tcPr>
            <w:tcW w:w="632" w:type="dxa"/>
            <w:vMerge w:val="continue"/>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sz w:val="24"/>
                <w:szCs w:val="24"/>
              </w:rPr>
            </w:pPr>
          </w:p>
        </w:tc>
        <w:tc>
          <w:tcPr>
            <w:tcW w:w="785" w:type="dxa"/>
            <w:vMerge w:val="continue"/>
            <w:vAlign w:val="center"/>
          </w:tcPr>
          <w:p>
            <w:pPr>
              <w:widowControl/>
              <w:adjustRightInd w:val="0"/>
              <w:snapToGrid w:val="0"/>
              <w:spacing w:line="240" w:lineRule="auto"/>
              <w:ind w:firstLine="0" w:firstLineChars="0"/>
              <w:jc w:val="center"/>
              <w:rPr>
                <w:rFonts w:ascii="Times New Roman" w:hAnsi="Times New Roman" w:eastAsia="宋体" w:cs="Times New Roman"/>
                <w:bCs/>
                <w:color w:val="auto"/>
                <w:sz w:val="24"/>
                <w:szCs w:val="24"/>
              </w:rPr>
            </w:pPr>
          </w:p>
        </w:tc>
        <w:tc>
          <w:tcPr>
            <w:tcW w:w="591"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2015</w:t>
            </w:r>
          </w:p>
        </w:tc>
        <w:tc>
          <w:tcPr>
            <w:tcW w:w="684"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2016</w:t>
            </w:r>
          </w:p>
        </w:tc>
        <w:tc>
          <w:tcPr>
            <w:tcW w:w="75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2017</w:t>
            </w:r>
          </w:p>
        </w:tc>
        <w:tc>
          <w:tcPr>
            <w:tcW w:w="558"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2018</w:t>
            </w:r>
          </w:p>
        </w:tc>
        <w:tc>
          <w:tcPr>
            <w:tcW w:w="617"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2019</w:t>
            </w:r>
          </w:p>
        </w:tc>
        <w:tc>
          <w:tcPr>
            <w:tcW w:w="719"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25" w:hRule="exact"/>
        </w:trPr>
        <w:tc>
          <w:tcPr>
            <w:tcW w:w="424"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w:t>
            </w:r>
          </w:p>
        </w:tc>
        <w:tc>
          <w:tcPr>
            <w:tcW w:w="40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安</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徽</w:t>
            </w:r>
          </w:p>
        </w:tc>
        <w:tc>
          <w:tcPr>
            <w:tcW w:w="40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蚌</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埠</w:t>
            </w:r>
          </w:p>
        </w:tc>
        <w:tc>
          <w:tcPr>
            <w:tcW w:w="404"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固</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镇</w:t>
            </w:r>
          </w:p>
        </w:tc>
        <w:tc>
          <w:tcPr>
            <w:tcW w:w="48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淮河</w:t>
            </w:r>
          </w:p>
        </w:tc>
        <w:tc>
          <w:tcPr>
            <w:tcW w:w="467"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湖沟</w:t>
            </w:r>
          </w:p>
        </w:tc>
        <w:tc>
          <w:tcPr>
            <w:tcW w:w="467"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河流</w:t>
            </w:r>
          </w:p>
        </w:tc>
        <w:tc>
          <w:tcPr>
            <w:tcW w:w="467"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浍河</w:t>
            </w:r>
          </w:p>
        </w:tc>
        <w:tc>
          <w:tcPr>
            <w:tcW w:w="454"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国控</w:t>
            </w:r>
          </w:p>
        </w:tc>
        <w:tc>
          <w:tcPr>
            <w:tcW w:w="632"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117.13</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86</w:t>
            </w:r>
          </w:p>
        </w:tc>
        <w:tc>
          <w:tcPr>
            <w:tcW w:w="78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33.36</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79</w:t>
            </w:r>
          </w:p>
        </w:tc>
        <w:tc>
          <w:tcPr>
            <w:tcW w:w="591"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Ⅳ</w:t>
            </w:r>
          </w:p>
        </w:tc>
        <w:tc>
          <w:tcPr>
            <w:tcW w:w="684"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Ⅳ</w:t>
            </w:r>
          </w:p>
        </w:tc>
        <w:tc>
          <w:tcPr>
            <w:tcW w:w="75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Ⅳ</w:t>
            </w:r>
          </w:p>
        </w:tc>
        <w:tc>
          <w:tcPr>
            <w:tcW w:w="558"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Ⅳ</w:t>
            </w:r>
          </w:p>
        </w:tc>
        <w:tc>
          <w:tcPr>
            <w:tcW w:w="617"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Ⅳ</w:t>
            </w:r>
          </w:p>
        </w:tc>
        <w:tc>
          <w:tcPr>
            <w:tcW w:w="719"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347" w:hRule="exact"/>
        </w:trPr>
        <w:tc>
          <w:tcPr>
            <w:tcW w:w="424"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w:t>
            </w:r>
          </w:p>
        </w:tc>
        <w:tc>
          <w:tcPr>
            <w:tcW w:w="40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安</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徽</w:t>
            </w:r>
          </w:p>
        </w:tc>
        <w:tc>
          <w:tcPr>
            <w:tcW w:w="40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蚌</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埠</w:t>
            </w:r>
          </w:p>
        </w:tc>
        <w:tc>
          <w:tcPr>
            <w:tcW w:w="404"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固</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镇</w:t>
            </w:r>
          </w:p>
        </w:tc>
        <w:tc>
          <w:tcPr>
            <w:tcW w:w="48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淮河</w:t>
            </w:r>
          </w:p>
        </w:tc>
        <w:tc>
          <w:tcPr>
            <w:tcW w:w="467"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蚌埠</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固镇</w:t>
            </w:r>
          </w:p>
        </w:tc>
        <w:tc>
          <w:tcPr>
            <w:tcW w:w="467"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河流</w:t>
            </w:r>
          </w:p>
        </w:tc>
        <w:tc>
          <w:tcPr>
            <w:tcW w:w="467"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浍河</w:t>
            </w:r>
          </w:p>
        </w:tc>
        <w:tc>
          <w:tcPr>
            <w:tcW w:w="454"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国控</w:t>
            </w:r>
          </w:p>
        </w:tc>
        <w:tc>
          <w:tcPr>
            <w:tcW w:w="632"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117.35</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72</w:t>
            </w:r>
          </w:p>
        </w:tc>
        <w:tc>
          <w:tcPr>
            <w:tcW w:w="78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33.28</w:t>
            </w:r>
          </w:p>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72</w:t>
            </w:r>
          </w:p>
        </w:tc>
        <w:tc>
          <w:tcPr>
            <w:tcW w:w="591"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Ⅳ</w:t>
            </w:r>
          </w:p>
        </w:tc>
        <w:tc>
          <w:tcPr>
            <w:tcW w:w="684"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Ⅳ</w:t>
            </w:r>
          </w:p>
        </w:tc>
        <w:tc>
          <w:tcPr>
            <w:tcW w:w="750"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Ⅳ</w:t>
            </w:r>
          </w:p>
        </w:tc>
        <w:tc>
          <w:tcPr>
            <w:tcW w:w="558"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Ⅳ</w:t>
            </w:r>
          </w:p>
        </w:tc>
        <w:tc>
          <w:tcPr>
            <w:tcW w:w="617"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Ⅳ</w:t>
            </w:r>
          </w:p>
        </w:tc>
        <w:tc>
          <w:tcPr>
            <w:tcW w:w="719"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Ⅳ</w:t>
            </w:r>
          </w:p>
        </w:tc>
      </w:tr>
    </w:tbl>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color w:val="auto"/>
          <w:lang w:val="en-US" w:eastAsia="zh-CN"/>
        </w:rPr>
      </w:pPr>
      <w:bookmarkStart w:id="49" w:name="_Toc4348"/>
      <w:bookmarkStart w:id="50" w:name="_Toc151"/>
      <w:bookmarkStart w:id="51" w:name="_Toc26214"/>
      <w:r>
        <w:rPr>
          <w:rFonts w:hint="eastAsia"/>
          <w:color w:val="auto"/>
          <w:lang w:val="en-US" w:eastAsia="zh-CN"/>
        </w:rPr>
        <w:t>3、固镇县畜禽养殖现状</w:t>
      </w:r>
      <w:bookmarkEnd w:id="49"/>
      <w:bookmarkEnd w:id="50"/>
      <w:bookmarkEnd w:id="51"/>
    </w:p>
    <w:p>
      <w:pPr>
        <w:pStyle w:val="5"/>
        <w:rPr>
          <w:rFonts w:hint="eastAsia"/>
          <w:color w:val="auto"/>
          <w:lang w:val="zh-CN" w:eastAsia="zh-CN"/>
        </w:rPr>
      </w:pPr>
      <w:bookmarkStart w:id="52" w:name="_Toc27470"/>
      <w:bookmarkStart w:id="53" w:name="_Toc11953"/>
      <w:bookmarkStart w:id="54" w:name="_Toc11687"/>
      <w:r>
        <w:rPr>
          <w:rFonts w:hint="eastAsia"/>
          <w:color w:val="auto"/>
          <w:lang w:val="en-US" w:eastAsia="zh-CN"/>
        </w:rPr>
        <w:t>3.1</w:t>
      </w:r>
      <w:r>
        <w:rPr>
          <w:rFonts w:hint="eastAsia"/>
          <w:color w:val="auto"/>
          <w:lang w:val="zh-CN" w:eastAsia="zh-CN"/>
        </w:rPr>
        <w:t>畜禽养殖基本情况</w:t>
      </w:r>
      <w:bookmarkEnd w:id="52"/>
      <w:bookmarkEnd w:id="53"/>
      <w:bookmarkEnd w:id="54"/>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color w:val="auto"/>
          <w:lang w:val="en-US" w:eastAsia="zh-CN"/>
        </w:rPr>
      </w:pPr>
      <w:bookmarkStart w:id="55" w:name="_Toc5018"/>
      <w:r>
        <w:rPr>
          <w:rFonts w:hint="eastAsia"/>
          <w:color w:val="auto"/>
          <w:lang w:val="en-US" w:eastAsia="zh-CN"/>
        </w:rPr>
        <w:t>3.1.1固镇县畜禽养殖统计数据</w:t>
      </w:r>
      <w:bookmarkEnd w:id="55"/>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highlight w:val="none"/>
          <w:shd w:val="clear" w:color="FFFFFF" w:fill="D9D9D9"/>
          <w:lang w:val="en-US" w:eastAsia="zh-CN"/>
        </w:rPr>
      </w:pPr>
      <w:r>
        <w:rPr>
          <w:rFonts w:hint="eastAsia" w:eastAsia="仿宋_GB2312"/>
          <w:color w:val="auto"/>
          <w:kern w:val="0"/>
          <w:sz w:val="30"/>
          <w:szCs w:val="30"/>
          <w:lang w:val="en-US" w:eastAsia="zh-CN"/>
        </w:rPr>
        <w:t>固镇全县畜禽养殖品种以猪、牛、羊和鸡为主，</w:t>
      </w:r>
      <w:r>
        <w:rPr>
          <w:rFonts w:hint="eastAsia" w:eastAsia="仿宋_GB2312"/>
          <w:color w:val="auto"/>
          <w:kern w:val="0"/>
          <w:sz w:val="30"/>
          <w:szCs w:val="30"/>
          <w:lang w:val="zh-CN" w:eastAsia="zh-CN"/>
        </w:rPr>
        <w:t>2020年全县生猪存栏</w:t>
      </w:r>
      <w:r>
        <w:rPr>
          <w:rFonts w:hint="eastAsia" w:eastAsia="仿宋_GB2312"/>
          <w:color w:val="auto"/>
          <w:kern w:val="0"/>
          <w:sz w:val="30"/>
          <w:szCs w:val="30"/>
          <w:lang w:val="en-US" w:eastAsia="zh-CN"/>
        </w:rPr>
        <w:t>35</w:t>
      </w:r>
      <w:r>
        <w:rPr>
          <w:rFonts w:hint="eastAsia" w:eastAsia="仿宋_GB2312"/>
          <w:color w:val="auto"/>
          <w:kern w:val="0"/>
          <w:sz w:val="30"/>
          <w:szCs w:val="30"/>
          <w:lang w:val="zh-CN" w:eastAsia="zh-CN"/>
        </w:rPr>
        <w:t>万头，肉牛存栏</w:t>
      </w:r>
      <w:r>
        <w:rPr>
          <w:rFonts w:hint="eastAsia" w:eastAsia="仿宋_GB2312"/>
          <w:color w:val="auto"/>
          <w:kern w:val="0"/>
          <w:sz w:val="30"/>
          <w:szCs w:val="30"/>
          <w:lang w:val="en-US" w:eastAsia="zh-CN"/>
        </w:rPr>
        <w:t>2.91</w:t>
      </w:r>
      <w:r>
        <w:rPr>
          <w:rFonts w:hint="eastAsia" w:eastAsia="仿宋_GB2312"/>
          <w:color w:val="auto"/>
          <w:kern w:val="0"/>
          <w:sz w:val="30"/>
          <w:szCs w:val="30"/>
          <w:lang w:val="zh-CN" w:eastAsia="zh-CN"/>
        </w:rPr>
        <w:t>万头，羊存栏</w:t>
      </w:r>
      <w:r>
        <w:rPr>
          <w:rFonts w:hint="eastAsia" w:eastAsia="仿宋_GB2312"/>
          <w:color w:val="auto"/>
          <w:kern w:val="0"/>
          <w:sz w:val="30"/>
          <w:szCs w:val="30"/>
          <w:lang w:val="en-US" w:eastAsia="zh-CN"/>
        </w:rPr>
        <w:t>33</w:t>
      </w:r>
      <w:r>
        <w:rPr>
          <w:rFonts w:hint="eastAsia" w:eastAsia="仿宋_GB2312"/>
          <w:color w:val="auto"/>
          <w:kern w:val="0"/>
          <w:sz w:val="30"/>
          <w:szCs w:val="30"/>
          <w:lang w:val="zh-CN" w:eastAsia="zh-CN"/>
        </w:rPr>
        <w:t>万只，鸡存栏</w:t>
      </w:r>
      <w:r>
        <w:rPr>
          <w:rFonts w:hint="eastAsia" w:eastAsia="仿宋_GB2312"/>
          <w:color w:val="auto"/>
          <w:kern w:val="0"/>
          <w:sz w:val="30"/>
          <w:szCs w:val="30"/>
          <w:lang w:val="en-US" w:eastAsia="zh-CN"/>
        </w:rPr>
        <w:t>1171.7</w:t>
      </w:r>
      <w:r>
        <w:rPr>
          <w:rFonts w:hint="eastAsia" w:eastAsia="仿宋_GB2312"/>
          <w:color w:val="auto"/>
          <w:kern w:val="0"/>
          <w:sz w:val="30"/>
          <w:szCs w:val="30"/>
          <w:lang w:val="zh-CN" w:eastAsia="zh-CN"/>
        </w:rPr>
        <w:t>万只。</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近几年来，随着畜牧业产业结构调整步伐的加快，畜牧技术推广和动物防疫工作力度加大，以及动物卫生监督管理体系的进一步完善，固镇县的畜牧业发展整体呈递增趋势。</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color w:val="auto"/>
          <w:lang w:val="zh-CN" w:eastAsia="zh-CN"/>
        </w:rPr>
      </w:pPr>
      <w:bookmarkStart w:id="56" w:name="_Toc6108"/>
      <w:r>
        <w:rPr>
          <w:rFonts w:hint="eastAsia"/>
          <w:color w:val="auto"/>
          <w:lang w:val="en-US" w:eastAsia="zh-CN"/>
        </w:rPr>
        <w:t>3.1.2固镇</w:t>
      </w:r>
      <w:r>
        <w:rPr>
          <w:color w:val="auto"/>
          <w:lang w:val="zh-CN" w:eastAsia="zh-CN"/>
        </w:rPr>
        <w:t>县</w:t>
      </w:r>
      <w:r>
        <w:rPr>
          <w:rFonts w:hint="eastAsia"/>
          <w:color w:val="auto"/>
          <w:lang w:val="en-US" w:eastAsia="zh-CN"/>
        </w:rPr>
        <w:t>2020年</w:t>
      </w:r>
      <w:r>
        <w:rPr>
          <w:color w:val="auto"/>
          <w:lang w:val="zh-CN" w:eastAsia="zh-CN"/>
        </w:rPr>
        <w:t>畜禽养殖统计数据</w:t>
      </w:r>
      <w:bookmarkEnd w:id="5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_GB2312"/>
          <w:color w:val="auto"/>
          <w:kern w:val="0"/>
          <w:sz w:val="30"/>
          <w:szCs w:val="30"/>
          <w:lang w:val="en-US" w:eastAsia="zh-CN"/>
        </w:rPr>
      </w:pPr>
      <w:r>
        <w:rPr>
          <w:rFonts w:hint="eastAsia" w:eastAsia="仿宋_GB2312"/>
          <w:color w:val="auto"/>
          <w:kern w:val="0"/>
          <w:sz w:val="28"/>
          <w:szCs w:val="28"/>
          <w:lang w:val="en-US" w:eastAsia="zh-CN"/>
        </w:rPr>
        <w:t>固镇县畜禽养殖主要分布在湖沟镇、连城镇、新马桥镇、仲兴镇等区域，2020年</w:t>
      </w:r>
      <w:r>
        <w:rPr>
          <w:rFonts w:hint="eastAsia" w:eastAsia="仿宋_GB2312"/>
          <w:color w:val="auto"/>
          <w:kern w:val="0"/>
          <w:sz w:val="30"/>
          <w:szCs w:val="30"/>
          <w:lang w:val="en-US" w:eastAsia="zh-CN"/>
        </w:rPr>
        <w:t>，固镇县猪、牛、羊、鸡存栏数详见表3.1-1。</w:t>
      </w:r>
    </w:p>
    <w:p>
      <w:pPr>
        <w:pStyle w:val="13"/>
        <w:jc w:val="center"/>
        <w:rPr>
          <w:rFonts w:hint="eastAsia" w:eastAsia="仿宋_GB2312" w:asciiTheme="minorHAnsi" w:hAnsiTheme="minorHAnsi" w:cstheme="minorBidi"/>
          <w:b/>
          <w:bCs/>
          <w:color w:val="auto"/>
          <w:kern w:val="0"/>
          <w:sz w:val="24"/>
          <w:szCs w:val="24"/>
          <w:lang w:val="en-US" w:eastAsia="zh-CN" w:bidi="ar-SA"/>
        </w:rPr>
      </w:pPr>
      <w:r>
        <w:rPr>
          <w:rFonts w:hint="default" w:eastAsia="仿宋_GB2312" w:asciiTheme="minorHAnsi" w:hAnsiTheme="minorHAnsi" w:cstheme="minorBidi"/>
          <w:b/>
          <w:bCs/>
          <w:color w:val="auto"/>
          <w:kern w:val="0"/>
          <w:sz w:val="24"/>
          <w:szCs w:val="24"/>
          <w:lang w:val="en-US" w:eastAsia="zh-CN" w:bidi="ar-SA"/>
        </w:rPr>
        <w:t xml:space="preserve">表 3.1-1 </w:t>
      </w:r>
      <w:r>
        <w:rPr>
          <w:rFonts w:hint="eastAsia" w:eastAsia="仿宋_GB2312" w:asciiTheme="minorHAnsi" w:hAnsiTheme="minorHAnsi" w:cstheme="minorBidi"/>
          <w:b/>
          <w:bCs/>
          <w:color w:val="auto"/>
          <w:kern w:val="0"/>
          <w:sz w:val="24"/>
          <w:szCs w:val="24"/>
          <w:lang w:val="en-US" w:eastAsia="zh-CN" w:bidi="ar-SA"/>
        </w:rPr>
        <w:t xml:space="preserve"> </w:t>
      </w:r>
      <w:r>
        <w:rPr>
          <w:rFonts w:hint="default" w:eastAsia="仿宋_GB2312" w:asciiTheme="minorHAnsi" w:hAnsiTheme="minorHAnsi" w:cstheme="minorBidi"/>
          <w:b/>
          <w:bCs/>
          <w:color w:val="auto"/>
          <w:kern w:val="0"/>
          <w:sz w:val="24"/>
          <w:szCs w:val="24"/>
          <w:lang w:val="en-US" w:eastAsia="zh-CN" w:bidi="ar-SA"/>
        </w:rPr>
        <w:t>2020年</w:t>
      </w:r>
      <w:r>
        <w:rPr>
          <w:rFonts w:hint="eastAsia" w:eastAsia="仿宋_GB2312" w:asciiTheme="minorHAnsi" w:hAnsiTheme="minorHAnsi" w:cstheme="minorBidi"/>
          <w:b/>
          <w:bCs/>
          <w:color w:val="auto"/>
          <w:kern w:val="0"/>
          <w:sz w:val="24"/>
          <w:szCs w:val="24"/>
          <w:lang w:val="en-US" w:eastAsia="zh-CN" w:bidi="ar-SA"/>
        </w:rPr>
        <w:t>固镇县</w:t>
      </w:r>
      <w:r>
        <w:rPr>
          <w:rFonts w:hint="default" w:eastAsia="仿宋_GB2312" w:asciiTheme="minorHAnsi" w:hAnsiTheme="minorHAnsi" w:cstheme="minorBidi"/>
          <w:b/>
          <w:bCs/>
          <w:color w:val="auto"/>
          <w:kern w:val="0"/>
          <w:sz w:val="24"/>
          <w:szCs w:val="24"/>
          <w:lang w:val="en-US" w:eastAsia="zh-CN" w:bidi="ar-SA"/>
        </w:rPr>
        <w:t>猪、牛、羊、鸡年末存栏头数  单位：</w:t>
      </w:r>
      <w:r>
        <w:rPr>
          <w:rFonts w:hint="eastAsia" w:eastAsia="仿宋_GB2312" w:asciiTheme="minorHAnsi" w:hAnsiTheme="minorHAnsi" w:cstheme="minorBidi"/>
          <w:b/>
          <w:bCs/>
          <w:color w:val="auto"/>
          <w:kern w:val="0"/>
          <w:sz w:val="24"/>
          <w:szCs w:val="24"/>
          <w:lang w:val="en-US" w:eastAsia="zh-CN" w:bidi="ar-SA"/>
        </w:rPr>
        <w:t>万</w:t>
      </w:r>
      <w:r>
        <w:rPr>
          <w:rFonts w:hint="default" w:eastAsia="仿宋_GB2312" w:asciiTheme="minorHAnsi" w:hAnsiTheme="minorHAnsi" w:cstheme="minorBidi"/>
          <w:b/>
          <w:bCs/>
          <w:color w:val="auto"/>
          <w:kern w:val="0"/>
          <w:sz w:val="24"/>
          <w:szCs w:val="24"/>
          <w:lang w:val="en-US" w:eastAsia="zh-CN" w:bidi="ar-SA"/>
        </w:rPr>
        <w:t>头</w:t>
      </w:r>
    </w:p>
    <w:tbl>
      <w:tblPr>
        <w:tblStyle w:val="20"/>
        <w:tblW w:w="79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3"/>
        <w:gridCol w:w="1570"/>
        <w:gridCol w:w="1210"/>
        <w:gridCol w:w="1410"/>
        <w:gridCol w:w="1400"/>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13" w:type="dxa"/>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bookmarkStart w:id="57" w:name="_Toc27920"/>
            <w:r>
              <w:rPr>
                <w:rFonts w:hint="eastAsia" w:ascii="宋体" w:hAnsi="宋体" w:eastAsia="宋体" w:cs="宋体"/>
                <w:b/>
                <w:bCs/>
                <w:i w:val="0"/>
                <w:iCs w:val="0"/>
                <w:color w:val="auto"/>
                <w:kern w:val="0"/>
                <w:sz w:val="22"/>
                <w:szCs w:val="22"/>
                <w:u w:val="none"/>
                <w:lang w:val="en-US" w:eastAsia="zh-CN" w:bidi="ar"/>
              </w:rPr>
              <w:t>序号</w:t>
            </w:r>
          </w:p>
        </w:tc>
        <w:tc>
          <w:tcPr>
            <w:tcW w:w="157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地区</w:t>
            </w:r>
          </w:p>
        </w:tc>
        <w:tc>
          <w:tcPr>
            <w:tcW w:w="121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猪</w:t>
            </w:r>
          </w:p>
        </w:tc>
        <w:tc>
          <w:tcPr>
            <w:tcW w:w="141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鸡</w:t>
            </w:r>
          </w:p>
        </w:tc>
        <w:tc>
          <w:tcPr>
            <w:tcW w:w="140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羊</w:t>
            </w:r>
          </w:p>
        </w:tc>
        <w:tc>
          <w:tcPr>
            <w:tcW w:w="1362" w:type="dxa"/>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谷阳镇</w:t>
            </w:r>
          </w:p>
        </w:tc>
        <w:tc>
          <w:tcPr>
            <w:tcW w:w="1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0.65</w:t>
            </w:r>
          </w:p>
        </w:tc>
        <w:tc>
          <w:tcPr>
            <w:tcW w:w="1362"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石湖乡</w:t>
            </w:r>
          </w:p>
        </w:tc>
        <w:tc>
          <w:tcPr>
            <w:tcW w:w="1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24.4</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0.47</w:t>
            </w:r>
          </w:p>
        </w:tc>
        <w:tc>
          <w:tcPr>
            <w:tcW w:w="1362"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王庄镇</w:t>
            </w:r>
          </w:p>
        </w:tc>
        <w:tc>
          <w:tcPr>
            <w:tcW w:w="1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1362"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濠城镇</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52.5</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1362"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114</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4.12</w:t>
            </w:r>
          </w:p>
        </w:tc>
        <w:tc>
          <w:tcPr>
            <w:tcW w:w="1362"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连城镇</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315</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1362"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刘集镇</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49</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5.7</w:t>
            </w:r>
          </w:p>
        </w:tc>
        <w:tc>
          <w:tcPr>
            <w:tcW w:w="1362"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任桥镇</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4.2</w:t>
            </w:r>
          </w:p>
        </w:tc>
        <w:tc>
          <w:tcPr>
            <w:tcW w:w="1362"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新马桥镇</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338</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2.76</w:t>
            </w:r>
          </w:p>
        </w:tc>
        <w:tc>
          <w:tcPr>
            <w:tcW w:w="1362"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13" w:type="dxa"/>
            <w:tcBorders>
              <w:top w:val="single" w:color="000000" w:sz="4" w:space="0"/>
              <w:left w:val="single" w:color="auto"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57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杨庙镇</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97</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1362"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157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仲兴镇</w:t>
            </w:r>
          </w:p>
        </w:tc>
        <w:tc>
          <w:tcPr>
            <w:tcW w:w="1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7.6</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1362"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w:t>
            </w:r>
          </w:p>
        </w:tc>
        <w:tc>
          <w:tcPr>
            <w:tcW w:w="157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合计</w:t>
            </w:r>
          </w:p>
        </w:tc>
        <w:tc>
          <w:tcPr>
            <w:tcW w:w="1210" w:type="dxa"/>
            <w:tcBorders>
              <w:top w:val="single" w:color="000000" w:sz="4" w:space="0"/>
              <w:left w:val="single" w:color="auto"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141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1171.7</w:t>
            </w:r>
          </w:p>
        </w:tc>
        <w:tc>
          <w:tcPr>
            <w:tcW w:w="140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1362" w:type="dxa"/>
            <w:tcBorders>
              <w:top w:val="single" w:color="000000" w:sz="4" w:space="0"/>
              <w:left w:val="single" w:color="000000"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2.91</w:t>
            </w:r>
          </w:p>
        </w:tc>
      </w:tr>
    </w:tbl>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jc w:val="center"/>
        <w:textAlignment w:val="auto"/>
        <w:rPr>
          <w:rFonts w:hint="eastAsia" w:eastAsia="仿宋_GB2312" w:asciiTheme="minorHAnsi" w:hAnsiTheme="minorHAnsi" w:cstheme="minorBidi"/>
          <w:b/>
          <w:bCs/>
          <w:color w:val="auto"/>
          <w:kern w:val="0"/>
          <w:sz w:val="24"/>
          <w:szCs w:val="24"/>
          <w:lang w:val="zh-CN" w:eastAsia="zh-CN" w:bidi="ar-SA"/>
        </w:rPr>
      </w:pPr>
      <w:r>
        <w:rPr>
          <w:rFonts w:hint="eastAsia" w:ascii="宋体" w:hAnsi="宋体" w:eastAsia="宋体" w:cs="宋体"/>
          <w:b w:val="0"/>
          <w:i w:val="0"/>
          <w:iCs w:val="0"/>
          <w:color w:val="auto"/>
          <w:kern w:val="0"/>
          <w:sz w:val="22"/>
          <w:szCs w:val="22"/>
          <w:u w:val="none"/>
          <w:lang w:val="en-US" w:eastAsia="zh-CN" w:bidi="ar"/>
        </w:rPr>
        <w:t>（谷阳镇原名城关镇、杨庙镇原名杨庙乡、仲兴镇原名仲兴乡）</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color w:val="auto"/>
          <w:lang w:val="zh-CN" w:eastAsia="zh-CN"/>
        </w:rPr>
      </w:pPr>
      <w:r>
        <w:rPr>
          <w:rFonts w:hint="eastAsia"/>
          <w:color w:val="auto"/>
          <w:lang w:val="en-US" w:eastAsia="zh-CN"/>
        </w:rPr>
        <w:t>3.1.3</w:t>
      </w:r>
      <w:bookmarkEnd w:id="57"/>
      <w:r>
        <w:rPr>
          <w:rFonts w:hint="eastAsia"/>
          <w:color w:val="auto"/>
          <w:lang w:val="en-US" w:eastAsia="zh-CN"/>
        </w:rPr>
        <w:t>固镇县标准化规模养殖占比情况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eastAsia="仿宋_GB2312"/>
          <w:color w:val="auto"/>
          <w:kern w:val="0"/>
          <w:sz w:val="30"/>
          <w:szCs w:val="30"/>
          <w:lang w:val="en-US" w:eastAsia="zh-CN"/>
        </w:rPr>
      </w:pPr>
      <w:r>
        <w:rPr>
          <w:rFonts w:hint="eastAsia" w:eastAsia="仿宋_GB2312"/>
          <w:color w:val="auto"/>
          <w:kern w:val="0"/>
          <w:sz w:val="28"/>
          <w:szCs w:val="28"/>
          <w:highlight w:val="none"/>
          <w:shd w:val="clear"/>
          <w:lang w:val="en-US" w:eastAsia="zh-CN"/>
        </w:rPr>
        <w:t>根据统计，</w:t>
      </w:r>
      <w:r>
        <w:rPr>
          <w:rFonts w:hint="eastAsia" w:eastAsia="仿宋_GB2312"/>
          <w:color w:val="auto"/>
          <w:kern w:val="0"/>
          <w:sz w:val="28"/>
          <w:szCs w:val="28"/>
          <w:highlight w:val="none"/>
          <w:shd w:val="clear"/>
          <w:lang w:val="zh-CN" w:eastAsia="zh-CN"/>
        </w:rPr>
        <w:t>202</w:t>
      </w:r>
      <w:r>
        <w:rPr>
          <w:rFonts w:hint="eastAsia" w:eastAsia="仿宋_GB2312"/>
          <w:color w:val="auto"/>
          <w:kern w:val="0"/>
          <w:sz w:val="28"/>
          <w:szCs w:val="28"/>
          <w:highlight w:val="none"/>
          <w:shd w:val="clear"/>
          <w:lang w:val="en-US" w:eastAsia="zh-CN"/>
        </w:rPr>
        <w:t>0</w:t>
      </w:r>
      <w:r>
        <w:rPr>
          <w:rFonts w:hint="eastAsia" w:eastAsia="仿宋_GB2312"/>
          <w:color w:val="auto"/>
          <w:kern w:val="0"/>
          <w:sz w:val="28"/>
          <w:szCs w:val="28"/>
          <w:highlight w:val="none"/>
          <w:shd w:val="clear"/>
          <w:lang w:val="zh-CN" w:eastAsia="zh-CN"/>
        </w:rPr>
        <w:t>年</w:t>
      </w:r>
      <w:r>
        <w:rPr>
          <w:rFonts w:hint="eastAsia" w:eastAsia="仿宋_GB2312"/>
          <w:color w:val="auto"/>
          <w:kern w:val="0"/>
          <w:sz w:val="28"/>
          <w:szCs w:val="28"/>
          <w:highlight w:val="none"/>
          <w:shd w:val="clear"/>
          <w:lang w:val="en-US" w:eastAsia="zh-CN"/>
        </w:rPr>
        <w:t>，</w:t>
      </w:r>
      <w:r>
        <w:rPr>
          <w:rFonts w:hint="eastAsia" w:eastAsia="仿宋_GB2312"/>
          <w:color w:val="auto"/>
          <w:kern w:val="0"/>
          <w:sz w:val="28"/>
          <w:szCs w:val="28"/>
          <w:highlight w:val="none"/>
          <w:shd w:val="clear"/>
          <w:lang w:val="zh-CN" w:eastAsia="zh-CN"/>
        </w:rPr>
        <w:t>全县各类规模养殖场和中小养殖户共计743个，</w:t>
      </w:r>
      <w:r>
        <w:rPr>
          <w:rFonts w:hint="eastAsia" w:eastAsia="仿宋_GB2312"/>
          <w:color w:val="auto"/>
          <w:kern w:val="0"/>
          <w:sz w:val="28"/>
          <w:szCs w:val="28"/>
          <w:highlight w:val="none"/>
          <w:shd w:val="clear"/>
          <w:lang w:val="en-US" w:eastAsia="zh-CN"/>
        </w:rPr>
        <w:t>其中</w:t>
      </w:r>
      <w:r>
        <w:rPr>
          <w:rFonts w:hint="eastAsia" w:ascii="Times New Roman" w:hAnsi="Times New Roman" w:eastAsia="宋体" w:cs="Times New Roman"/>
          <w:i w:val="0"/>
          <w:iCs w:val="0"/>
          <w:color w:val="auto"/>
          <w:kern w:val="0"/>
          <w:sz w:val="28"/>
          <w:szCs w:val="28"/>
          <w:highlight w:val="none"/>
          <w:u w:val="none"/>
          <w:shd w:val="clear"/>
          <w:lang w:val="zh-CN" w:eastAsia="zh-CN" w:bidi="ar"/>
        </w:rPr>
        <w:t>规模化</w:t>
      </w:r>
      <w:r>
        <w:rPr>
          <w:rFonts w:hint="default" w:ascii="Times New Roman" w:hAnsi="Times New Roman" w:eastAsia="宋体" w:cs="Times New Roman"/>
          <w:i w:val="0"/>
          <w:iCs w:val="0"/>
          <w:color w:val="auto"/>
          <w:kern w:val="0"/>
          <w:sz w:val="28"/>
          <w:szCs w:val="28"/>
          <w:highlight w:val="none"/>
          <w:u w:val="none"/>
          <w:shd w:val="clear"/>
          <w:lang w:val="zh-CN" w:eastAsia="zh-CN" w:bidi="ar"/>
        </w:rPr>
        <w:t>养殖场</w:t>
      </w:r>
      <w:r>
        <w:rPr>
          <w:rFonts w:hint="eastAsia" w:eastAsia="仿宋_GB2312"/>
          <w:color w:val="auto"/>
          <w:kern w:val="0"/>
          <w:sz w:val="28"/>
          <w:szCs w:val="28"/>
          <w:highlight w:val="none"/>
          <w:shd w:val="clear"/>
          <w:lang w:val="zh-CN" w:eastAsia="zh-CN"/>
        </w:rPr>
        <w:t>约</w:t>
      </w:r>
      <w:r>
        <w:rPr>
          <w:rFonts w:hint="eastAsia" w:eastAsia="仿宋_GB2312"/>
          <w:color w:val="auto"/>
          <w:kern w:val="0"/>
          <w:sz w:val="28"/>
          <w:szCs w:val="28"/>
          <w:highlight w:val="none"/>
          <w:shd w:val="clear"/>
          <w:lang w:val="en-US" w:eastAsia="zh-CN"/>
        </w:rPr>
        <w:t>394个，规模养殖场占比约53%，具体养殖种类分布情况如下</w:t>
      </w:r>
      <w:r>
        <w:rPr>
          <w:rFonts w:hint="eastAsia" w:eastAsia="仿宋_GB2312"/>
          <w:color w:val="auto"/>
          <w:kern w:val="0"/>
          <w:sz w:val="30"/>
          <w:szCs w:val="30"/>
          <w:highlight w:val="none"/>
          <w:shd w:val="clear"/>
          <w:lang w:val="en-US" w:eastAsia="zh-CN"/>
        </w:rPr>
        <w:t>：</w:t>
      </w:r>
    </w:p>
    <w:p>
      <w:pPr>
        <w:pStyle w:val="13"/>
        <w:jc w:val="center"/>
        <w:rPr>
          <w:rFonts w:hint="default" w:eastAsia="仿宋_GB2312" w:asciiTheme="minorHAnsi" w:hAnsiTheme="minorHAnsi" w:cstheme="minorBidi"/>
          <w:b/>
          <w:bCs/>
          <w:color w:val="auto"/>
          <w:kern w:val="0"/>
          <w:sz w:val="24"/>
          <w:szCs w:val="24"/>
          <w:lang w:val="en-US" w:eastAsia="zh-CN" w:bidi="ar-SA"/>
        </w:rPr>
      </w:pPr>
      <w:r>
        <w:rPr>
          <w:rFonts w:hint="eastAsia" w:eastAsia="仿宋_GB2312" w:asciiTheme="minorHAnsi" w:hAnsiTheme="minorHAnsi" w:cstheme="minorBidi"/>
          <w:b/>
          <w:bCs/>
          <w:color w:val="auto"/>
          <w:kern w:val="0"/>
          <w:sz w:val="24"/>
          <w:szCs w:val="24"/>
          <w:lang w:val="zh-CN" w:eastAsia="zh-CN" w:bidi="ar-SA"/>
        </w:rPr>
        <w:t>表</w:t>
      </w:r>
      <w:r>
        <w:rPr>
          <w:rFonts w:hint="eastAsia" w:eastAsia="仿宋_GB2312" w:asciiTheme="minorHAnsi" w:hAnsiTheme="minorHAnsi" w:cstheme="minorBidi"/>
          <w:b/>
          <w:bCs/>
          <w:color w:val="auto"/>
          <w:kern w:val="0"/>
          <w:sz w:val="24"/>
          <w:szCs w:val="24"/>
          <w:lang w:val="en-US" w:eastAsia="zh-CN" w:bidi="ar-SA"/>
        </w:rPr>
        <w:t>3.1-2 固镇县标准化规模养殖占比情况</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2223"/>
        <w:gridCol w:w="1517"/>
        <w:gridCol w:w="1949"/>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zh-CN" w:eastAsia="zh-CN" w:bidi="ar"/>
              </w:rPr>
            </w:pPr>
            <w:r>
              <w:rPr>
                <w:rFonts w:hint="default" w:ascii="Times New Roman" w:hAnsi="Times New Roman" w:eastAsia="宋体" w:cs="Times New Roman"/>
                <w:i w:val="0"/>
                <w:iCs w:val="0"/>
                <w:color w:val="auto"/>
                <w:kern w:val="0"/>
                <w:sz w:val="24"/>
                <w:szCs w:val="24"/>
                <w:u w:val="none"/>
                <w:lang w:val="zh-CN" w:eastAsia="zh-CN" w:bidi="ar"/>
              </w:rPr>
              <w:t>种类</w:t>
            </w:r>
          </w:p>
        </w:tc>
        <w:tc>
          <w:tcPr>
            <w:tcW w:w="130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zh-CN" w:eastAsia="zh-CN" w:bidi="ar"/>
              </w:rPr>
            </w:pPr>
            <w:r>
              <w:rPr>
                <w:rFonts w:hint="default" w:ascii="Times New Roman" w:hAnsi="Times New Roman" w:eastAsia="宋体" w:cs="Times New Roman"/>
                <w:i w:val="0"/>
                <w:iCs w:val="0"/>
                <w:color w:val="auto"/>
                <w:kern w:val="0"/>
                <w:sz w:val="24"/>
                <w:szCs w:val="24"/>
                <w:u w:val="none"/>
                <w:lang w:val="zh-CN" w:eastAsia="zh-CN" w:bidi="ar"/>
              </w:rPr>
              <w:t>规模化养殖场标准</w:t>
            </w:r>
          </w:p>
        </w:tc>
        <w:tc>
          <w:tcPr>
            <w:tcW w:w="89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zh-CN" w:eastAsia="zh-CN" w:bidi="ar"/>
              </w:rPr>
            </w:pPr>
            <w:r>
              <w:rPr>
                <w:rFonts w:hint="eastAsia" w:ascii="Times New Roman" w:hAnsi="Times New Roman" w:eastAsia="宋体" w:cs="Times New Roman"/>
                <w:i w:val="0"/>
                <w:iCs w:val="0"/>
                <w:color w:val="auto"/>
                <w:kern w:val="0"/>
                <w:sz w:val="24"/>
                <w:szCs w:val="24"/>
                <w:u w:val="none"/>
                <w:lang w:val="zh-CN" w:eastAsia="zh-CN" w:bidi="ar"/>
              </w:rPr>
              <w:t>标准化规模</w:t>
            </w:r>
            <w:r>
              <w:rPr>
                <w:rFonts w:hint="default" w:ascii="Times New Roman" w:hAnsi="Times New Roman" w:eastAsia="宋体" w:cs="Times New Roman"/>
                <w:i w:val="0"/>
                <w:iCs w:val="0"/>
                <w:color w:val="auto"/>
                <w:kern w:val="0"/>
                <w:sz w:val="24"/>
                <w:szCs w:val="24"/>
                <w:u w:val="none"/>
                <w:lang w:val="zh-CN" w:eastAsia="zh-CN" w:bidi="ar"/>
              </w:rPr>
              <w:t>养殖场数量（户）</w:t>
            </w:r>
          </w:p>
        </w:tc>
        <w:tc>
          <w:tcPr>
            <w:tcW w:w="114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zh-CN" w:eastAsia="zh-CN" w:bidi="ar"/>
              </w:rPr>
              <w:t>标准化规模</w:t>
            </w:r>
            <w:r>
              <w:rPr>
                <w:rFonts w:hint="default" w:ascii="Times New Roman" w:hAnsi="Times New Roman" w:eastAsia="宋体" w:cs="Times New Roman"/>
                <w:i w:val="0"/>
                <w:iCs w:val="0"/>
                <w:color w:val="auto"/>
                <w:kern w:val="0"/>
                <w:sz w:val="24"/>
                <w:szCs w:val="24"/>
                <w:u w:val="none"/>
                <w:lang w:val="zh-CN" w:eastAsia="zh-CN" w:bidi="ar"/>
              </w:rPr>
              <w:t>养殖场年末存栏头数</w:t>
            </w:r>
            <w:r>
              <w:rPr>
                <w:rFonts w:hint="eastAsia" w:ascii="Times New Roman" w:hAnsi="Times New Roman" w:eastAsia="宋体" w:cs="Times New Roman"/>
                <w:i w:val="0"/>
                <w:iCs w:val="0"/>
                <w:color w:val="auto"/>
                <w:kern w:val="0"/>
                <w:sz w:val="24"/>
                <w:szCs w:val="24"/>
                <w:u w:val="none"/>
                <w:lang w:val="zh-CN" w:eastAsia="zh-CN" w:bidi="ar"/>
              </w:rPr>
              <w:t>（</w:t>
            </w:r>
            <w:r>
              <w:rPr>
                <w:rFonts w:hint="eastAsia" w:ascii="Times New Roman" w:hAnsi="Times New Roman" w:eastAsia="宋体" w:cs="Times New Roman"/>
                <w:i w:val="0"/>
                <w:iCs w:val="0"/>
                <w:color w:val="auto"/>
                <w:kern w:val="0"/>
                <w:sz w:val="24"/>
                <w:szCs w:val="24"/>
                <w:u w:val="none"/>
                <w:lang w:val="en-US" w:eastAsia="zh-CN" w:bidi="ar"/>
              </w:rPr>
              <w:t>万头/只）</w:t>
            </w:r>
          </w:p>
        </w:tc>
        <w:tc>
          <w:tcPr>
            <w:tcW w:w="91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zh-CN" w:eastAsia="zh-CN" w:bidi="ar"/>
              </w:rPr>
            </w:pPr>
            <w:r>
              <w:rPr>
                <w:rFonts w:hint="eastAsia" w:ascii="Times New Roman" w:hAnsi="Times New Roman" w:eastAsia="宋体" w:cs="Times New Roman"/>
                <w:i w:val="0"/>
                <w:iCs w:val="0"/>
                <w:color w:val="auto"/>
                <w:kern w:val="0"/>
                <w:sz w:val="24"/>
                <w:szCs w:val="24"/>
                <w:u w:val="none"/>
                <w:lang w:val="zh-CN" w:eastAsia="zh-CN" w:bidi="ar"/>
              </w:rPr>
              <w:t>标准化规模</w:t>
            </w:r>
            <w:r>
              <w:rPr>
                <w:rFonts w:hint="default" w:ascii="Times New Roman" w:hAnsi="Times New Roman" w:eastAsia="宋体" w:cs="Times New Roman"/>
                <w:i w:val="0"/>
                <w:iCs w:val="0"/>
                <w:color w:val="auto"/>
                <w:kern w:val="0"/>
                <w:sz w:val="24"/>
                <w:szCs w:val="24"/>
                <w:u w:val="none"/>
                <w:lang w:val="zh-CN" w:eastAsia="zh-CN" w:bidi="ar"/>
              </w:rPr>
              <w:t>养殖占比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zh-CN" w:eastAsia="zh-CN" w:bidi="ar"/>
              </w:rPr>
            </w:pPr>
            <w:r>
              <w:rPr>
                <w:rFonts w:hint="default" w:ascii="Times New Roman" w:hAnsi="Times New Roman" w:eastAsia="宋体" w:cs="Times New Roman"/>
                <w:i w:val="0"/>
                <w:iCs w:val="0"/>
                <w:color w:val="auto"/>
                <w:kern w:val="0"/>
                <w:sz w:val="24"/>
                <w:szCs w:val="24"/>
                <w:u w:val="none"/>
                <w:lang w:val="zh-CN" w:eastAsia="zh-CN" w:bidi="ar"/>
              </w:rPr>
              <w:t>生猪</w:t>
            </w:r>
          </w:p>
        </w:tc>
        <w:tc>
          <w:tcPr>
            <w:tcW w:w="130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zh-CN" w:eastAsia="zh-CN" w:bidi="ar"/>
              </w:rPr>
            </w:pPr>
            <w:r>
              <w:rPr>
                <w:rFonts w:hint="default" w:ascii="Times New Roman" w:hAnsi="Times New Roman" w:eastAsia="宋体" w:cs="Times New Roman"/>
                <w:color w:val="auto"/>
                <w:kern w:val="0"/>
                <w:sz w:val="24"/>
                <w:szCs w:val="24"/>
                <w:lang w:val="en-US" w:eastAsia="zh-CN"/>
              </w:rPr>
              <w:t>年出栏500 头或存栏300头以上</w:t>
            </w:r>
          </w:p>
        </w:tc>
        <w:tc>
          <w:tcPr>
            <w:tcW w:w="89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161</w:t>
            </w:r>
          </w:p>
        </w:tc>
        <w:tc>
          <w:tcPr>
            <w:tcW w:w="114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29.37</w:t>
            </w:r>
          </w:p>
        </w:tc>
        <w:tc>
          <w:tcPr>
            <w:tcW w:w="91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83.9</w:t>
            </w:r>
            <w:r>
              <w:rPr>
                <w:rFonts w:hint="default" w:ascii="Times New Roman" w:hAnsi="Times New Roman" w:eastAsia="宋体" w:cs="Times New Roman"/>
                <w:i w:val="0"/>
                <w:iCs w:val="0"/>
                <w:color w:val="auto"/>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zh-CN" w:eastAsia="zh-CN" w:bidi="ar"/>
              </w:rPr>
            </w:pPr>
            <w:r>
              <w:rPr>
                <w:rFonts w:hint="default" w:ascii="Times New Roman" w:hAnsi="Times New Roman" w:eastAsia="宋体" w:cs="Times New Roman"/>
                <w:i w:val="0"/>
                <w:iCs w:val="0"/>
                <w:color w:val="auto"/>
                <w:kern w:val="0"/>
                <w:sz w:val="24"/>
                <w:szCs w:val="24"/>
                <w:u w:val="none"/>
                <w:lang w:val="zh-CN" w:eastAsia="zh-CN" w:bidi="ar"/>
              </w:rPr>
              <w:t>肉鸡</w:t>
            </w:r>
          </w:p>
        </w:tc>
        <w:tc>
          <w:tcPr>
            <w:tcW w:w="130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zh-CN" w:eastAsia="zh-CN" w:bidi="ar"/>
              </w:rPr>
            </w:pPr>
            <w:r>
              <w:rPr>
                <w:rFonts w:hint="default" w:ascii="Times New Roman" w:hAnsi="Times New Roman" w:eastAsia="宋体" w:cs="Times New Roman"/>
                <w:color w:val="auto"/>
                <w:kern w:val="0"/>
                <w:sz w:val="24"/>
                <w:szCs w:val="24"/>
                <w:lang w:val="en-US" w:eastAsia="zh-CN"/>
              </w:rPr>
              <w:t>年出栏 10000 只或存栏 5000 只以上</w:t>
            </w:r>
          </w:p>
        </w:tc>
        <w:tc>
          <w:tcPr>
            <w:tcW w:w="89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34</w:t>
            </w:r>
          </w:p>
        </w:tc>
        <w:tc>
          <w:tcPr>
            <w:tcW w:w="114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965.15</w:t>
            </w:r>
          </w:p>
        </w:tc>
        <w:tc>
          <w:tcPr>
            <w:tcW w:w="913"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蛋鸡</w:t>
            </w:r>
          </w:p>
        </w:tc>
        <w:tc>
          <w:tcPr>
            <w:tcW w:w="130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存栏 </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val="en-US" w:eastAsia="zh-CN"/>
              </w:rPr>
              <w:t>000 只以上</w:t>
            </w:r>
          </w:p>
        </w:tc>
        <w:tc>
          <w:tcPr>
            <w:tcW w:w="89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67</w:t>
            </w:r>
          </w:p>
        </w:tc>
        <w:tc>
          <w:tcPr>
            <w:tcW w:w="114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106.7</w:t>
            </w:r>
          </w:p>
        </w:tc>
        <w:tc>
          <w:tcPr>
            <w:tcW w:w="913"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zh-CN" w:eastAsia="zh-CN" w:bidi="ar"/>
              </w:rPr>
              <w:t>肉牛</w:t>
            </w:r>
          </w:p>
        </w:tc>
        <w:tc>
          <w:tcPr>
            <w:tcW w:w="130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年</w:t>
            </w:r>
            <w:r>
              <w:rPr>
                <w:rFonts w:hint="eastAsia" w:ascii="Times New Roman" w:hAnsi="Times New Roman" w:eastAsia="宋体" w:cs="Times New Roman"/>
                <w:color w:val="auto"/>
                <w:kern w:val="0"/>
                <w:sz w:val="24"/>
                <w:szCs w:val="24"/>
                <w:lang w:val="en-US" w:eastAsia="zh-CN"/>
              </w:rPr>
              <w:t>出栏5</w:t>
            </w:r>
            <w:r>
              <w:rPr>
                <w:rFonts w:hint="default" w:ascii="Times New Roman" w:hAnsi="Times New Roman" w:eastAsia="宋体" w:cs="Times New Roman"/>
                <w:color w:val="auto"/>
                <w:kern w:val="0"/>
                <w:sz w:val="24"/>
                <w:szCs w:val="24"/>
                <w:lang w:val="en-US" w:eastAsia="zh-CN"/>
              </w:rPr>
              <w:t>0只以上</w:t>
            </w:r>
          </w:p>
        </w:tc>
        <w:tc>
          <w:tcPr>
            <w:tcW w:w="89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35</w:t>
            </w:r>
          </w:p>
        </w:tc>
        <w:tc>
          <w:tcPr>
            <w:tcW w:w="114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1.36</w:t>
            </w:r>
          </w:p>
        </w:tc>
        <w:tc>
          <w:tcPr>
            <w:tcW w:w="913"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奶牛</w:t>
            </w:r>
          </w:p>
        </w:tc>
        <w:tc>
          <w:tcPr>
            <w:tcW w:w="130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zh-CN" w:eastAsia="zh-CN" w:bidi="ar"/>
              </w:rPr>
            </w:pPr>
            <w:r>
              <w:rPr>
                <w:rFonts w:hint="default" w:ascii="Times New Roman" w:hAnsi="Times New Roman" w:eastAsia="宋体" w:cs="Times New Roman"/>
                <w:color w:val="auto"/>
                <w:kern w:val="0"/>
                <w:sz w:val="24"/>
                <w:szCs w:val="24"/>
                <w:lang w:val="en-US" w:eastAsia="zh-CN"/>
              </w:rPr>
              <w:t>年存栏100只以上</w:t>
            </w:r>
          </w:p>
        </w:tc>
        <w:tc>
          <w:tcPr>
            <w:tcW w:w="89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114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0.12</w:t>
            </w:r>
          </w:p>
        </w:tc>
        <w:tc>
          <w:tcPr>
            <w:tcW w:w="913"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zh-CN" w:eastAsia="zh-CN" w:bidi="ar"/>
              </w:rPr>
            </w:pPr>
            <w:r>
              <w:rPr>
                <w:rFonts w:hint="default" w:ascii="Times New Roman" w:hAnsi="Times New Roman" w:eastAsia="宋体" w:cs="Times New Roman"/>
                <w:i w:val="0"/>
                <w:iCs w:val="0"/>
                <w:color w:val="auto"/>
                <w:kern w:val="0"/>
                <w:sz w:val="24"/>
                <w:szCs w:val="24"/>
                <w:u w:val="none"/>
                <w:lang w:val="zh-CN" w:eastAsia="zh-CN" w:bidi="ar"/>
              </w:rPr>
              <w:t>羊</w:t>
            </w:r>
          </w:p>
        </w:tc>
        <w:tc>
          <w:tcPr>
            <w:tcW w:w="130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zh-CN" w:eastAsia="zh-CN" w:bidi="ar"/>
              </w:rPr>
            </w:pPr>
            <w:r>
              <w:rPr>
                <w:rFonts w:hint="default" w:ascii="Times New Roman" w:hAnsi="Times New Roman" w:eastAsia="宋体" w:cs="Times New Roman"/>
                <w:color w:val="auto"/>
                <w:kern w:val="0"/>
                <w:sz w:val="24"/>
                <w:szCs w:val="24"/>
                <w:lang w:val="en-US" w:eastAsia="zh-CN"/>
              </w:rPr>
              <w:t>年出栏100只以上</w:t>
            </w:r>
          </w:p>
        </w:tc>
        <w:tc>
          <w:tcPr>
            <w:tcW w:w="89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66</w:t>
            </w:r>
          </w:p>
        </w:tc>
        <w:tc>
          <w:tcPr>
            <w:tcW w:w="114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19.73</w:t>
            </w:r>
          </w:p>
        </w:tc>
        <w:tc>
          <w:tcPr>
            <w:tcW w:w="91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zh-CN" w:eastAsia="zh-CN" w:bidi="ar"/>
              </w:rPr>
              <w:t>其他</w:t>
            </w:r>
            <w:r>
              <w:rPr>
                <w:rFonts w:hint="eastAsia" w:ascii="Times New Roman" w:hAnsi="Times New Roman" w:eastAsia="宋体" w:cs="Times New Roman"/>
                <w:i w:val="0"/>
                <w:iCs w:val="0"/>
                <w:color w:val="auto"/>
                <w:kern w:val="0"/>
                <w:sz w:val="24"/>
                <w:szCs w:val="24"/>
                <w:u w:val="none"/>
                <w:lang w:val="zh-CN" w:eastAsia="zh-CN" w:bidi="ar"/>
              </w:rPr>
              <w:t>（</w:t>
            </w:r>
            <w:r>
              <w:rPr>
                <w:rFonts w:hint="eastAsia" w:ascii="Times New Roman" w:hAnsi="Times New Roman" w:eastAsia="宋体" w:cs="Times New Roman"/>
                <w:i w:val="0"/>
                <w:iCs w:val="0"/>
                <w:color w:val="auto"/>
                <w:kern w:val="0"/>
                <w:sz w:val="24"/>
                <w:szCs w:val="24"/>
                <w:u w:val="none"/>
                <w:lang w:val="en-US" w:eastAsia="zh-CN" w:bidi="ar"/>
              </w:rPr>
              <w:t>肉鸭、鹌鹑）</w:t>
            </w:r>
          </w:p>
        </w:tc>
        <w:tc>
          <w:tcPr>
            <w:tcW w:w="130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w:t>
            </w:r>
          </w:p>
        </w:tc>
        <w:tc>
          <w:tcPr>
            <w:tcW w:w="89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30</w:t>
            </w:r>
          </w:p>
        </w:tc>
        <w:tc>
          <w:tcPr>
            <w:tcW w:w="114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167.4</w:t>
            </w:r>
          </w:p>
        </w:tc>
        <w:tc>
          <w:tcPr>
            <w:tcW w:w="91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zh-CN" w:eastAsia="zh-CN" w:bidi="ar"/>
              </w:rPr>
            </w:pPr>
            <w:r>
              <w:rPr>
                <w:rFonts w:hint="default" w:ascii="Times New Roman" w:hAnsi="Times New Roman" w:eastAsia="宋体" w:cs="Times New Roman"/>
                <w:i w:val="0"/>
                <w:iCs w:val="0"/>
                <w:color w:val="auto"/>
                <w:kern w:val="0"/>
                <w:sz w:val="24"/>
                <w:szCs w:val="24"/>
                <w:u w:val="none"/>
                <w:lang w:val="zh-CN" w:eastAsia="zh-CN" w:bidi="ar"/>
              </w:rPr>
              <w:t>合计</w:t>
            </w:r>
          </w:p>
        </w:tc>
        <w:tc>
          <w:tcPr>
            <w:tcW w:w="130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w:t>
            </w:r>
          </w:p>
        </w:tc>
        <w:tc>
          <w:tcPr>
            <w:tcW w:w="89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394</w:t>
            </w:r>
          </w:p>
        </w:tc>
        <w:tc>
          <w:tcPr>
            <w:tcW w:w="114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w:t>
            </w:r>
          </w:p>
        </w:tc>
        <w:tc>
          <w:tcPr>
            <w:tcW w:w="91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eastAsia="仿宋_GB2312"/>
          <w:color w:val="auto"/>
          <w:kern w:val="0"/>
          <w:sz w:val="28"/>
          <w:szCs w:val="28"/>
          <w:lang w:val="en-US" w:eastAsia="zh-CN"/>
        </w:rPr>
      </w:pPr>
      <w:r>
        <w:rPr>
          <w:rFonts w:hint="eastAsia" w:eastAsia="仿宋_GB2312"/>
          <w:color w:val="auto"/>
          <w:kern w:val="0"/>
          <w:sz w:val="28"/>
          <w:szCs w:val="28"/>
          <w:lang w:val="en-US" w:eastAsia="zh-CN"/>
        </w:rPr>
        <w:t>由上表可知，固镇县牛、羊</w:t>
      </w:r>
      <w:r>
        <w:rPr>
          <w:rFonts w:hint="eastAsia" w:eastAsia="仿宋_GB2312"/>
          <w:color w:val="auto"/>
          <w:kern w:val="0"/>
          <w:sz w:val="28"/>
          <w:szCs w:val="28"/>
          <w:lang w:val="zh-CN" w:eastAsia="zh-CN"/>
        </w:rPr>
        <w:t>标准化规模</w:t>
      </w:r>
      <w:r>
        <w:rPr>
          <w:rFonts w:hint="default" w:eastAsia="仿宋_GB2312"/>
          <w:color w:val="auto"/>
          <w:kern w:val="0"/>
          <w:sz w:val="28"/>
          <w:szCs w:val="28"/>
          <w:lang w:val="zh-CN" w:eastAsia="zh-CN"/>
        </w:rPr>
        <w:t>养殖</w:t>
      </w:r>
      <w:r>
        <w:rPr>
          <w:rFonts w:hint="eastAsia" w:eastAsia="仿宋_GB2312"/>
          <w:color w:val="auto"/>
          <w:kern w:val="0"/>
          <w:sz w:val="28"/>
          <w:szCs w:val="28"/>
          <w:lang w:val="en-US" w:eastAsia="zh-CN"/>
        </w:rPr>
        <w:t>占比较低。</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2" w:firstLineChars="200"/>
        <w:jc w:val="center"/>
        <w:textAlignment w:val="auto"/>
        <w:rPr>
          <w:rFonts w:hint="eastAsia" w:ascii="宋体" w:hAnsi="宋体" w:eastAsia="宋体" w:cs="宋体"/>
          <w:b/>
          <w:color w:val="auto"/>
          <w:sz w:val="24"/>
          <w:lang w:eastAsia="zh-CN"/>
        </w:rPr>
      </w:pPr>
      <w:r>
        <w:rPr>
          <w:rFonts w:hint="eastAsia" w:eastAsia="仿宋_GB2312" w:asciiTheme="minorHAnsi" w:hAnsiTheme="minorHAnsi" w:cstheme="minorBidi"/>
          <w:b/>
          <w:bCs/>
          <w:color w:val="auto"/>
          <w:kern w:val="0"/>
          <w:sz w:val="24"/>
          <w:szCs w:val="24"/>
          <w:lang w:val="zh-CN" w:eastAsia="zh-CN" w:bidi="ar-SA"/>
        </w:rPr>
        <w:t>表3.1-</w:t>
      </w:r>
      <w:r>
        <w:rPr>
          <w:rFonts w:hint="eastAsia" w:eastAsia="仿宋_GB2312" w:asciiTheme="minorHAnsi" w:hAnsiTheme="minorHAnsi" w:cstheme="minorBidi"/>
          <w:b/>
          <w:bCs/>
          <w:color w:val="auto"/>
          <w:kern w:val="0"/>
          <w:sz w:val="24"/>
          <w:szCs w:val="24"/>
          <w:lang w:val="en-US" w:eastAsia="zh-CN" w:bidi="ar-SA"/>
        </w:rPr>
        <w:t>3</w:t>
      </w:r>
      <w:r>
        <w:rPr>
          <w:rFonts w:hint="eastAsia" w:eastAsia="仿宋_GB2312" w:asciiTheme="minorHAnsi" w:hAnsiTheme="minorHAnsi" w:cstheme="minorBidi"/>
          <w:b/>
          <w:bCs/>
          <w:color w:val="auto"/>
          <w:kern w:val="0"/>
          <w:sz w:val="24"/>
          <w:szCs w:val="24"/>
          <w:lang w:val="zh-CN" w:eastAsia="zh-CN" w:bidi="ar-SA"/>
        </w:rPr>
        <w:tab/>
      </w:r>
      <w:r>
        <w:rPr>
          <w:rFonts w:hint="eastAsia" w:eastAsia="仿宋_GB2312" w:asciiTheme="minorHAnsi" w:hAnsiTheme="minorHAnsi" w:cstheme="minorBidi"/>
          <w:b/>
          <w:bCs/>
          <w:color w:val="auto"/>
          <w:kern w:val="0"/>
          <w:sz w:val="24"/>
          <w:szCs w:val="24"/>
          <w:lang w:val="en-US" w:eastAsia="zh-CN" w:bidi="ar-SA"/>
        </w:rPr>
        <w:t>固镇县</w:t>
      </w:r>
      <w:r>
        <w:rPr>
          <w:rFonts w:hint="eastAsia" w:eastAsia="仿宋_GB2312" w:asciiTheme="minorHAnsi" w:hAnsiTheme="minorHAnsi" w:cstheme="minorBidi"/>
          <w:b/>
          <w:bCs/>
          <w:color w:val="auto"/>
          <w:kern w:val="0"/>
          <w:sz w:val="24"/>
          <w:szCs w:val="24"/>
          <w:lang w:val="zh-CN" w:eastAsia="zh-CN" w:bidi="ar-SA"/>
        </w:rPr>
        <w:t>纳入直连直报系统生猪养殖场一览表</w:t>
      </w:r>
    </w:p>
    <w:tbl>
      <w:tblPr>
        <w:tblStyle w:val="20"/>
        <w:tblW w:w="52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0"/>
        <w:gridCol w:w="2079"/>
        <w:gridCol w:w="1521"/>
        <w:gridCol w:w="1250"/>
        <w:gridCol w:w="1160"/>
        <w:gridCol w:w="1110"/>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410" w:type="pct"/>
            <w:vMerge w:val="restar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1153" w:type="pct"/>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畜禽养殖场（户）名称</w:t>
            </w:r>
          </w:p>
        </w:tc>
        <w:tc>
          <w:tcPr>
            <w:tcW w:w="844" w:type="pct"/>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地址</w:t>
            </w:r>
          </w:p>
        </w:tc>
        <w:tc>
          <w:tcPr>
            <w:tcW w:w="693" w:type="pct"/>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设计存栏量（头）</w:t>
            </w:r>
          </w:p>
        </w:tc>
        <w:tc>
          <w:tcPr>
            <w:tcW w:w="643" w:type="pct"/>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实际存栏量（头）</w:t>
            </w:r>
          </w:p>
        </w:tc>
        <w:tc>
          <w:tcPr>
            <w:tcW w:w="616" w:type="pct"/>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设计出栏量（头）</w:t>
            </w:r>
          </w:p>
        </w:tc>
        <w:tc>
          <w:tcPr>
            <w:tcW w:w="637" w:type="pct"/>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实际出栏量（头）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410" w:type="pct"/>
            <w:vMerge w:val="continue"/>
            <w:shd w:val="clear" w:color="auto" w:fill="auto"/>
            <w:noWrap/>
            <w:vAlign w:val="center"/>
          </w:tcPr>
          <w:p>
            <w:pPr>
              <w:spacing w:line="240" w:lineRule="auto"/>
              <w:jc w:val="center"/>
              <w:rPr>
                <w:rFonts w:hint="eastAsia" w:ascii="宋体" w:hAnsi="宋体" w:eastAsia="宋体" w:cs="宋体"/>
                <w:i w:val="0"/>
                <w:iCs w:val="0"/>
                <w:color w:val="auto"/>
                <w:sz w:val="21"/>
                <w:szCs w:val="21"/>
                <w:u w:val="none"/>
              </w:rPr>
            </w:pPr>
          </w:p>
        </w:tc>
        <w:tc>
          <w:tcPr>
            <w:tcW w:w="1153" w:type="pct"/>
            <w:vMerge w:val="continue"/>
            <w:shd w:val="clear" w:color="auto" w:fill="auto"/>
            <w:vAlign w:val="center"/>
          </w:tcPr>
          <w:p>
            <w:pPr>
              <w:spacing w:line="240" w:lineRule="auto"/>
              <w:jc w:val="center"/>
              <w:rPr>
                <w:rFonts w:hint="eastAsia" w:ascii="宋体" w:hAnsi="宋体" w:eastAsia="宋体" w:cs="宋体"/>
                <w:i w:val="0"/>
                <w:iCs w:val="0"/>
                <w:color w:val="auto"/>
                <w:sz w:val="21"/>
                <w:szCs w:val="21"/>
                <w:u w:val="none"/>
              </w:rPr>
            </w:pPr>
          </w:p>
        </w:tc>
        <w:tc>
          <w:tcPr>
            <w:tcW w:w="844" w:type="pct"/>
            <w:vMerge w:val="continue"/>
            <w:shd w:val="clear" w:color="auto" w:fill="auto"/>
            <w:vAlign w:val="center"/>
          </w:tcPr>
          <w:p>
            <w:pPr>
              <w:spacing w:line="240" w:lineRule="auto"/>
              <w:jc w:val="center"/>
              <w:rPr>
                <w:rFonts w:hint="eastAsia" w:ascii="宋体" w:hAnsi="宋体" w:eastAsia="宋体" w:cs="宋体"/>
                <w:i w:val="0"/>
                <w:iCs w:val="0"/>
                <w:color w:val="auto"/>
                <w:sz w:val="21"/>
                <w:szCs w:val="21"/>
                <w:u w:val="none"/>
              </w:rPr>
            </w:pPr>
          </w:p>
        </w:tc>
        <w:tc>
          <w:tcPr>
            <w:tcW w:w="693" w:type="pct"/>
            <w:vMerge w:val="continue"/>
            <w:shd w:val="clear" w:color="auto" w:fill="auto"/>
            <w:vAlign w:val="center"/>
          </w:tcPr>
          <w:p>
            <w:pPr>
              <w:spacing w:line="240" w:lineRule="auto"/>
              <w:jc w:val="center"/>
              <w:rPr>
                <w:rFonts w:hint="eastAsia" w:ascii="宋体" w:hAnsi="宋体" w:eastAsia="宋体" w:cs="宋体"/>
                <w:i w:val="0"/>
                <w:iCs w:val="0"/>
                <w:color w:val="auto"/>
                <w:sz w:val="21"/>
                <w:szCs w:val="21"/>
                <w:u w:val="none"/>
              </w:rPr>
            </w:pPr>
          </w:p>
        </w:tc>
        <w:tc>
          <w:tcPr>
            <w:tcW w:w="643" w:type="pct"/>
            <w:vMerge w:val="continue"/>
            <w:shd w:val="clear" w:color="auto" w:fill="auto"/>
            <w:vAlign w:val="center"/>
          </w:tcPr>
          <w:p>
            <w:pPr>
              <w:spacing w:line="240" w:lineRule="auto"/>
              <w:jc w:val="center"/>
              <w:rPr>
                <w:rFonts w:hint="eastAsia" w:ascii="宋体" w:hAnsi="宋体" w:eastAsia="宋体" w:cs="宋体"/>
                <w:i w:val="0"/>
                <w:iCs w:val="0"/>
                <w:color w:val="auto"/>
                <w:sz w:val="21"/>
                <w:szCs w:val="21"/>
                <w:u w:val="none"/>
              </w:rPr>
            </w:pPr>
          </w:p>
        </w:tc>
        <w:tc>
          <w:tcPr>
            <w:tcW w:w="616" w:type="pct"/>
            <w:vMerge w:val="continue"/>
            <w:shd w:val="clear" w:color="auto" w:fill="auto"/>
            <w:vAlign w:val="center"/>
          </w:tcPr>
          <w:p>
            <w:pPr>
              <w:spacing w:line="240" w:lineRule="auto"/>
              <w:jc w:val="center"/>
              <w:rPr>
                <w:rFonts w:hint="eastAsia" w:ascii="宋体" w:hAnsi="宋体" w:eastAsia="宋体" w:cs="宋体"/>
                <w:i w:val="0"/>
                <w:iCs w:val="0"/>
                <w:color w:val="auto"/>
                <w:sz w:val="21"/>
                <w:szCs w:val="21"/>
                <w:u w:val="none"/>
              </w:rPr>
            </w:pPr>
          </w:p>
        </w:tc>
        <w:tc>
          <w:tcPr>
            <w:tcW w:w="637" w:type="pct"/>
            <w:vMerge w:val="continue"/>
            <w:shd w:val="clear" w:color="auto" w:fill="auto"/>
            <w:vAlign w:val="center"/>
          </w:tcPr>
          <w:p>
            <w:pPr>
              <w:spacing w:line="240" w:lineRule="auto"/>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固镇县牧兴生态养猪场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谷阳镇凓涧村官庄组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固镇县开封生猪养殖场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谷阳镇凓涧村宋北</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2356</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固镇县史明珠养殖场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谷阳镇龙滩村王桥</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1289</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固镇县城关镇云侠养殖场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谷阳镇三里庄齐庄南</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302</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固镇中房大龙种猪有限公司</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谷阳镇唐南街道</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43" w:type="pct"/>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1500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固镇县亥旺种猪场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谷阳镇团结村张庄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固镇县汤礼刚养猪专业合作社</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谷阳镇王楼村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固镇县王楼生猪养殖专业合作社</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谷阳镇王楼村委会</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固镇县小蹄快跑家庭农场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谷阳镇五里井</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303</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固镇康成养殖有限公司</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谷阳镇张桥村委会</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397</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固镇县濠城镇丁培宝生猪养殖场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濠城镇丁楼村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濠城镇丁培跃生猪养殖场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濠城镇丁楼村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478</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333</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固镇县濠城镇丁冬瑞生猪养殖场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濠城镇丁楼村前楼组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353</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710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丁灿辉生猪养殖场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濠城镇丁楼村前楼组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濠城镇刘安徽生猪养殖场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濠城镇丁楼村委会</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276</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620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固镇县濠城镇双辉养殖场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濠城镇丁楼村委会</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560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濠城镇陈守坤生猪养殖场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濠城镇湖东村瓦东组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294</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固镇县濠城镇刘航养猪场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濠城镇刘祠村后西组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固镇县濠城镇刘清生猪养殖场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濠城镇刘祠村刘逗组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371</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770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固镇县濠城镇陈磊生猪养殖场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濠城镇马田村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356</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620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固镇县湖沟镇庆华家庭农场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湖沟镇陈海村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固镇县湖沟镇碧海养殖场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湖沟镇陈海村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湖沟镇红发养猪场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湖沟镇陈海村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135</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561</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固镇县湖沟尚康力养殖场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湖沟镇大庄村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张正平生猪养殖场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湖沟镇李楼村委会</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168</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蚌埠市固镇县一山生态农业有限公司</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湖沟镇王洲村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固镇县湖沟镇富农牧业生猪养殖场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湖沟镇五里村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630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457</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固镇县湖沟镇岳王村牧兴猪场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湖沟镇岳王村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1520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1026</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固镇县湖沟镇中龙猪场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湖沟镇岳王村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491</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束郭见生猪养殖场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湖沟镇张湾村委会</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427</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固镇县连城镇郭行养殖场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徐家利养猪场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连城镇连城村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452</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强行行养殖场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连城镇连城村街南组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孟明辉养殖场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连城镇连城村连东组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强非非养殖场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连城镇连城村连东组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222</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固镇县连城镇顺丰养殖场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连城镇马铺村浍连组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固镇县连城镇忠印生态养殖家庭农场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连城镇马铺村四组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徐风养猪场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连城镇马殷陆村洪庄组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固镇县连城镇善水养猪场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连城镇孟城村徐庄组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固镇县连城镇立志养猪场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连城镇孟城村徐庄组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404</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固镇县连城镇双峰养殖场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连城镇孟城村左安组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固镇县连城镇郭兆杰养殖场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连城镇澥河村陈郭组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285</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508</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郭广云养殖场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连城镇澥河村小圩田庄西北侧</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135</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固镇县连城镇张向林养殖场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连城镇澥河村张店组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固镇县丰安牧业有限公司</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连城镇懈河村圩田组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46</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志远养殖场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连城镇殷陆村洪庄组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293</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叶贺养殖场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连城镇殷陆村黄湖组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963</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固镇县连城镇陆兴亮养殖场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连城镇殷陆村陆湖</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524</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49</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固镇县连城镇陆兴波生猪养殖场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连城镇殷陆村陆湖</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固镇县连城镇叶元枫养殖场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连城镇殷陆村陆湖村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陆伟养殖场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连城镇殷陆村门南组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251</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固镇县连城镇张强养殖场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连城镇殷陆村乔郢组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固镇县连城镇叶豹养猪场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连城镇殷陆村叶湖</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433</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54</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刘斌养殖场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连城镇殷陆村叶湖组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306</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固镇县连城镇叶新华养殖场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连城镇殷陆村叶湖组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579</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56</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固镇县鸿运养猪场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连城镇殷陆村叶湖组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215</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57</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固镇县连城镇洪峰养殖场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连城镇殷陆村叶湖组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固镇县连城镇陆云飞养殖场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连城镇殷陆村殷陆组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固镇县连城镇禹庙村张敬军养猪场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连城镇禹庙村张庄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344</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固镇县刘集镇刘兆来生猪养殖场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61</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固镇县顺康养猪专业合作社</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刘集镇董庙村22号</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523</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62</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固镇县张波养殖场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刘集镇董庙村瓦坊组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224</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63</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固镇县张敬彬养猪场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刘集镇董庙村瓦坊组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343</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64</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固镇县富兴生态养殖专业合作社</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刘集镇渡口村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128</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固镇县刘集镇兴安养殖场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刘集镇谷堆湖农场</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蚌埠昌农农牧食品有限公司</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刘集镇梁桥村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固镇县刘田养殖场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刘集镇刘集</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14505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68</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固镇县刘集镇杜学保养猪场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刘集镇邵桥村牌坊组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671</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69</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固镇县恒牧养猪场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刘集镇邵桥村委会</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635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固镇县兴牧种植家庭农场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刘集镇王李村肖庄组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337</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71</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固镇县鑫磊家庭农场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刘集镇西湾村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固镇县徐从红养殖场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刘集镇杨湖村徐庄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206</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73</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固镇县明宇养殖场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刘集镇杨圩村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74</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张敬习养猪场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刘集镇张蔡村五组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213</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固镇牧原农牧有限公司一分厂</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任桥镇沟南村委会</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76</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固镇县任桥镇万福猪场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任桥镇李许村委会</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78711</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102131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77</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固镇县古阳养殖有限公司</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任桥镇马圩村委会</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1239</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固镇县绿圆养猪场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任桥镇苗卜窖场</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3377</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79</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张立学养猪场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任桥镇欧圩村陈圩组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479</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固镇县朝海生猪养殖场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任桥镇欧圩村圩东组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399</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81</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固镇县任桥镇尹涛养猪场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任桥镇桥东村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508</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82</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王立聪生猪养殖场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任桥镇任桥村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83</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固镇县任桥镇星光养殖场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任桥镇任桥村邹王组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84</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固镇县任桥镇张国锋养猪场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任桥镇任桥村邹王组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233</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固镇县李光召养殖场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任桥镇宋庄村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86</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固镇县龙翔欣养殖场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任桥镇泰山村委会</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87</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固镇县鑫龙养猪场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任桥镇五星村委会</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88</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固镇县立鹏养殖合作社</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任桥镇站北村委会</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403</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89</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固镇县石湖乡麒麟生态养殖家庭农场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石湖乡陡沟村前陡沟组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固镇县家旺养殖场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石湖乡康湖村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201</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91</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固镇县兴嘉养殖有限公司</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石湖乡刘元村华庄组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460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381</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92</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固镇县张敏养殖场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石湖乡刘元村委会</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314</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93</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固镇县常伟养殖专业合作社</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石湖乡刘元村西杨组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94</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固镇县飞阳养殖有限公司</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石湖乡刘元村西杨组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409</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固镇县新明养殖有限公司</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石湖乡石湖居委会小羊场组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96</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固镇县石湖乡丁汉奎养殖场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石湖乡园林厂</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7502</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97</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固镇县王安全生猪养殖场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王庄镇大蒋村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98</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固镇县陈宝堂生猪养殖场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王庄镇大蒋村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277</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99</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固镇县王庄镇亮亮生猪养殖场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王庄镇丁陶刘村刘家组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264</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安徽省蚌埠市固镇县王庄镇蓉康养殖场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王庄镇东南村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347</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101</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固镇县王庄镇士好生猪养殖场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王庄镇东南村吕家组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391</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102</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朱言社养猪场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王庄镇五铺村后朱组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157</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103</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固镇县王庄镇裕隆生态养殖场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王庄镇西南村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239</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104</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固镇县王庄镇清兴莲宏养殖场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王庄镇新河村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105</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固镇县王庄镇川华养殖场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王庄镇新河村周家组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141</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106</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固镇县晓光生猪养殖场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王庄镇镇南居</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107</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固镇县新马桥镇中路家庭农场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新马桥镇高光村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108</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张敬飞生猪养殖场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新马桥镇濠铺村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471</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109</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固镇县新马桥镇朱冬夏生猪养殖场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新马桥镇梨园村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317</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固镇县新马桥镇新诺养殖场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新马桥镇梨园村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111</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郭亚坤生猪养殖场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新马桥镇梨园村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112</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新马桥镇鑫农猪场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新马桥镇卢渡村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113</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陶久刚生猪养殖场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新马桥镇磨盘张</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114</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固镇三禾顺生态农业有限公司</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新马桥镇磨盘张村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477</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115</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固镇县新马桥镇守芝生猪养殖场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新马桥镇南庙村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2492</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116</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蚌埠明德生猪养殖有限公司</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新马桥镇南庙村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276</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117</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李保生猪养殖场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新马桥镇苏湖村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6032</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118</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固镇县杨庙镇安兴旺生猪养殖场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杨庙镇安集村安西组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1396</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119</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固镇县杨庙镇天顺养殖家庭农场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杨庙镇曹徐村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766</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固镇牧原农牧有限公司第二分场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杨庙镇蒋南</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121</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固镇县杨庙镇杨儒亮生猪养殖场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杨庙镇蒋南村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51000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82677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122</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固镇县杨庙镇杨楠生猪养殖场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杨庙镇蒋南前李组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123</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固镇县杨庙镇尹俊贤生猪养殖场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杨庙镇刘魏湖村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577</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124</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固镇县互利生猪养殖场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杨庙镇楼上村瓦坊组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242</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125</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固镇县代怀山生猪养殖场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杨庙镇门东王村王庙组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426</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126</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固镇县杨庙镇赵氏黑猪养殖场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杨庙镇任湖村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194</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127</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固镇县杨庙镇桑元金泰养殖场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杨庙镇任湖村高湖组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538</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128</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固镇县杨庙镇吴建波生猪养殖场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杨庙镇桑元村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129</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固镇县杨庙镇桑焱生猪养殖场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杨庙镇桑园村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固镇县杨庙镇志平生猪养殖场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杨庙镇田湖村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293</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131</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固镇牧原农牧有限公司第四分场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杨庙镇田湖村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132</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固镇县杨庙镇韦兴顺生猪养殖场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杨庙镇田湖村王湖组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31375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133</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固镇县杨庙镇华美生猪养殖场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杨庙镇姚王村沟南组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907</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134</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固镇县杨庙镇王玲生猪养殖场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杨庙镇姚王村姚中组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432</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135</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华龙生态养殖家庭农场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杨庙镇张巷村委会</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492</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136</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固镇县杨庙镇张井军生猪养殖场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杨庙镇张庄村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2335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137</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固镇县杨庙镇赵小麦生猪养殖场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杨庙镇赵湖村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138</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固镇县杨庙镇赵旋养殖场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杨庙镇赵湖村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139</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固镇县杨庙镇陈学强养殖场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杨庙镇赵湖村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固镇县杨庙镇赵勇敢生猪养殖场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杨庙镇赵湖村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141</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固镇县杨庙镇石美华生猪养殖场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杨庙镇赵湖村石元组</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197</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142</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固镇县鹏飞生猪养殖场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仲兴镇陈圩村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143</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固镇县仲兴镇张永利养殖场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仲兴镇耿武村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531</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144</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蚌埠鹏睿农牧产业有限公司</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仲兴镇耿武村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369</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145</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安徽省蚌埠市固镇县仲兴镇瑞丰猪厂</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仲兴镇红旗村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15932</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146</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固镇县仲兴镇薛安元猪场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仲兴镇后楼村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298</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147</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固镇县兴宗牧业有限公司</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仲兴镇孟庙村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651</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148</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固镇县欣兴养猪场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仲兴镇土楼村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149</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固镇县仲兴镇刘林养殖场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仲兴镇余刘村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555</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固镇县仲兴镇刘强养猪场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仲兴镇余刘村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151</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固镇县绿源生态养殖场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仲兴镇余刘村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512</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152</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固镇县牧丰养殖场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仲兴镇余桥村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308</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153</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固镇县仲兴镇刘公环养殖场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仲兴镇余桥村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154</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固镇县仲兴镇秦长利养殖场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仲兴镇张秦村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155</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固镇县仲兴镇王乐生猪养殖厂</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仲兴镇张秦村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156</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固镇县旺旺养殖场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仲兴镇张巷村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157</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固镇县兴顺生态牧业有限公司</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仲兴镇张巷村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1513</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158</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富兴养殖场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仲兴镇中陈村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24000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159</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固镇县仲兴镇刘晓光养猪场</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仲兴镇中陈村</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0" w:type="pc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安徽省蚌埠市固镇县仲兴镇华扬畜牧养殖基地</w:t>
            </w:r>
          </w:p>
        </w:tc>
        <w:tc>
          <w:tcPr>
            <w:tcW w:w="84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仲兴镇仲兴居委会</w:t>
            </w:r>
          </w:p>
        </w:tc>
        <w:tc>
          <w:tcPr>
            <w:tcW w:w="69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1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w:t>
            </w:r>
          </w:p>
        </w:tc>
        <w:tc>
          <w:tcPr>
            <w:tcW w:w="63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w:t>
            </w:r>
          </w:p>
        </w:tc>
      </w:tr>
    </w:tbl>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jc w:val="center"/>
        <w:textAlignment w:val="auto"/>
        <w:rPr>
          <w:rFonts w:hint="eastAsia" w:eastAsia="仿宋_GB2312" w:asciiTheme="minorHAnsi" w:hAnsiTheme="minorHAnsi" w:cstheme="minorBidi"/>
          <w:b/>
          <w:bCs/>
          <w:color w:val="auto"/>
          <w:kern w:val="0"/>
          <w:sz w:val="24"/>
          <w:szCs w:val="24"/>
          <w:lang w:val="zh-CN" w:eastAsia="zh-CN" w:bidi="ar-SA"/>
        </w:rPr>
      </w:pPr>
      <w:r>
        <w:rPr>
          <w:rFonts w:hint="eastAsia" w:ascii="宋体" w:hAnsi="宋体" w:eastAsia="宋体" w:cs="宋体"/>
          <w:b w:val="0"/>
          <w:i w:val="0"/>
          <w:iCs w:val="0"/>
          <w:color w:val="auto"/>
          <w:kern w:val="0"/>
          <w:sz w:val="22"/>
          <w:szCs w:val="22"/>
          <w:u w:val="none"/>
          <w:lang w:val="en-US" w:eastAsia="zh-CN" w:bidi="ar"/>
        </w:rPr>
        <w:t>（谷阳镇原名城关镇、杨庙镇原名杨庙乡、仲兴镇原名仲兴乡）</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2" w:firstLineChars="200"/>
        <w:jc w:val="center"/>
        <w:textAlignment w:val="auto"/>
        <w:rPr>
          <w:rFonts w:hint="eastAsia" w:eastAsia="仿宋_GB2312" w:asciiTheme="minorHAnsi" w:hAnsiTheme="minorHAnsi" w:cstheme="minorBidi"/>
          <w:b/>
          <w:bCs/>
          <w:color w:val="auto"/>
          <w:kern w:val="0"/>
          <w:sz w:val="24"/>
          <w:szCs w:val="24"/>
          <w:lang w:val="zh-CN" w:eastAsia="zh-CN" w:bidi="ar-SA"/>
        </w:rPr>
      </w:pPr>
      <w:r>
        <w:rPr>
          <w:rFonts w:hint="eastAsia" w:eastAsia="仿宋_GB2312" w:asciiTheme="minorHAnsi" w:hAnsiTheme="minorHAnsi" w:cstheme="minorBidi"/>
          <w:b/>
          <w:bCs/>
          <w:color w:val="auto"/>
          <w:kern w:val="0"/>
          <w:sz w:val="24"/>
          <w:szCs w:val="24"/>
          <w:lang w:val="zh-CN" w:eastAsia="zh-CN" w:bidi="ar-SA"/>
        </w:rPr>
        <w:t>表3.1-</w:t>
      </w:r>
      <w:r>
        <w:rPr>
          <w:rFonts w:hint="eastAsia" w:eastAsia="仿宋_GB2312" w:asciiTheme="minorHAnsi" w:hAnsiTheme="minorHAnsi" w:cstheme="minorBidi"/>
          <w:b/>
          <w:bCs/>
          <w:color w:val="auto"/>
          <w:kern w:val="0"/>
          <w:sz w:val="24"/>
          <w:szCs w:val="24"/>
          <w:lang w:val="en-US" w:eastAsia="zh-CN" w:bidi="ar-SA"/>
        </w:rPr>
        <w:t>4 固镇县</w:t>
      </w:r>
      <w:r>
        <w:rPr>
          <w:rFonts w:hint="eastAsia" w:eastAsia="仿宋_GB2312" w:asciiTheme="minorHAnsi" w:hAnsiTheme="minorHAnsi" w:cstheme="minorBidi"/>
          <w:b/>
          <w:bCs/>
          <w:color w:val="auto"/>
          <w:kern w:val="0"/>
          <w:sz w:val="24"/>
          <w:szCs w:val="24"/>
          <w:lang w:val="zh-CN" w:eastAsia="zh-CN" w:bidi="ar-SA"/>
        </w:rPr>
        <w:t>纳入直连直报系统</w:t>
      </w:r>
      <w:r>
        <w:rPr>
          <w:rFonts w:hint="eastAsia" w:eastAsia="仿宋_GB2312" w:asciiTheme="minorHAnsi" w:hAnsiTheme="minorHAnsi" w:cstheme="minorBidi"/>
          <w:b/>
          <w:bCs/>
          <w:color w:val="auto"/>
          <w:kern w:val="0"/>
          <w:sz w:val="24"/>
          <w:szCs w:val="24"/>
          <w:lang w:val="en-US" w:eastAsia="zh-CN" w:bidi="ar-SA"/>
        </w:rPr>
        <w:t>肉鸡、蛋鸡</w:t>
      </w:r>
      <w:r>
        <w:rPr>
          <w:rFonts w:hint="eastAsia" w:eastAsia="仿宋_GB2312" w:asciiTheme="minorHAnsi" w:hAnsiTheme="minorHAnsi" w:cstheme="minorBidi"/>
          <w:b/>
          <w:bCs/>
          <w:color w:val="auto"/>
          <w:kern w:val="0"/>
          <w:sz w:val="24"/>
          <w:szCs w:val="24"/>
          <w:lang w:val="zh-CN" w:eastAsia="zh-CN" w:bidi="ar-SA"/>
        </w:rPr>
        <w:t>养殖场</w:t>
      </w:r>
    </w:p>
    <w:tbl>
      <w:tblPr>
        <w:tblStyle w:val="20"/>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00"/>
        <w:gridCol w:w="2360"/>
        <w:gridCol w:w="1520"/>
        <w:gridCol w:w="859"/>
        <w:gridCol w:w="986"/>
        <w:gridCol w:w="958"/>
        <w:gridCol w:w="986"/>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0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序号</w:t>
            </w:r>
          </w:p>
        </w:tc>
        <w:tc>
          <w:tcPr>
            <w:tcW w:w="236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畜禽养殖场（户）名称</w:t>
            </w:r>
          </w:p>
        </w:tc>
        <w:tc>
          <w:tcPr>
            <w:tcW w:w="152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地址</w:t>
            </w:r>
          </w:p>
        </w:tc>
        <w:tc>
          <w:tcPr>
            <w:tcW w:w="859"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养殖种类</w:t>
            </w:r>
          </w:p>
        </w:tc>
        <w:tc>
          <w:tcPr>
            <w:tcW w:w="986"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设计存栏量</w:t>
            </w:r>
            <w:r>
              <w:rPr>
                <w:rFonts w:hint="eastAsia" w:ascii="宋体" w:hAnsi="宋体" w:eastAsia="宋体" w:cs="宋体"/>
                <w:i w:val="0"/>
                <w:iCs w:val="0"/>
                <w:color w:val="auto"/>
                <w:kern w:val="0"/>
                <w:sz w:val="20"/>
                <w:szCs w:val="20"/>
                <w:u w:val="none"/>
                <w:lang w:val="en-US" w:eastAsia="zh-CN" w:bidi="ar"/>
              </w:rPr>
              <w:t>（只）</w:t>
            </w:r>
          </w:p>
        </w:tc>
        <w:tc>
          <w:tcPr>
            <w:tcW w:w="958"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实际存栏量</w:t>
            </w:r>
            <w:r>
              <w:rPr>
                <w:rFonts w:hint="eastAsia" w:ascii="宋体" w:hAnsi="宋体" w:eastAsia="宋体" w:cs="宋体"/>
                <w:i w:val="0"/>
                <w:iCs w:val="0"/>
                <w:color w:val="auto"/>
                <w:kern w:val="0"/>
                <w:sz w:val="20"/>
                <w:szCs w:val="20"/>
                <w:u w:val="none"/>
                <w:lang w:val="en-US" w:eastAsia="zh-CN" w:bidi="ar"/>
              </w:rPr>
              <w:t>（只）</w:t>
            </w:r>
          </w:p>
        </w:tc>
        <w:tc>
          <w:tcPr>
            <w:tcW w:w="986"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设计出栏量</w:t>
            </w:r>
            <w:r>
              <w:rPr>
                <w:rFonts w:hint="eastAsia" w:ascii="宋体" w:hAnsi="宋体" w:eastAsia="宋体" w:cs="宋体"/>
                <w:i w:val="0"/>
                <w:iCs w:val="0"/>
                <w:color w:val="auto"/>
                <w:kern w:val="0"/>
                <w:sz w:val="20"/>
                <w:szCs w:val="20"/>
                <w:u w:val="none"/>
                <w:lang w:val="en-US" w:eastAsia="zh-CN" w:bidi="ar"/>
              </w:rPr>
              <w:t>（只）</w:t>
            </w:r>
          </w:p>
        </w:tc>
        <w:tc>
          <w:tcPr>
            <w:tcW w:w="986"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实际出栏量</w:t>
            </w:r>
            <w:r>
              <w:rPr>
                <w:rFonts w:hint="eastAsia" w:ascii="宋体" w:hAnsi="宋体" w:eastAsia="宋体" w:cs="宋体"/>
                <w:i w:val="0"/>
                <w:iCs w:val="0"/>
                <w:color w:val="auto"/>
                <w:kern w:val="0"/>
                <w:sz w:val="20"/>
                <w:szCs w:val="20"/>
                <w:u w:val="none"/>
                <w:lang w:val="en-US" w:eastAsia="zh-CN" w:bidi="ar"/>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0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236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152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859"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986"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958"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986"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986"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固镇县其响家庭农场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谷阳镇溧涧村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固镇县阳光禽业专业合作社</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谷阳镇田庄村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顺隆肉鸡养殖合作社</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湖沟镇单圩村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董二斌肉鸡养殖场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湖沟镇兰石居委会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田大民养殖场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湖沟镇旗王村委会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固镇县湖沟镇田明道肉鸡场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湖沟镇旗王村委会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田大好养殖场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湖沟镇旗王村委会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田永锋养鸡场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湖沟镇姚集村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固镇县旭阳肉鸡养殖场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湖沟镇张湾村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蚌埠大成食品有公司</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连城镇经济开发区蚌固路西侧</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固镇县金丰农牧有限公司</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连城镇澥河村大圩田组</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固镇县锦业养殖家庭农场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连城镇澥河村小圩田组</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固镇县迦南养鸡专业合作社</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连城镇叶湖村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固镇县金叶养殖家庭农场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连城镇殷陆村红庄组</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固镇县德发养殖家庭农场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连城镇殷陆村委会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固镇县新胜养殖家庭农场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连城镇殷陆村委会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固镇永诚肉鸡养殖专业合作社第一分社</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刘集镇王李村委会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固镇永诚肉鸡养殖合作社</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刘集镇王李村肖庄</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固镇县雨峰肉鸡养殖有限公司</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石湖乡后马村委会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新宇养殖合作社</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新马桥镇濠铺村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固镇县三胜牧业有限公司</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新马桥镇黄庄村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固镇县朝新家庭农场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新马桥镇卢渡村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固镇县立业养殖专业合作社</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新马桥镇卢渡村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固镇县大龙养鸡专业合作社</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新马桥镇磨盘张村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固镇县大龙家庭农场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新马桥镇磨盘张村委会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固镇县兆峰肉鸡养殖专业合作社</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新马桥镇水利村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固镇县新马桥镇佳盛家庭农场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新马桥镇水利村委会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固镇县春林家庭农场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杨庙镇安圩村荒地组</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固镇县华成肉鸡养殖专业合作社</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杨庙镇任湖村高湖组</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固镇县连众养殖有限公司</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杨庙镇田湖村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固镇县洪伟肉鸡养殖专业合作社</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杨庙镇张巷村中郢组</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固镇县恒辉养殖家庭农场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仲兴镇余刘村委会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固镇县荣启养殖家庭农场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仲兴镇余刘村委会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固镇县方祥家庭农场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仲兴镇仲兴居委会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固镇县濠城镇王兴丰养殖场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濠城镇丁楼村委会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固镇县濠城镇陈守德养殖场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濠城镇丁楼村委会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固镇县濠城镇陈辅堂养殖场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濠城镇丁楼村委会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固镇县濠城镇邹玉侠蛋鸡场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濠城镇湖东村蒋元组</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39</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固镇县濠城凯恒养殖场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濠城镇李甘村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固镇县湖沟镇李磊蛋鸡养殖场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湖沟镇马楼村委会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41</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固镇县湖沟镇芳芳蛋鸡养殖场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湖沟镇岳王村委会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42</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固镇县连城镇丁丁蛋鸡养殖场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连城镇连城村委会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国镇县连城镇忠浩养殖场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连城镇马铺居委会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44</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固镇县连城镇大桥生态家庭农场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连城镇殷陆村乔郢组</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固镇县刘集镇东楼养殖场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刘集镇东楼村圩北组80号</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46</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固镇县张振蛋鸡养殖场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刘集镇谷堆湖农场</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356</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47</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固镇县刘集镇梁福山蛋鸡养殖场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刘集镇梁桥村新良组</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固镇县刘集镇梁文波蛋鸡养殖场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刘集镇梁桥村新梁组</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49</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刘安仁蛋鸡养殖场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刘集镇田圩村张圩组47号</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陈国友蛋鸡养殖场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新马桥镇南庙村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51</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固镇县杨庙镇国侠蛋鸡养殖场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杨庙镇曹徐村东南组</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52</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固镇县严琴养殖有限公司</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杨庙镇何集居委会</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53</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固镇县杨庙镇文武蛋鸡养殖场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杨庙镇种羊场</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54</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周坡蛋鸡场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仲兴镇孟庙村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12500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12500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安徽省蚌埠市固镇县仲兴镇同义蛋鸡养殖场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仲兴镇土楼村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56</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固镇县仲兴镇徐振蛋鸡养殖场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仲兴镇余刘村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57</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固镇县仲兴镇刘红玲养鸡场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仲兴镇余刘村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58</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安徽省蚌埠市固镇县仲兴镇刘锁蛋鸡养殖场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仲兴镇余刘村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59</w:t>
            </w:r>
          </w:p>
        </w:tc>
        <w:tc>
          <w:tcPr>
            <w:tcW w:w="23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安徽省蚌埠市固镇县仲兴镇刘玉冰蛋鸡养殖场</w:t>
            </w:r>
          </w:p>
        </w:tc>
        <w:tc>
          <w:tcPr>
            <w:tcW w:w="15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仲兴镇余刘村</w:t>
            </w:r>
          </w:p>
        </w:tc>
        <w:tc>
          <w:tcPr>
            <w:tcW w:w="859"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蛋鸡</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7000</w:t>
            </w:r>
          </w:p>
        </w:tc>
        <w:tc>
          <w:tcPr>
            <w:tcW w:w="958"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7000</w:t>
            </w:r>
          </w:p>
        </w:tc>
        <w:tc>
          <w:tcPr>
            <w:tcW w:w="986"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bl>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jc w:val="center"/>
        <w:textAlignment w:val="auto"/>
        <w:rPr>
          <w:rFonts w:hint="eastAsia" w:eastAsia="仿宋_GB2312" w:asciiTheme="minorHAnsi" w:hAnsiTheme="minorHAnsi" w:cstheme="minorBidi"/>
          <w:b/>
          <w:bCs/>
          <w:color w:val="auto"/>
          <w:kern w:val="0"/>
          <w:sz w:val="24"/>
          <w:szCs w:val="24"/>
          <w:lang w:val="zh-CN" w:eastAsia="zh-CN" w:bidi="ar-SA"/>
        </w:rPr>
      </w:pPr>
      <w:r>
        <w:rPr>
          <w:rFonts w:hint="eastAsia" w:ascii="宋体" w:hAnsi="宋体" w:eastAsia="宋体" w:cs="宋体"/>
          <w:b w:val="0"/>
          <w:i w:val="0"/>
          <w:iCs w:val="0"/>
          <w:color w:val="auto"/>
          <w:kern w:val="0"/>
          <w:sz w:val="22"/>
          <w:szCs w:val="22"/>
          <w:u w:val="none"/>
          <w:lang w:val="en-US" w:eastAsia="zh-CN" w:bidi="ar"/>
        </w:rPr>
        <w:t>（谷阳镇原名城关镇、杨庙镇原名杨庙乡、仲兴镇原名仲兴乡）</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2" w:firstLineChars="200"/>
        <w:jc w:val="center"/>
        <w:textAlignment w:val="auto"/>
        <w:rPr>
          <w:rFonts w:hint="eastAsia" w:eastAsia="仿宋_GB2312" w:asciiTheme="minorHAnsi" w:hAnsiTheme="minorHAnsi" w:cstheme="minorBidi"/>
          <w:b/>
          <w:bCs/>
          <w:color w:val="auto"/>
          <w:kern w:val="0"/>
          <w:sz w:val="24"/>
          <w:szCs w:val="24"/>
          <w:lang w:val="en-US" w:eastAsia="zh-CN" w:bidi="ar-SA"/>
        </w:rPr>
      </w:pPr>
      <w:r>
        <w:rPr>
          <w:rFonts w:hint="eastAsia" w:eastAsia="仿宋_GB2312" w:asciiTheme="minorHAnsi" w:hAnsiTheme="minorHAnsi" w:cstheme="minorBidi"/>
          <w:b/>
          <w:bCs/>
          <w:color w:val="auto"/>
          <w:kern w:val="0"/>
          <w:sz w:val="24"/>
          <w:szCs w:val="24"/>
          <w:lang w:val="zh-CN" w:eastAsia="zh-CN" w:bidi="ar-SA"/>
        </w:rPr>
        <w:t>表3.1-</w:t>
      </w:r>
      <w:r>
        <w:rPr>
          <w:rFonts w:hint="eastAsia" w:eastAsia="仿宋_GB2312" w:asciiTheme="minorHAnsi" w:hAnsiTheme="minorHAnsi" w:cstheme="minorBidi"/>
          <w:b/>
          <w:bCs/>
          <w:color w:val="auto"/>
          <w:kern w:val="0"/>
          <w:sz w:val="24"/>
          <w:szCs w:val="24"/>
          <w:lang w:val="en-US" w:eastAsia="zh-CN" w:bidi="ar-SA"/>
        </w:rPr>
        <w:t>5 固镇县</w:t>
      </w:r>
      <w:r>
        <w:rPr>
          <w:rFonts w:hint="eastAsia" w:eastAsia="仿宋_GB2312" w:asciiTheme="minorHAnsi" w:hAnsiTheme="minorHAnsi" w:cstheme="minorBidi"/>
          <w:b/>
          <w:bCs/>
          <w:color w:val="auto"/>
          <w:kern w:val="0"/>
          <w:sz w:val="24"/>
          <w:szCs w:val="24"/>
          <w:lang w:val="zh-CN" w:eastAsia="zh-CN" w:bidi="ar-SA"/>
        </w:rPr>
        <w:t>纳入直连直报系统肉牛、</w:t>
      </w:r>
      <w:r>
        <w:rPr>
          <w:rFonts w:hint="eastAsia" w:eastAsia="仿宋_GB2312" w:asciiTheme="minorHAnsi" w:hAnsiTheme="minorHAnsi" w:cstheme="minorBidi"/>
          <w:b/>
          <w:bCs/>
          <w:color w:val="auto"/>
          <w:kern w:val="0"/>
          <w:sz w:val="24"/>
          <w:szCs w:val="24"/>
          <w:lang w:val="en-US" w:eastAsia="zh-CN" w:bidi="ar-SA"/>
        </w:rPr>
        <w:t>奶牛</w:t>
      </w:r>
      <w:r>
        <w:rPr>
          <w:rFonts w:hint="eastAsia" w:eastAsia="仿宋_GB2312" w:asciiTheme="minorHAnsi" w:hAnsiTheme="minorHAnsi" w:cstheme="minorBidi"/>
          <w:b/>
          <w:bCs/>
          <w:color w:val="auto"/>
          <w:kern w:val="0"/>
          <w:sz w:val="24"/>
          <w:szCs w:val="24"/>
          <w:lang w:val="zh-CN" w:eastAsia="zh-CN" w:bidi="ar-SA"/>
        </w:rPr>
        <w:t>养殖场</w:t>
      </w:r>
    </w:p>
    <w:tbl>
      <w:tblPr>
        <w:tblStyle w:val="20"/>
        <w:tblW w:w="9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0"/>
        <w:gridCol w:w="2100"/>
        <w:gridCol w:w="1480"/>
        <w:gridCol w:w="960"/>
        <w:gridCol w:w="1070"/>
        <w:gridCol w:w="1020"/>
        <w:gridCol w:w="1000"/>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690" w:type="dxa"/>
            <w:vMerge w:val="restart"/>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序号</w:t>
            </w:r>
          </w:p>
        </w:tc>
        <w:tc>
          <w:tcPr>
            <w:tcW w:w="210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畜禽养殖场（户）</w:t>
            </w:r>
          </w:p>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名称</w:t>
            </w:r>
          </w:p>
        </w:tc>
        <w:tc>
          <w:tcPr>
            <w:tcW w:w="148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地址</w:t>
            </w:r>
          </w:p>
        </w:tc>
        <w:tc>
          <w:tcPr>
            <w:tcW w:w="96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养殖种类</w:t>
            </w:r>
          </w:p>
        </w:tc>
        <w:tc>
          <w:tcPr>
            <w:tcW w:w="107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设计存栏量</w:t>
            </w:r>
            <w:r>
              <w:rPr>
                <w:rFonts w:hint="eastAsia" w:ascii="宋体" w:hAnsi="宋体" w:eastAsia="宋体" w:cs="宋体"/>
                <w:i w:val="0"/>
                <w:iCs w:val="0"/>
                <w:color w:val="auto"/>
                <w:kern w:val="0"/>
                <w:sz w:val="20"/>
                <w:szCs w:val="20"/>
                <w:u w:val="none"/>
                <w:lang w:val="en-US" w:eastAsia="zh-CN" w:bidi="ar"/>
              </w:rPr>
              <w:t>（头）</w:t>
            </w:r>
          </w:p>
        </w:tc>
        <w:tc>
          <w:tcPr>
            <w:tcW w:w="102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实际存栏量</w:t>
            </w:r>
            <w:r>
              <w:rPr>
                <w:rFonts w:hint="eastAsia" w:ascii="宋体" w:hAnsi="宋体" w:eastAsia="宋体" w:cs="宋体"/>
                <w:i w:val="0"/>
                <w:iCs w:val="0"/>
                <w:color w:val="auto"/>
                <w:kern w:val="0"/>
                <w:sz w:val="20"/>
                <w:szCs w:val="20"/>
                <w:u w:val="none"/>
                <w:lang w:val="en-US" w:eastAsia="zh-CN" w:bidi="ar"/>
              </w:rPr>
              <w:t>（头）</w:t>
            </w:r>
          </w:p>
        </w:tc>
        <w:tc>
          <w:tcPr>
            <w:tcW w:w="100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设计出栏量</w:t>
            </w:r>
            <w:r>
              <w:rPr>
                <w:rFonts w:hint="eastAsia" w:ascii="宋体" w:hAnsi="宋体" w:eastAsia="宋体" w:cs="宋体"/>
                <w:i w:val="0"/>
                <w:iCs w:val="0"/>
                <w:color w:val="auto"/>
                <w:kern w:val="0"/>
                <w:sz w:val="20"/>
                <w:szCs w:val="20"/>
                <w:u w:val="none"/>
                <w:lang w:val="en-US" w:eastAsia="zh-CN" w:bidi="ar"/>
              </w:rPr>
              <w:t>（头）</w:t>
            </w:r>
          </w:p>
        </w:tc>
        <w:tc>
          <w:tcPr>
            <w:tcW w:w="103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实际出栏量</w:t>
            </w:r>
            <w:r>
              <w:rPr>
                <w:rFonts w:hint="eastAsia" w:ascii="宋体" w:hAnsi="宋体" w:eastAsia="宋体" w:cs="宋体"/>
                <w:i w:val="0"/>
                <w:iCs w:val="0"/>
                <w:color w:val="auto"/>
                <w:kern w:val="0"/>
                <w:sz w:val="20"/>
                <w:szCs w:val="20"/>
                <w:u w:val="none"/>
                <w:lang w:val="en-US" w:eastAsia="zh-CN" w:bidi="ar"/>
              </w:rPr>
              <w:t>（头）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690" w:type="dxa"/>
            <w:vMerge w:val="continue"/>
            <w:shd w:val="clear" w:color="auto" w:fill="auto"/>
            <w:noWrap/>
            <w:vAlign w:val="center"/>
          </w:tcPr>
          <w:p>
            <w:pPr>
              <w:spacing w:line="240" w:lineRule="auto"/>
              <w:jc w:val="center"/>
              <w:rPr>
                <w:rFonts w:hint="eastAsia" w:ascii="宋体" w:hAnsi="宋体" w:eastAsia="宋体" w:cs="宋体"/>
                <w:i w:val="0"/>
                <w:iCs w:val="0"/>
                <w:color w:val="auto"/>
                <w:sz w:val="22"/>
                <w:szCs w:val="22"/>
                <w:u w:val="none"/>
              </w:rPr>
            </w:pPr>
          </w:p>
        </w:tc>
        <w:tc>
          <w:tcPr>
            <w:tcW w:w="210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148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96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107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102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100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103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0" w:type="dxa"/>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固镇县汉邦牧业有限公司</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石湖乡钟黄村熊湖组</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奶牛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250</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0" w:type="dxa"/>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安徽鑫牛农业科技有限公司</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新马桥镇韦店村委会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奶牛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356</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175</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固镇盛杰牧业有限公司</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谷阳镇七里村</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固镇县润程养殖专业合作社</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谷阳镇唐南居委会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固镇县濠城镇华宗勤肉牛养殖场</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濠城镇丁楼村委会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固镇县濠城镇丁海湾养殖场</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濠城镇刘祠村</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杨德林肉牛养殖场</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湖沟镇陈海村委会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陈旋旋肉牛养殖场</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湖沟镇周寨村委会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固镇县连城镇勤磊家庭农场</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连城镇浍南居委会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固镇县牛牛养殖有限公司</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连城镇连城村委会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148</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森泽肉牛养殖场</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连城镇殷陆村小农场</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190</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固镇县刘集镇厚旺养殖场</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刘集镇谷堆湖农场</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安徽省荣财牛羊贸易有限公司</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任桥镇欧圩村陈圩组</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固镇县荣达养殖专业合作社</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石湖乡陈桥村委会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固镇县玉琳养殖家庭农场</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石湖乡后马村委会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1158</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固镇县石湖乡杨恒彬肉牛场</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石湖乡刘元村委会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固镇县王庄付宝成肉牛养殖场</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王庄镇大蒋村委会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固镇县王庄镇合力养殖场</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王庄镇丁陶刘村刘家组</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固镇县新马桥镇安士肉牛养殖场</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新马桥镇黄庄村</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安徽徽牛牧业有限公司</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新马桥镇苏湖村委会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905</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固镇县杨庙镇孟鑫生态养殖家庭农场</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杨庙镇田湖村</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固镇县杨庙镇吴绪将生态养殖家庭农场</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杨庙镇张巷村</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21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固镇县仲兴镇林旺牧业黄牛养殖场</w:t>
            </w:r>
          </w:p>
        </w:tc>
        <w:tc>
          <w:tcPr>
            <w:tcW w:w="148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仲兴镇仲兴居委会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肉牛</w:t>
            </w:r>
          </w:p>
        </w:tc>
        <w:tc>
          <w:tcPr>
            <w:tcW w:w="10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102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w:t>
            </w:r>
          </w:p>
        </w:tc>
        <w:tc>
          <w:tcPr>
            <w:tcW w:w="100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w:t>
            </w:r>
          </w:p>
        </w:tc>
        <w:tc>
          <w:tcPr>
            <w:tcW w:w="103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w:t>
            </w:r>
          </w:p>
        </w:tc>
      </w:tr>
    </w:tbl>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jc w:val="center"/>
        <w:textAlignment w:val="auto"/>
        <w:rPr>
          <w:rFonts w:hint="eastAsia"/>
          <w:color w:val="auto"/>
          <w:sz w:val="24"/>
          <w:szCs w:val="24"/>
          <w:lang w:val="en-US" w:eastAsia="zh-CN"/>
        </w:rPr>
      </w:pPr>
      <w:r>
        <w:rPr>
          <w:rFonts w:hint="eastAsia" w:ascii="宋体" w:hAnsi="宋体" w:eastAsia="宋体" w:cs="宋体"/>
          <w:b w:val="0"/>
          <w:i w:val="0"/>
          <w:iCs w:val="0"/>
          <w:color w:val="auto"/>
          <w:kern w:val="0"/>
          <w:sz w:val="22"/>
          <w:szCs w:val="22"/>
          <w:u w:val="none"/>
          <w:lang w:val="en-US" w:eastAsia="zh-CN" w:bidi="ar"/>
        </w:rPr>
        <w:t>（谷阳镇原名城关镇、杨庙镇原名杨庙乡、仲兴镇原名仲兴乡）</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2" w:firstLineChars="200"/>
        <w:jc w:val="center"/>
        <w:textAlignment w:val="auto"/>
        <w:rPr>
          <w:rFonts w:hint="default" w:eastAsia="仿宋_GB2312" w:asciiTheme="minorHAnsi" w:hAnsiTheme="minorHAnsi" w:cstheme="minorBidi"/>
          <w:b/>
          <w:bCs/>
          <w:color w:val="auto"/>
          <w:kern w:val="0"/>
          <w:sz w:val="24"/>
          <w:szCs w:val="24"/>
          <w:lang w:val="en-US" w:eastAsia="zh-CN" w:bidi="ar-SA"/>
        </w:rPr>
      </w:pPr>
      <w:r>
        <w:rPr>
          <w:rFonts w:hint="eastAsia" w:eastAsia="仿宋_GB2312" w:asciiTheme="minorHAnsi" w:hAnsiTheme="minorHAnsi" w:cstheme="minorBidi"/>
          <w:b/>
          <w:bCs/>
          <w:color w:val="auto"/>
          <w:kern w:val="0"/>
          <w:sz w:val="24"/>
          <w:szCs w:val="24"/>
          <w:lang w:val="en-US" w:eastAsia="zh-CN" w:bidi="ar-SA"/>
        </w:rPr>
        <w:t>表3.1-6  固镇县</w:t>
      </w:r>
      <w:r>
        <w:rPr>
          <w:rFonts w:hint="eastAsia" w:eastAsia="仿宋_GB2312" w:asciiTheme="minorHAnsi" w:hAnsiTheme="minorHAnsi" w:cstheme="minorBidi"/>
          <w:b/>
          <w:bCs/>
          <w:color w:val="auto"/>
          <w:kern w:val="0"/>
          <w:sz w:val="24"/>
          <w:szCs w:val="24"/>
          <w:lang w:val="zh-CN" w:eastAsia="zh-CN" w:bidi="ar-SA"/>
        </w:rPr>
        <w:t>纳入直连直报系统</w:t>
      </w:r>
      <w:r>
        <w:rPr>
          <w:rFonts w:hint="eastAsia" w:eastAsia="仿宋_GB2312" w:asciiTheme="minorHAnsi" w:hAnsiTheme="minorHAnsi" w:cstheme="minorBidi"/>
          <w:b/>
          <w:bCs/>
          <w:color w:val="auto"/>
          <w:kern w:val="0"/>
          <w:sz w:val="24"/>
          <w:szCs w:val="24"/>
          <w:lang w:val="en-US" w:eastAsia="zh-CN" w:bidi="ar-SA"/>
        </w:rPr>
        <w:t>肉羊、山羊养殖场一览表</w:t>
      </w:r>
    </w:p>
    <w:tbl>
      <w:tblPr>
        <w:tblStyle w:val="2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70"/>
        <w:gridCol w:w="2010"/>
        <w:gridCol w:w="2010"/>
        <w:gridCol w:w="960"/>
        <w:gridCol w:w="960"/>
        <w:gridCol w:w="960"/>
        <w:gridCol w:w="960"/>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67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序号</w:t>
            </w:r>
          </w:p>
        </w:tc>
        <w:tc>
          <w:tcPr>
            <w:tcW w:w="201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畜禽养殖场（户）名称</w:t>
            </w:r>
          </w:p>
        </w:tc>
        <w:tc>
          <w:tcPr>
            <w:tcW w:w="201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地址</w:t>
            </w:r>
          </w:p>
        </w:tc>
        <w:tc>
          <w:tcPr>
            <w:tcW w:w="96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养殖种类</w:t>
            </w:r>
          </w:p>
        </w:tc>
        <w:tc>
          <w:tcPr>
            <w:tcW w:w="96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设计存栏量</w:t>
            </w:r>
            <w:r>
              <w:rPr>
                <w:rFonts w:hint="eastAsia" w:ascii="宋体" w:hAnsi="宋体" w:eastAsia="宋体" w:cs="宋体"/>
                <w:i w:val="0"/>
                <w:iCs w:val="0"/>
                <w:color w:val="auto"/>
                <w:kern w:val="0"/>
                <w:sz w:val="20"/>
                <w:szCs w:val="20"/>
                <w:u w:val="none"/>
                <w:lang w:val="en-US" w:eastAsia="zh-CN" w:bidi="ar"/>
              </w:rPr>
              <w:t>（头）</w:t>
            </w:r>
          </w:p>
        </w:tc>
        <w:tc>
          <w:tcPr>
            <w:tcW w:w="96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实际存栏量</w:t>
            </w:r>
            <w:r>
              <w:rPr>
                <w:rFonts w:hint="eastAsia" w:ascii="宋体" w:hAnsi="宋体" w:eastAsia="宋体" w:cs="宋体"/>
                <w:i w:val="0"/>
                <w:iCs w:val="0"/>
                <w:color w:val="auto"/>
                <w:kern w:val="0"/>
                <w:sz w:val="20"/>
                <w:szCs w:val="20"/>
                <w:u w:val="none"/>
                <w:lang w:val="en-US" w:eastAsia="zh-CN" w:bidi="ar"/>
              </w:rPr>
              <w:t>（头）</w:t>
            </w:r>
          </w:p>
        </w:tc>
        <w:tc>
          <w:tcPr>
            <w:tcW w:w="96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设计出栏量</w:t>
            </w:r>
            <w:r>
              <w:rPr>
                <w:rFonts w:hint="eastAsia" w:ascii="宋体" w:hAnsi="宋体" w:eastAsia="宋体" w:cs="宋体"/>
                <w:i w:val="0"/>
                <w:iCs w:val="0"/>
                <w:color w:val="auto"/>
                <w:kern w:val="0"/>
                <w:sz w:val="20"/>
                <w:szCs w:val="20"/>
                <w:u w:val="none"/>
                <w:lang w:val="en-US" w:eastAsia="zh-CN" w:bidi="ar"/>
              </w:rPr>
              <w:t>（头）</w:t>
            </w:r>
          </w:p>
        </w:tc>
        <w:tc>
          <w:tcPr>
            <w:tcW w:w="960" w:type="dxa"/>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实际出栏量</w:t>
            </w:r>
            <w:r>
              <w:rPr>
                <w:rFonts w:hint="eastAsia" w:ascii="宋体" w:hAnsi="宋体" w:eastAsia="宋体" w:cs="宋体"/>
                <w:i w:val="0"/>
                <w:iCs w:val="0"/>
                <w:color w:val="auto"/>
                <w:kern w:val="0"/>
                <w:sz w:val="20"/>
                <w:szCs w:val="20"/>
                <w:u w:val="none"/>
                <w:lang w:val="en-US" w:eastAsia="zh-CN" w:bidi="ar"/>
              </w:rPr>
              <w:t>（头）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67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201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201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96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96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96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96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c>
          <w:tcPr>
            <w:tcW w:w="960" w:type="dxa"/>
            <w:vMerge w:val="continue"/>
            <w:shd w:val="clear" w:color="auto" w:fill="auto"/>
            <w:vAlign w:val="center"/>
          </w:tcPr>
          <w:p>
            <w:pPr>
              <w:spacing w:line="240" w:lineRule="auto"/>
              <w:jc w:val="cente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吴太军养羊场</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谷阳镇桥口村吴庄</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山羊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安徽省争华羊业集团有限公司</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濠城镇东荀村委会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华古响肉羊养殖场</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濠城镇华巷村</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固镇县湖沟镇单桂义肉羊场</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湖沟镇浍光村委会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固镇县绿康源养殖有限公司</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湖沟镇瓦疃居委会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5600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4200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固镇县湖沟镇奇特牧业</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湖沟镇杨圩村</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固镇县生态养殖场</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湖沟镇姚集村</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510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760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固镇县湖沟镇伟业湖羊养殖场</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湖沟镇姚集村</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620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固镇县湖沟镇富强湖羊养殖场</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湖沟镇姚集村委会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丁民肉羊养殖场</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湖沟镇姚集村委会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固镇县龙兴养殖场</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湖沟镇姚集村委会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195</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固镇县湖沟镇王光跃肉羊场</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湖沟镇张湾村委会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175</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固镇县连城镇华丰牛羊养殖基地</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连城镇连城村街南组</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固镇县王二组生态农场</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刘集镇杨圩村前陈组65号</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山羊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凌应山养殖场</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刘集镇张凌村</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固镇县陈氏湖羊养殖专业合作社</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任桥镇欧圩村委会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60000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70000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陶凯养羊场</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新马桥镇磨盘张村</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固镇县新马桥利军家庭农场</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新马桥镇南庙村</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固镇县青草地家庭农场</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杨庙镇陆郢村前东组</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固镇县利民羊业养殖有限公司</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仲兴镇张巷村</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固镇县鑫羊养殖专业合作社</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仲兴镇张巷村</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固镇县陈氏湖羊养殖专业合作社</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仲兴镇中陈村后陈庄</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5300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4200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安徽省争华羊业集团有限公司</w:t>
            </w:r>
          </w:p>
        </w:tc>
        <w:tc>
          <w:tcPr>
            <w:tcW w:w="201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仲兴镇仲兴居委会</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绵羊</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6600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20000</w:t>
            </w:r>
          </w:p>
        </w:tc>
        <w:tc>
          <w:tcPr>
            <w:tcW w:w="960" w:type="dxa"/>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5950</w:t>
            </w:r>
          </w:p>
        </w:tc>
      </w:tr>
    </w:tbl>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jc w:val="center"/>
        <w:textAlignment w:val="auto"/>
        <w:rPr>
          <w:rFonts w:hint="eastAsia"/>
          <w:color w:val="auto"/>
          <w:lang w:val="en-US" w:eastAsia="zh-CN"/>
        </w:rPr>
      </w:pPr>
      <w:bookmarkStart w:id="58" w:name="_Toc31546"/>
      <w:bookmarkStart w:id="59" w:name="_Toc23508"/>
      <w:bookmarkStart w:id="60" w:name="_Toc19520"/>
      <w:r>
        <w:rPr>
          <w:rFonts w:hint="eastAsia" w:ascii="宋体" w:hAnsi="宋体" w:eastAsia="宋体" w:cs="宋体"/>
          <w:b w:val="0"/>
          <w:i w:val="0"/>
          <w:iCs w:val="0"/>
          <w:color w:val="auto"/>
          <w:kern w:val="0"/>
          <w:sz w:val="22"/>
          <w:szCs w:val="22"/>
          <w:u w:val="none"/>
          <w:lang w:val="en-US" w:eastAsia="zh-CN" w:bidi="ar"/>
        </w:rPr>
        <w:t>（谷阳镇原名城关镇、杨庙镇原名杨庙乡、仲兴镇原名仲兴乡）</w:t>
      </w:r>
    </w:p>
    <w:p>
      <w:pPr>
        <w:pStyle w:val="5"/>
        <w:rPr>
          <w:rFonts w:hint="eastAsia"/>
          <w:color w:val="auto"/>
          <w:lang w:val="en-US" w:eastAsia="zh-CN"/>
        </w:rPr>
      </w:pPr>
      <w:r>
        <w:rPr>
          <w:rFonts w:hint="eastAsia"/>
          <w:color w:val="auto"/>
          <w:lang w:val="en-US" w:eastAsia="zh-CN"/>
        </w:rPr>
        <w:t>3.2畜禽养殖污染物产生情况</w:t>
      </w:r>
      <w:bookmarkEnd w:id="58"/>
      <w:bookmarkEnd w:id="59"/>
      <w:bookmarkEnd w:id="60"/>
    </w:p>
    <w:p>
      <w:pPr>
        <w:ind w:firstLine="600" w:firstLineChars="200"/>
        <w:rPr>
          <w:rFonts w:hint="eastAsia" w:eastAsia="仿宋_GB2312"/>
          <w:color w:val="auto"/>
          <w:kern w:val="0"/>
          <w:sz w:val="30"/>
          <w:szCs w:val="30"/>
          <w:highlight w:val="none"/>
          <w:lang w:val="en-US" w:eastAsia="zh-CN"/>
        </w:rPr>
      </w:pPr>
      <w:bookmarkStart w:id="61" w:name="_Toc8282"/>
      <w:bookmarkStart w:id="62" w:name="_Toc6020"/>
      <w:bookmarkStart w:id="63" w:name="_Toc13466"/>
      <w:r>
        <w:rPr>
          <w:rFonts w:hint="eastAsia" w:eastAsia="仿宋_GB2312"/>
          <w:color w:val="auto"/>
          <w:kern w:val="0"/>
          <w:sz w:val="30"/>
          <w:szCs w:val="30"/>
          <w:lang w:val="zh-CN" w:eastAsia="zh-CN"/>
        </w:rPr>
        <w:t>2020年全县生猪存栏</w:t>
      </w:r>
      <w:r>
        <w:rPr>
          <w:rFonts w:hint="eastAsia" w:eastAsia="仿宋_GB2312"/>
          <w:color w:val="auto"/>
          <w:kern w:val="0"/>
          <w:sz w:val="30"/>
          <w:szCs w:val="30"/>
          <w:lang w:val="en-US" w:eastAsia="zh-CN"/>
        </w:rPr>
        <w:t>35</w:t>
      </w:r>
      <w:r>
        <w:rPr>
          <w:rFonts w:hint="eastAsia" w:eastAsia="仿宋_GB2312"/>
          <w:color w:val="auto"/>
          <w:kern w:val="0"/>
          <w:sz w:val="30"/>
          <w:szCs w:val="30"/>
          <w:lang w:val="zh-CN" w:eastAsia="zh-CN"/>
        </w:rPr>
        <w:t>万头，肉牛存栏</w:t>
      </w:r>
      <w:r>
        <w:rPr>
          <w:rFonts w:hint="eastAsia" w:eastAsia="仿宋_GB2312"/>
          <w:color w:val="auto"/>
          <w:kern w:val="0"/>
          <w:sz w:val="30"/>
          <w:szCs w:val="30"/>
          <w:lang w:val="en-US" w:eastAsia="zh-CN"/>
        </w:rPr>
        <w:t>2.91</w:t>
      </w:r>
      <w:r>
        <w:rPr>
          <w:rFonts w:hint="eastAsia" w:eastAsia="仿宋_GB2312"/>
          <w:color w:val="auto"/>
          <w:kern w:val="0"/>
          <w:sz w:val="30"/>
          <w:szCs w:val="30"/>
          <w:lang w:val="zh-CN" w:eastAsia="zh-CN"/>
        </w:rPr>
        <w:t>万头，羊存栏</w:t>
      </w:r>
      <w:r>
        <w:rPr>
          <w:rFonts w:hint="eastAsia" w:eastAsia="仿宋_GB2312"/>
          <w:color w:val="auto"/>
          <w:kern w:val="0"/>
          <w:sz w:val="30"/>
          <w:szCs w:val="30"/>
          <w:lang w:val="en-US" w:eastAsia="zh-CN"/>
        </w:rPr>
        <w:t>33</w:t>
      </w:r>
      <w:r>
        <w:rPr>
          <w:rFonts w:hint="eastAsia" w:eastAsia="仿宋_GB2312"/>
          <w:color w:val="auto"/>
          <w:kern w:val="0"/>
          <w:sz w:val="30"/>
          <w:szCs w:val="30"/>
          <w:lang w:val="zh-CN" w:eastAsia="zh-CN"/>
        </w:rPr>
        <w:t>万只，鸡存栏</w:t>
      </w:r>
      <w:r>
        <w:rPr>
          <w:rFonts w:hint="eastAsia" w:eastAsia="仿宋_GB2312"/>
          <w:color w:val="auto"/>
          <w:kern w:val="0"/>
          <w:sz w:val="30"/>
          <w:szCs w:val="30"/>
          <w:lang w:val="en-US" w:eastAsia="zh-CN"/>
        </w:rPr>
        <w:t>1171.7</w:t>
      </w:r>
      <w:r>
        <w:rPr>
          <w:rFonts w:hint="eastAsia" w:eastAsia="仿宋_GB2312"/>
          <w:color w:val="auto"/>
          <w:kern w:val="0"/>
          <w:sz w:val="30"/>
          <w:szCs w:val="30"/>
          <w:lang w:val="zh-CN" w:eastAsia="zh-CN"/>
        </w:rPr>
        <w:t>万只</w:t>
      </w:r>
      <w:r>
        <w:rPr>
          <w:rFonts w:hint="eastAsia" w:eastAsia="仿宋_GB2312"/>
          <w:color w:val="auto"/>
          <w:kern w:val="0"/>
          <w:sz w:val="30"/>
          <w:szCs w:val="30"/>
          <w:highlight w:val="none"/>
          <w:lang w:val="en-US" w:eastAsia="zh-CN"/>
        </w:rPr>
        <w:t>。根据《畜禽粪污土地承载力测算技术指南》，猪当量应按照存栏量折算：100头猪相当于30头肉牛、250只羊、2500只家禽，经计算，</w:t>
      </w:r>
      <w:r>
        <w:rPr>
          <w:rFonts w:hint="eastAsia" w:eastAsia="仿宋_GB2312"/>
          <w:color w:val="auto"/>
          <w:kern w:val="0"/>
          <w:sz w:val="28"/>
          <w:szCs w:val="28"/>
          <w:lang w:val="en-US" w:eastAsia="zh-CN"/>
        </w:rPr>
        <w:t>固镇县各乡镇</w:t>
      </w:r>
      <w:r>
        <w:rPr>
          <w:rFonts w:hint="eastAsia" w:eastAsia="仿宋_GB2312"/>
          <w:color w:val="auto"/>
          <w:kern w:val="0"/>
          <w:sz w:val="30"/>
          <w:szCs w:val="30"/>
          <w:highlight w:val="none"/>
          <w:lang w:val="en-US" w:eastAsia="zh-CN"/>
        </w:rPr>
        <w:t>猪当量核算结果如下：</w:t>
      </w:r>
    </w:p>
    <w:p>
      <w:pPr>
        <w:ind w:firstLine="482" w:firstLineChars="200"/>
        <w:jc w:val="center"/>
        <w:rPr>
          <w:rFonts w:hint="eastAsia" w:eastAsia="仿宋_GB2312"/>
          <w:color w:val="auto"/>
          <w:kern w:val="0"/>
          <w:sz w:val="30"/>
          <w:szCs w:val="30"/>
          <w:highlight w:val="none"/>
          <w:lang w:val="en-US" w:eastAsia="zh-CN"/>
        </w:rPr>
      </w:pPr>
      <w:r>
        <w:rPr>
          <w:rFonts w:hint="default" w:ascii="Calibri" w:hAnsi="Calibri" w:eastAsia="仿宋_GB2312" w:cs="Times New Roman"/>
          <w:b/>
          <w:bCs/>
          <w:color w:val="auto"/>
          <w:kern w:val="0"/>
          <w:sz w:val="24"/>
          <w:szCs w:val="24"/>
          <w:lang w:val="en-US" w:eastAsia="zh-CN" w:bidi="ar-SA"/>
        </w:rPr>
        <w:t>表 3.</w:t>
      </w:r>
      <w:r>
        <w:rPr>
          <w:rFonts w:hint="eastAsia" w:ascii="Calibri" w:hAnsi="Calibri" w:eastAsia="仿宋_GB2312" w:cs="Times New Roman"/>
          <w:b/>
          <w:bCs/>
          <w:color w:val="auto"/>
          <w:kern w:val="0"/>
          <w:sz w:val="24"/>
          <w:szCs w:val="24"/>
          <w:lang w:val="en-US" w:eastAsia="zh-CN" w:bidi="ar-SA"/>
        </w:rPr>
        <w:t>2-1</w:t>
      </w:r>
      <w:r>
        <w:rPr>
          <w:rFonts w:hint="default" w:ascii="Calibri" w:hAnsi="Calibri" w:eastAsia="仿宋_GB2312" w:cs="Times New Roman"/>
          <w:b/>
          <w:bCs/>
          <w:color w:val="auto"/>
          <w:kern w:val="0"/>
          <w:sz w:val="24"/>
          <w:szCs w:val="24"/>
          <w:lang w:val="en-US" w:eastAsia="zh-CN" w:bidi="ar-SA"/>
        </w:rPr>
        <w:t xml:space="preserve"> </w:t>
      </w:r>
      <w:r>
        <w:rPr>
          <w:rFonts w:hint="eastAsia" w:ascii="Calibri" w:hAnsi="Calibri" w:eastAsia="仿宋_GB2312" w:cs="Times New Roman"/>
          <w:b/>
          <w:bCs/>
          <w:color w:val="auto"/>
          <w:kern w:val="0"/>
          <w:sz w:val="24"/>
          <w:szCs w:val="24"/>
          <w:lang w:val="en-US" w:eastAsia="zh-CN" w:bidi="ar-SA"/>
        </w:rPr>
        <w:t xml:space="preserve"> </w:t>
      </w:r>
      <w:r>
        <w:rPr>
          <w:rFonts w:hint="default" w:ascii="Calibri" w:hAnsi="Calibri" w:eastAsia="仿宋_GB2312" w:cs="Times New Roman"/>
          <w:b/>
          <w:bCs/>
          <w:color w:val="auto"/>
          <w:kern w:val="0"/>
          <w:sz w:val="24"/>
          <w:szCs w:val="24"/>
          <w:lang w:val="en-US" w:eastAsia="zh-CN" w:bidi="ar-SA"/>
        </w:rPr>
        <w:t>2020年</w:t>
      </w:r>
      <w:r>
        <w:rPr>
          <w:rFonts w:hint="eastAsia" w:ascii="Calibri" w:hAnsi="Calibri" w:eastAsia="仿宋_GB2312" w:cs="Times New Roman"/>
          <w:b/>
          <w:bCs/>
          <w:color w:val="auto"/>
          <w:kern w:val="0"/>
          <w:sz w:val="24"/>
          <w:szCs w:val="24"/>
          <w:lang w:val="en-US" w:eastAsia="zh-CN" w:bidi="ar-SA"/>
        </w:rPr>
        <w:t>固镇县</w:t>
      </w:r>
      <w:r>
        <w:rPr>
          <w:rFonts w:hint="eastAsia" w:eastAsia="仿宋_GB2312" w:cs="Times New Roman"/>
          <w:b/>
          <w:bCs/>
          <w:color w:val="auto"/>
          <w:kern w:val="0"/>
          <w:sz w:val="24"/>
          <w:szCs w:val="24"/>
          <w:lang w:val="en-US" w:eastAsia="zh-CN" w:bidi="ar-SA"/>
        </w:rPr>
        <w:t>各乡镇猪当量</w:t>
      </w:r>
      <w:r>
        <w:rPr>
          <w:rFonts w:hint="default" w:ascii="Calibri" w:hAnsi="Calibri" w:eastAsia="仿宋_GB2312" w:cs="Times New Roman"/>
          <w:b/>
          <w:bCs/>
          <w:color w:val="auto"/>
          <w:kern w:val="0"/>
          <w:sz w:val="24"/>
          <w:szCs w:val="24"/>
          <w:lang w:val="en-US" w:eastAsia="zh-CN" w:bidi="ar-SA"/>
        </w:rPr>
        <w:t xml:space="preserve">  单位：</w:t>
      </w:r>
      <w:r>
        <w:rPr>
          <w:rFonts w:hint="eastAsia" w:ascii="Calibri" w:hAnsi="Calibri" w:eastAsia="仿宋_GB2312" w:cs="Times New Roman"/>
          <w:b/>
          <w:bCs/>
          <w:color w:val="auto"/>
          <w:kern w:val="0"/>
          <w:sz w:val="24"/>
          <w:szCs w:val="24"/>
          <w:lang w:val="en-US" w:eastAsia="zh-CN" w:bidi="ar-SA"/>
        </w:rPr>
        <w:t>万</w:t>
      </w:r>
      <w:r>
        <w:rPr>
          <w:rFonts w:hint="default" w:ascii="Calibri" w:hAnsi="Calibri" w:eastAsia="仿宋_GB2312" w:cs="Times New Roman"/>
          <w:b/>
          <w:bCs/>
          <w:color w:val="auto"/>
          <w:kern w:val="0"/>
          <w:sz w:val="24"/>
          <w:szCs w:val="24"/>
          <w:lang w:val="en-US" w:eastAsia="zh-CN" w:bidi="ar-SA"/>
        </w:rPr>
        <w:t>头</w:t>
      </w:r>
    </w:p>
    <w:tbl>
      <w:tblPr>
        <w:tblStyle w:val="2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77"/>
        <w:gridCol w:w="3221"/>
        <w:gridCol w:w="32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19" w:type="pct"/>
            <w:tcBorders>
              <w:top w:val="single" w:color="auto" w:sz="4" w:space="0"/>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890"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地区</w:t>
            </w:r>
          </w:p>
        </w:tc>
        <w:tc>
          <w:tcPr>
            <w:tcW w:w="1890"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猪当量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219" w:type="pct"/>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8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谷阳镇</w:t>
            </w:r>
          </w:p>
        </w:tc>
        <w:tc>
          <w:tcPr>
            <w:tcW w:w="32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5.35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219" w:type="pct"/>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8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石湖乡</w:t>
            </w:r>
          </w:p>
        </w:tc>
        <w:tc>
          <w:tcPr>
            <w:tcW w:w="32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3.66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219" w:type="pct"/>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8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王庄镇</w:t>
            </w:r>
          </w:p>
        </w:tc>
        <w:tc>
          <w:tcPr>
            <w:tcW w:w="32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3.05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219" w:type="pct"/>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8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濠城镇</w:t>
            </w:r>
          </w:p>
        </w:tc>
        <w:tc>
          <w:tcPr>
            <w:tcW w:w="32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6.87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219" w:type="pct"/>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18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湖沟镇</w:t>
            </w:r>
          </w:p>
        </w:tc>
        <w:tc>
          <w:tcPr>
            <w:tcW w:w="32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10.44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219" w:type="pct"/>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8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连城镇</w:t>
            </w:r>
          </w:p>
        </w:tc>
        <w:tc>
          <w:tcPr>
            <w:tcW w:w="32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17.27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219" w:type="pct"/>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18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刘集镇</w:t>
            </w:r>
          </w:p>
        </w:tc>
        <w:tc>
          <w:tcPr>
            <w:tcW w:w="32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8.41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219" w:type="pct"/>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18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任桥镇</w:t>
            </w:r>
          </w:p>
        </w:tc>
        <w:tc>
          <w:tcPr>
            <w:tcW w:w="32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10.41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219" w:type="pct"/>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18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新马桥镇</w:t>
            </w:r>
          </w:p>
        </w:tc>
        <w:tc>
          <w:tcPr>
            <w:tcW w:w="32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19.12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219" w:type="pct"/>
            <w:tcBorders>
              <w:top w:val="single" w:color="000000" w:sz="4" w:space="0"/>
              <w:left w:val="single" w:color="auto"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890" w:type="pct"/>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杨庙镇</w:t>
            </w:r>
          </w:p>
        </w:tc>
        <w:tc>
          <w:tcPr>
            <w:tcW w:w="3221"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8.08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21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1890"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仲兴镇</w:t>
            </w:r>
          </w:p>
        </w:tc>
        <w:tc>
          <w:tcPr>
            <w:tcW w:w="3221"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12.10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1219"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w:t>
            </w:r>
          </w:p>
        </w:tc>
        <w:tc>
          <w:tcPr>
            <w:tcW w:w="1890"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合计</w:t>
            </w:r>
          </w:p>
        </w:tc>
        <w:tc>
          <w:tcPr>
            <w:tcW w:w="3221"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104.77 </w:t>
            </w:r>
          </w:p>
        </w:tc>
      </w:tr>
    </w:tbl>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jc w:val="center"/>
        <w:textAlignment w:val="auto"/>
        <w:rPr>
          <w:rFonts w:hint="eastAsia" w:ascii="Calibri" w:hAnsi="Calibri" w:eastAsia="仿宋_GB2312" w:cs="Times New Roman"/>
          <w:b w:val="0"/>
          <w:color w:val="auto"/>
          <w:kern w:val="0"/>
          <w:sz w:val="30"/>
          <w:szCs w:val="30"/>
          <w:lang w:val="en-US" w:eastAsia="zh-CN" w:bidi="ar-SA"/>
        </w:rPr>
      </w:pPr>
      <w:r>
        <w:rPr>
          <w:rFonts w:hint="eastAsia" w:ascii="宋体" w:hAnsi="宋体" w:eastAsia="宋体" w:cs="宋体"/>
          <w:b w:val="0"/>
          <w:i w:val="0"/>
          <w:iCs w:val="0"/>
          <w:color w:val="auto"/>
          <w:kern w:val="0"/>
          <w:sz w:val="22"/>
          <w:szCs w:val="22"/>
          <w:u w:val="none"/>
          <w:lang w:val="en-US" w:eastAsia="zh-CN" w:bidi="ar"/>
        </w:rPr>
        <w:t>（谷阳镇原名城关镇、杨庙镇原名杨庙乡、仲兴镇原名仲兴乡）</w:t>
      </w:r>
    </w:p>
    <w:p>
      <w:pPr>
        <w:keepNext/>
        <w:keepLines/>
        <w:pageBreakBefore w:val="0"/>
        <w:widowControl w:val="0"/>
        <w:kinsoku/>
        <w:wordWrap/>
        <w:overflowPunct/>
        <w:topLinePunct w:val="0"/>
        <w:autoSpaceDE/>
        <w:autoSpaceDN/>
        <w:bidi w:val="0"/>
        <w:adjustRightInd/>
        <w:snapToGrid/>
        <w:spacing w:before="0" w:after="0" w:line="360" w:lineRule="auto"/>
        <w:ind w:firstLine="600" w:firstLineChars="200"/>
        <w:textAlignment w:val="auto"/>
        <w:outlineLvl w:val="9"/>
        <w:rPr>
          <w:rFonts w:hint="eastAsia" w:ascii="Calibri" w:hAnsi="Calibri" w:eastAsia="仿宋_GB2312" w:cs="Times New Roman"/>
          <w:b w:val="0"/>
          <w:color w:val="auto"/>
          <w:kern w:val="0"/>
          <w:sz w:val="30"/>
          <w:szCs w:val="30"/>
          <w:lang w:val="en-US" w:eastAsia="zh-CN" w:bidi="ar-SA"/>
        </w:rPr>
      </w:pPr>
      <w:r>
        <w:rPr>
          <w:rFonts w:hint="eastAsia" w:ascii="Calibri" w:hAnsi="Calibri" w:eastAsia="仿宋_GB2312" w:cs="Times New Roman"/>
          <w:b w:val="0"/>
          <w:color w:val="auto"/>
          <w:kern w:val="0"/>
          <w:sz w:val="30"/>
          <w:szCs w:val="30"/>
          <w:lang w:val="en-US" w:eastAsia="zh-CN" w:bidi="ar-SA"/>
        </w:rPr>
        <w:t>由上表可知，固镇县2020年畜禽养殖折算猪当量为104.77万头。</w:t>
      </w:r>
    </w:p>
    <w:p>
      <w:pPr>
        <w:ind w:firstLine="600" w:firstLineChars="200"/>
        <w:rPr>
          <w:rFonts w:hint="eastAsia" w:eastAsia="仿宋_GB2312"/>
          <w:color w:val="auto"/>
          <w:kern w:val="0"/>
          <w:sz w:val="30"/>
          <w:szCs w:val="30"/>
          <w:highlight w:val="none"/>
          <w:lang w:val="en-US" w:eastAsia="zh-CN"/>
        </w:rPr>
      </w:pPr>
      <w:r>
        <w:rPr>
          <w:rFonts w:hint="eastAsia" w:eastAsia="仿宋_GB2312"/>
          <w:color w:val="auto"/>
          <w:kern w:val="0"/>
          <w:sz w:val="30"/>
          <w:szCs w:val="30"/>
          <w:highlight w:val="none"/>
          <w:lang w:val="en-US" w:eastAsia="zh-CN"/>
        </w:rPr>
        <w:t>依据《畜禽养殖业污染物排放标准》，单位存栏动物日平均固粪产量为2.1kg/d•(头/只-1)，单位存栏动物日平均污水产量为3kg/d•(头/只-1)，则各乡镇畜禽粪污产量如下：</w:t>
      </w:r>
    </w:p>
    <w:p>
      <w:pPr>
        <w:ind w:firstLine="482" w:firstLineChars="200"/>
        <w:jc w:val="center"/>
        <w:rPr>
          <w:rFonts w:hint="eastAsia" w:eastAsia="仿宋_GB2312"/>
          <w:color w:val="auto"/>
          <w:kern w:val="0"/>
          <w:sz w:val="30"/>
          <w:szCs w:val="30"/>
          <w:highlight w:val="none"/>
          <w:lang w:val="en-US" w:eastAsia="zh-CN"/>
        </w:rPr>
      </w:pPr>
      <w:r>
        <w:rPr>
          <w:rFonts w:hint="eastAsia" w:ascii="Calibri" w:hAnsi="Calibri" w:eastAsia="仿宋_GB2312" w:cs="Times New Roman"/>
          <w:b/>
          <w:bCs/>
          <w:color w:val="auto"/>
          <w:kern w:val="0"/>
          <w:sz w:val="24"/>
          <w:szCs w:val="24"/>
          <w:lang w:val="en-US" w:eastAsia="zh-CN" w:bidi="ar-SA"/>
        </w:rPr>
        <w:t>表3.2-2  各乡镇畜禽粪污产量表</w:t>
      </w:r>
    </w:p>
    <w:tbl>
      <w:tblPr>
        <w:tblStyle w:val="20"/>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9"/>
        <w:gridCol w:w="1655"/>
        <w:gridCol w:w="1971"/>
        <w:gridCol w:w="1882"/>
        <w:gridCol w:w="21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498" w:type="pct"/>
            <w:tcBorders>
              <w:top w:val="single" w:color="auto" w:sz="4" w:space="0"/>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971"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地区</w:t>
            </w:r>
          </w:p>
        </w:tc>
        <w:tc>
          <w:tcPr>
            <w:tcW w:w="1156"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Times New Roman" w:hAnsi="Times New Roman" w:eastAsia="宋体" w:cs="Times New Roman"/>
                <w:b/>
                <w:bCs/>
                <w:i w:val="0"/>
                <w:iCs w:val="0"/>
                <w:color w:val="auto"/>
                <w:kern w:val="0"/>
                <w:sz w:val="24"/>
                <w:szCs w:val="24"/>
                <w:highlight w:val="none"/>
                <w:u w:val="none"/>
                <w:lang w:val="zh-CN" w:eastAsia="zh-CN" w:bidi="ar"/>
              </w:rPr>
              <w:t>粪便产量(</w:t>
            </w:r>
            <w:r>
              <w:rPr>
                <w:rFonts w:hint="eastAsia" w:ascii="Times New Roman" w:hAnsi="Times New Roman" w:eastAsia="宋体" w:cs="Times New Roman"/>
                <w:b/>
                <w:bCs/>
                <w:i w:val="0"/>
                <w:iCs w:val="0"/>
                <w:color w:val="auto"/>
                <w:kern w:val="0"/>
                <w:sz w:val="24"/>
                <w:szCs w:val="24"/>
                <w:highlight w:val="none"/>
                <w:u w:val="none"/>
                <w:lang w:val="en-US" w:eastAsia="zh-CN" w:bidi="ar"/>
              </w:rPr>
              <w:t>t/d</w:t>
            </w:r>
            <w:r>
              <w:rPr>
                <w:rFonts w:hint="eastAsia" w:ascii="Times New Roman" w:hAnsi="Times New Roman" w:eastAsia="宋体" w:cs="Times New Roman"/>
                <w:b/>
                <w:bCs/>
                <w:i w:val="0"/>
                <w:iCs w:val="0"/>
                <w:color w:val="auto"/>
                <w:kern w:val="0"/>
                <w:sz w:val="24"/>
                <w:szCs w:val="24"/>
                <w:highlight w:val="none"/>
                <w:u w:val="none"/>
                <w:lang w:val="zh-CN" w:eastAsia="zh-CN" w:bidi="ar"/>
              </w:rPr>
              <w:t>)</w:t>
            </w:r>
          </w:p>
        </w:tc>
        <w:tc>
          <w:tcPr>
            <w:tcW w:w="1104"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Times New Roman" w:hAnsi="Times New Roman" w:eastAsia="宋体" w:cs="Times New Roman"/>
                <w:b/>
                <w:bCs/>
                <w:i w:val="0"/>
                <w:iCs w:val="0"/>
                <w:color w:val="auto"/>
                <w:kern w:val="0"/>
                <w:sz w:val="24"/>
                <w:szCs w:val="24"/>
                <w:highlight w:val="none"/>
                <w:u w:val="none"/>
                <w:lang w:val="zh-CN" w:eastAsia="zh-CN" w:bidi="ar"/>
              </w:rPr>
              <w:t>污水产量(</w:t>
            </w:r>
            <w:r>
              <w:rPr>
                <w:rFonts w:hint="eastAsia" w:ascii="Times New Roman" w:hAnsi="Times New Roman" w:eastAsia="宋体" w:cs="Times New Roman"/>
                <w:b/>
                <w:bCs/>
                <w:i w:val="0"/>
                <w:iCs w:val="0"/>
                <w:color w:val="auto"/>
                <w:kern w:val="0"/>
                <w:sz w:val="24"/>
                <w:szCs w:val="24"/>
                <w:highlight w:val="none"/>
                <w:u w:val="none"/>
                <w:lang w:val="en-US" w:eastAsia="zh-CN" w:bidi="ar"/>
              </w:rPr>
              <w:t>t/d</w:t>
            </w:r>
            <w:r>
              <w:rPr>
                <w:rFonts w:hint="eastAsia" w:ascii="Times New Roman" w:hAnsi="Times New Roman" w:eastAsia="宋体" w:cs="Times New Roman"/>
                <w:b/>
                <w:bCs/>
                <w:i w:val="0"/>
                <w:iCs w:val="0"/>
                <w:color w:val="auto"/>
                <w:kern w:val="0"/>
                <w:sz w:val="24"/>
                <w:szCs w:val="24"/>
                <w:highlight w:val="none"/>
                <w:u w:val="none"/>
                <w:lang w:val="zh-CN" w:eastAsia="zh-CN" w:bidi="ar"/>
              </w:rPr>
              <w:t>)</w:t>
            </w:r>
          </w:p>
        </w:tc>
        <w:tc>
          <w:tcPr>
            <w:tcW w:w="1268"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Times New Roman" w:hAnsi="Times New Roman" w:eastAsia="宋体" w:cs="Times New Roman"/>
                <w:b/>
                <w:bCs/>
                <w:i w:val="0"/>
                <w:iCs w:val="0"/>
                <w:color w:val="auto"/>
                <w:kern w:val="0"/>
                <w:sz w:val="24"/>
                <w:szCs w:val="24"/>
                <w:highlight w:val="none"/>
                <w:u w:val="none"/>
                <w:lang w:val="zh-CN" w:eastAsia="zh-CN" w:bidi="ar"/>
              </w:rPr>
              <w:t>粪污总产量(</w:t>
            </w:r>
            <w:r>
              <w:rPr>
                <w:rFonts w:hint="eastAsia" w:ascii="Times New Roman" w:hAnsi="Times New Roman" w:eastAsia="宋体" w:cs="Times New Roman"/>
                <w:b/>
                <w:bCs/>
                <w:i w:val="0"/>
                <w:iCs w:val="0"/>
                <w:color w:val="auto"/>
                <w:kern w:val="0"/>
                <w:sz w:val="24"/>
                <w:szCs w:val="24"/>
                <w:highlight w:val="none"/>
                <w:u w:val="none"/>
                <w:lang w:val="en-US" w:eastAsia="zh-CN" w:bidi="ar"/>
              </w:rPr>
              <w:t>t/d</w:t>
            </w:r>
            <w:r>
              <w:rPr>
                <w:rFonts w:hint="eastAsia" w:ascii="Times New Roman" w:hAnsi="Times New Roman" w:eastAsia="宋体" w:cs="Times New Roman"/>
                <w:b/>
                <w:bCs/>
                <w:i w:val="0"/>
                <w:iCs w:val="0"/>
                <w:color w:val="auto"/>
                <w:kern w:val="0"/>
                <w:sz w:val="24"/>
                <w:szCs w:val="24"/>
                <w:highlight w:val="none"/>
                <w:u w:val="none"/>
                <w:lang w:val="zh-CN"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498" w:type="pct"/>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9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谷阳镇</w:t>
            </w:r>
          </w:p>
        </w:tc>
        <w:tc>
          <w:tcPr>
            <w:tcW w:w="19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112.28 </w:t>
            </w:r>
          </w:p>
        </w:tc>
        <w:tc>
          <w:tcPr>
            <w:tcW w:w="18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160.40 </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272.68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498" w:type="pct"/>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9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石湖乡</w:t>
            </w:r>
          </w:p>
        </w:tc>
        <w:tc>
          <w:tcPr>
            <w:tcW w:w="19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76.94 </w:t>
            </w:r>
          </w:p>
        </w:tc>
        <w:tc>
          <w:tcPr>
            <w:tcW w:w="18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109.92 </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186.86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498" w:type="pct"/>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9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王庄镇</w:t>
            </w:r>
          </w:p>
        </w:tc>
        <w:tc>
          <w:tcPr>
            <w:tcW w:w="19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63.95 </w:t>
            </w:r>
          </w:p>
        </w:tc>
        <w:tc>
          <w:tcPr>
            <w:tcW w:w="18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91.36 </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155.31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498" w:type="pct"/>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97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濠城镇</w:t>
            </w:r>
          </w:p>
        </w:tc>
        <w:tc>
          <w:tcPr>
            <w:tcW w:w="19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144.34 </w:t>
            </w:r>
          </w:p>
        </w:tc>
        <w:tc>
          <w:tcPr>
            <w:tcW w:w="18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206.20 </w:t>
            </w:r>
          </w:p>
        </w:tc>
        <w:tc>
          <w:tcPr>
            <w:tcW w:w="21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350.54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498" w:type="pct"/>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5</w:t>
            </w:r>
          </w:p>
        </w:tc>
        <w:tc>
          <w:tcPr>
            <w:tcW w:w="97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湖沟镇</w:t>
            </w:r>
          </w:p>
        </w:tc>
        <w:tc>
          <w:tcPr>
            <w:tcW w:w="19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219.27 </w:t>
            </w:r>
          </w:p>
        </w:tc>
        <w:tc>
          <w:tcPr>
            <w:tcW w:w="18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313.24 </w:t>
            </w:r>
          </w:p>
        </w:tc>
        <w:tc>
          <w:tcPr>
            <w:tcW w:w="21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532.51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498" w:type="pct"/>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6</w:t>
            </w:r>
          </w:p>
        </w:tc>
        <w:tc>
          <w:tcPr>
            <w:tcW w:w="97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连城镇</w:t>
            </w:r>
          </w:p>
        </w:tc>
        <w:tc>
          <w:tcPr>
            <w:tcW w:w="19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362.74 </w:t>
            </w:r>
          </w:p>
        </w:tc>
        <w:tc>
          <w:tcPr>
            <w:tcW w:w="18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518.20 </w:t>
            </w:r>
          </w:p>
        </w:tc>
        <w:tc>
          <w:tcPr>
            <w:tcW w:w="21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880.94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498" w:type="pct"/>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97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刘集镇</w:t>
            </w:r>
          </w:p>
        </w:tc>
        <w:tc>
          <w:tcPr>
            <w:tcW w:w="19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176.54 </w:t>
            </w:r>
          </w:p>
        </w:tc>
        <w:tc>
          <w:tcPr>
            <w:tcW w:w="18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252.20 </w:t>
            </w:r>
          </w:p>
        </w:tc>
        <w:tc>
          <w:tcPr>
            <w:tcW w:w="21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428.74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498" w:type="pct"/>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8</w:t>
            </w:r>
          </w:p>
        </w:tc>
        <w:tc>
          <w:tcPr>
            <w:tcW w:w="97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任桥镇</w:t>
            </w:r>
          </w:p>
        </w:tc>
        <w:tc>
          <w:tcPr>
            <w:tcW w:w="19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218.68 </w:t>
            </w:r>
          </w:p>
        </w:tc>
        <w:tc>
          <w:tcPr>
            <w:tcW w:w="18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312.40 </w:t>
            </w:r>
          </w:p>
        </w:tc>
        <w:tc>
          <w:tcPr>
            <w:tcW w:w="21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531.08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498" w:type="pct"/>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9</w:t>
            </w:r>
          </w:p>
        </w:tc>
        <w:tc>
          <w:tcPr>
            <w:tcW w:w="97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新马桥镇</w:t>
            </w:r>
          </w:p>
        </w:tc>
        <w:tc>
          <w:tcPr>
            <w:tcW w:w="19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401.60 </w:t>
            </w:r>
          </w:p>
        </w:tc>
        <w:tc>
          <w:tcPr>
            <w:tcW w:w="18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573.72 </w:t>
            </w:r>
          </w:p>
        </w:tc>
        <w:tc>
          <w:tcPr>
            <w:tcW w:w="21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975.32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498" w:type="pct"/>
            <w:tcBorders>
              <w:top w:val="single" w:color="000000" w:sz="4" w:space="0"/>
              <w:left w:val="single" w:color="auto"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971" w:type="pct"/>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杨庙镇</w:t>
            </w:r>
          </w:p>
        </w:tc>
        <w:tc>
          <w:tcPr>
            <w:tcW w:w="1971"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169.68 </w:t>
            </w:r>
          </w:p>
        </w:tc>
        <w:tc>
          <w:tcPr>
            <w:tcW w:w="1882"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242.40 </w:t>
            </w:r>
          </w:p>
        </w:tc>
        <w:tc>
          <w:tcPr>
            <w:tcW w:w="2162"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412.08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498"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11</w:t>
            </w:r>
          </w:p>
        </w:tc>
        <w:tc>
          <w:tcPr>
            <w:tcW w:w="971"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仲兴镇</w:t>
            </w:r>
          </w:p>
        </w:tc>
        <w:tc>
          <w:tcPr>
            <w:tcW w:w="1971"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254.10 </w:t>
            </w:r>
          </w:p>
        </w:tc>
        <w:tc>
          <w:tcPr>
            <w:tcW w:w="188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363.00 </w:t>
            </w:r>
          </w:p>
        </w:tc>
        <w:tc>
          <w:tcPr>
            <w:tcW w:w="216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617.10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498"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w:t>
            </w:r>
          </w:p>
        </w:tc>
        <w:tc>
          <w:tcPr>
            <w:tcW w:w="971"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合计</w:t>
            </w:r>
          </w:p>
        </w:tc>
        <w:tc>
          <w:tcPr>
            <w:tcW w:w="1971"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2200.13 </w:t>
            </w:r>
          </w:p>
        </w:tc>
        <w:tc>
          <w:tcPr>
            <w:tcW w:w="188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3143.04 </w:t>
            </w:r>
          </w:p>
        </w:tc>
        <w:tc>
          <w:tcPr>
            <w:tcW w:w="216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5343.17 </w:t>
            </w:r>
          </w:p>
        </w:tc>
      </w:tr>
    </w:tbl>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jc w:val="center"/>
        <w:textAlignment w:val="auto"/>
        <w:rPr>
          <w:rFonts w:hint="eastAsia" w:ascii="Calibri" w:hAnsi="Calibri" w:eastAsia="仿宋_GB2312" w:cs="Times New Roman"/>
          <w:b w:val="0"/>
          <w:color w:val="auto"/>
          <w:kern w:val="0"/>
          <w:sz w:val="30"/>
          <w:szCs w:val="30"/>
          <w:lang w:val="en-US" w:eastAsia="zh-CN" w:bidi="ar-SA"/>
        </w:rPr>
      </w:pPr>
      <w:r>
        <w:rPr>
          <w:rFonts w:hint="eastAsia" w:ascii="宋体" w:hAnsi="宋体" w:eastAsia="宋体" w:cs="宋体"/>
          <w:b w:val="0"/>
          <w:i w:val="0"/>
          <w:iCs w:val="0"/>
          <w:color w:val="auto"/>
          <w:kern w:val="0"/>
          <w:sz w:val="22"/>
          <w:szCs w:val="22"/>
          <w:u w:val="none"/>
          <w:lang w:val="en-US" w:eastAsia="zh-CN" w:bidi="ar"/>
        </w:rPr>
        <w:t>（谷阳镇原名城关镇、杨庙镇原名杨庙乡、仲兴镇原名仲兴乡）</w:t>
      </w:r>
    </w:p>
    <w:p>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由上表可知，</w:t>
      </w:r>
      <w:r>
        <w:rPr>
          <w:rFonts w:hint="eastAsia" w:eastAsia="仿宋_GB2312"/>
          <w:color w:val="auto"/>
          <w:kern w:val="0"/>
          <w:sz w:val="30"/>
          <w:szCs w:val="30"/>
          <w:lang w:val="zh-CN" w:eastAsia="zh-CN"/>
        </w:rPr>
        <w:t>202</w:t>
      </w:r>
      <w:r>
        <w:rPr>
          <w:rFonts w:hint="eastAsia" w:eastAsia="仿宋_GB2312"/>
          <w:color w:val="auto"/>
          <w:kern w:val="0"/>
          <w:sz w:val="30"/>
          <w:szCs w:val="30"/>
          <w:lang w:val="en-US" w:eastAsia="zh-CN"/>
        </w:rPr>
        <w:t>0</w:t>
      </w:r>
      <w:r>
        <w:rPr>
          <w:rFonts w:hint="eastAsia" w:eastAsia="仿宋_GB2312"/>
          <w:color w:val="auto"/>
          <w:kern w:val="0"/>
          <w:sz w:val="30"/>
          <w:szCs w:val="30"/>
          <w:lang w:val="zh-CN" w:eastAsia="zh-CN"/>
        </w:rPr>
        <w:t>年</w:t>
      </w:r>
      <w:r>
        <w:rPr>
          <w:rFonts w:hint="eastAsia" w:eastAsia="仿宋_GB2312"/>
          <w:color w:val="auto"/>
          <w:kern w:val="0"/>
          <w:sz w:val="30"/>
          <w:szCs w:val="30"/>
          <w:lang w:val="en-US" w:eastAsia="zh-CN"/>
        </w:rPr>
        <w:t>，固镇</w:t>
      </w:r>
      <w:r>
        <w:rPr>
          <w:rFonts w:hint="eastAsia" w:eastAsia="仿宋_GB2312"/>
          <w:color w:val="auto"/>
          <w:kern w:val="0"/>
          <w:sz w:val="30"/>
          <w:szCs w:val="30"/>
          <w:lang w:val="zh-CN" w:eastAsia="zh-CN"/>
        </w:rPr>
        <w:t>县养殖场畜禽粪污产生量为</w:t>
      </w:r>
      <w:r>
        <w:rPr>
          <w:rFonts w:hint="eastAsia" w:eastAsia="仿宋_GB2312"/>
          <w:color w:val="auto"/>
          <w:kern w:val="0"/>
          <w:sz w:val="30"/>
          <w:szCs w:val="30"/>
          <w:lang w:val="en-US" w:eastAsia="zh-CN"/>
        </w:rPr>
        <w:t>5343.17t/d，即195万吨/年，资源化利用量达到89.85%</w:t>
      </w:r>
      <w:r>
        <w:rPr>
          <w:rFonts w:hint="eastAsia" w:eastAsia="仿宋_GB2312"/>
          <w:color w:val="auto"/>
          <w:kern w:val="0"/>
          <w:sz w:val="30"/>
          <w:szCs w:val="30"/>
          <w:lang w:val="zh-CN" w:eastAsia="zh-CN"/>
        </w:rPr>
        <w:t>。</w:t>
      </w:r>
      <w:r>
        <w:rPr>
          <w:rFonts w:hint="eastAsia" w:eastAsia="仿宋_GB2312"/>
          <w:color w:val="auto"/>
          <w:kern w:val="0"/>
          <w:sz w:val="30"/>
          <w:szCs w:val="30"/>
          <w:lang w:val="en-US" w:eastAsia="zh-CN"/>
        </w:rPr>
        <w:t>固镇县畜禽养殖污染集中区域主要在连城镇、新马桥镇、仲兴镇、湖沟镇和任桥镇，粪污总产量均超过500t/d。</w:t>
      </w:r>
    </w:p>
    <w:p>
      <w:pPr>
        <w:pStyle w:val="5"/>
        <w:rPr>
          <w:rFonts w:hint="eastAsia"/>
          <w:color w:val="auto"/>
          <w:lang w:val="zh-CN" w:eastAsia="zh-CN"/>
        </w:rPr>
      </w:pPr>
      <w:r>
        <w:rPr>
          <w:rFonts w:hint="eastAsia"/>
          <w:color w:val="auto"/>
          <w:lang w:val="en-US" w:eastAsia="zh-CN"/>
        </w:rPr>
        <w:t>3.3</w:t>
      </w:r>
      <w:r>
        <w:rPr>
          <w:rFonts w:hint="eastAsia"/>
          <w:color w:val="auto"/>
          <w:lang w:val="zh-CN" w:eastAsia="zh-CN"/>
        </w:rPr>
        <w:t>畜禽养殖污染物处理方式和现状</w:t>
      </w:r>
      <w:bookmarkEnd w:id="61"/>
      <w:bookmarkEnd w:id="62"/>
      <w:bookmarkEnd w:id="63"/>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color w:val="auto"/>
          <w:lang w:val="zh-CN" w:eastAsia="zh-CN"/>
        </w:rPr>
      </w:pPr>
      <w:bookmarkStart w:id="64" w:name="_Toc9883"/>
      <w:r>
        <w:rPr>
          <w:rFonts w:hint="eastAsia"/>
          <w:color w:val="auto"/>
          <w:lang w:val="en-US"/>
        </w:rPr>
        <w:t>3.</w:t>
      </w:r>
      <w:r>
        <w:rPr>
          <w:rFonts w:hint="eastAsia"/>
          <w:color w:val="auto"/>
          <w:lang w:val="en-US" w:eastAsia="zh-CN"/>
        </w:rPr>
        <w:t>3.1</w:t>
      </w:r>
      <w:r>
        <w:rPr>
          <w:rFonts w:hint="eastAsia"/>
          <w:color w:val="auto"/>
          <w:lang w:val="zh-CN" w:eastAsia="zh-CN"/>
        </w:rPr>
        <w:t>县域内规模养殖场粪污处理设施配套及运行情况</w:t>
      </w:r>
      <w:bookmarkEnd w:id="64"/>
    </w:p>
    <w:p>
      <w:pPr>
        <w:keepNext w:val="0"/>
        <w:keepLines w:val="0"/>
        <w:pageBreakBefore w:val="0"/>
        <w:widowControl/>
        <w:numPr>
          <w:ilvl w:val="0"/>
          <w:numId w:val="6"/>
        </w:numPr>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zh-CN" w:eastAsia="zh-CN"/>
        </w:rPr>
      </w:pPr>
      <w:bookmarkStart w:id="65" w:name="_Toc71658376"/>
      <w:r>
        <w:rPr>
          <w:rFonts w:hint="eastAsia" w:eastAsia="仿宋_GB2312"/>
          <w:color w:val="auto"/>
          <w:kern w:val="0"/>
          <w:sz w:val="30"/>
          <w:szCs w:val="30"/>
          <w:lang w:val="zh-CN" w:eastAsia="zh-CN"/>
        </w:rPr>
        <w:t>规模养殖场粪污处理设施配套</w:t>
      </w:r>
    </w:p>
    <w:bookmarkEnd w:id="65"/>
    <w:p>
      <w:pPr>
        <w:widowControl/>
        <w:shd w:val="clear" w:color="auto" w:fill="FFFFFF"/>
        <w:adjustRightInd w:val="0"/>
        <w:snapToGrid w:val="0"/>
        <w:spacing w:line="360" w:lineRule="auto"/>
        <w:ind w:firstLine="600" w:firstLineChars="200"/>
        <w:rPr>
          <w:rFonts w:eastAsia="仿宋_GB2312"/>
          <w:color w:val="auto"/>
          <w:kern w:val="0"/>
          <w:sz w:val="30"/>
          <w:szCs w:val="30"/>
        </w:rPr>
      </w:pPr>
      <w:r>
        <w:rPr>
          <w:rFonts w:hint="eastAsia" w:eastAsia="仿宋_GB2312"/>
          <w:color w:val="auto"/>
          <w:kern w:val="0"/>
          <w:sz w:val="30"/>
          <w:szCs w:val="30"/>
          <w:lang w:val="zh-CN" w:eastAsia="zh-CN"/>
        </w:rPr>
        <w:t>202</w:t>
      </w:r>
      <w:r>
        <w:rPr>
          <w:rFonts w:hint="eastAsia" w:eastAsia="仿宋_GB2312"/>
          <w:color w:val="auto"/>
          <w:kern w:val="0"/>
          <w:sz w:val="30"/>
          <w:szCs w:val="30"/>
          <w:lang w:val="en-US" w:eastAsia="zh-CN"/>
        </w:rPr>
        <w:t>0</w:t>
      </w:r>
      <w:r>
        <w:rPr>
          <w:rFonts w:hint="eastAsia" w:eastAsia="仿宋_GB2312"/>
          <w:color w:val="auto"/>
          <w:kern w:val="0"/>
          <w:sz w:val="30"/>
          <w:szCs w:val="30"/>
          <w:lang w:val="zh-CN" w:eastAsia="zh-CN"/>
        </w:rPr>
        <w:t>年</w:t>
      </w:r>
      <w:r>
        <w:rPr>
          <w:rFonts w:hint="eastAsia" w:eastAsia="仿宋_GB2312"/>
          <w:color w:val="auto"/>
          <w:kern w:val="0"/>
          <w:sz w:val="30"/>
          <w:szCs w:val="30"/>
          <w:lang w:val="en-US" w:eastAsia="zh-CN"/>
        </w:rPr>
        <w:t>，</w:t>
      </w:r>
      <w:r>
        <w:rPr>
          <w:rFonts w:hint="eastAsia" w:eastAsia="仿宋_GB2312"/>
          <w:color w:val="auto"/>
          <w:kern w:val="0"/>
          <w:sz w:val="30"/>
          <w:szCs w:val="30"/>
          <w:lang w:val="zh-CN" w:eastAsia="zh-CN"/>
        </w:rPr>
        <w:t>全县共有畜禽养殖场</w:t>
      </w:r>
      <w:r>
        <w:rPr>
          <w:rFonts w:hint="eastAsia" w:eastAsia="仿宋_GB2312"/>
          <w:color w:val="auto"/>
          <w:kern w:val="0"/>
          <w:sz w:val="30"/>
          <w:szCs w:val="30"/>
          <w:lang w:val="en-US" w:eastAsia="zh-CN"/>
        </w:rPr>
        <w:t>743</w:t>
      </w:r>
      <w:r>
        <w:rPr>
          <w:rFonts w:hint="eastAsia" w:eastAsia="仿宋_GB2312"/>
          <w:color w:val="auto"/>
          <w:kern w:val="0"/>
          <w:sz w:val="30"/>
          <w:szCs w:val="30"/>
          <w:lang w:val="zh-CN" w:eastAsia="zh-CN"/>
        </w:rPr>
        <w:t>个，粪污处理设施设备配套率已达到</w:t>
      </w:r>
      <w:r>
        <w:rPr>
          <w:rFonts w:hint="eastAsia" w:eastAsia="仿宋_GB2312"/>
          <w:color w:val="auto"/>
          <w:kern w:val="0"/>
          <w:sz w:val="30"/>
          <w:szCs w:val="30"/>
          <w:lang w:val="en-US" w:eastAsia="zh-CN"/>
        </w:rPr>
        <w:t>90</w:t>
      </w:r>
      <w:r>
        <w:rPr>
          <w:rFonts w:hint="eastAsia" w:eastAsia="仿宋_GB2312"/>
          <w:color w:val="auto"/>
          <w:kern w:val="0"/>
          <w:sz w:val="30"/>
          <w:szCs w:val="30"/>
          <w:lang w:val="zh-CN" w:eastAsia="zh-CN"/>
        </w:rPr>
        <w:t>%，其中规模化养殖场约394个，规模养殖场粪污处理设施装备配套率</w:t>
      </w:r>
      <w:r>
        <w:rPr>
          <w:rFonts w:hint="eastAsia" w:eastAsia="仿宋_GB2312"/>
          <w:color w:val="auto"/>
          <w:kern w:val="0"/>
          <w:sz w:val="30"/>
          <w:szCs w:val="30"/>
          <w:lang w:val="en-US" w:eastAsia="zh-CN"/>
        </w:rPr>
        <w:t>达到</w:t>
      </w:r>
      <w:r>
        <w:rPr>
          <w:rFonts w:hint="eastAsia" w:eastAsia="仿宋_GB2312"/>
          <w:color w:val="auto"/>
          <w:kern w:val="0"/>
          <w:sz w:val="30"/>
          <w:szCs w:val="30"/>
          <w:lang w:val="zh-CN" w:eastAsia="zh-CN"/>
        </w:rPr>
        <w:t>100%；</w:t>
      </w:r>
      <w:r>
        <w:rPr>
          <w:rFonts w:hint="eastAsia" w:eastAsia="仿宋_GB2312"/>
          <w:color w:val="auto"/>
          <w:kern w:val="0"/>
          <w:sz w:val="30"/>
          <w:szCs w:val="30"/>
        </w:rPr>
        <w:t>全县大型规模养殖企业</w:t>
      </w:r>
      <w:r>
        <w:rPr>
          <w:rFonts w:hint="eastAsia" w:eastAsia="仿宋_GB2312"/>
          <w:color w:val="auto"/>
          <w:kern w:val="0"/>
          <w:sz w:val="30"/>
          <w:szCs w:val="30"/>
          <w:lang w:val="en-US" w:eastAsia="zh-CN"/>
        </w:rPr>
        <w:t>78</w:t>
      </w:r>
      <w:r>
        <w:rPr>
          <w:rFonts w:hint="eastAsia" w:eastAsia="仿宋_GB2312"/>
          <w:color w:val="auto"/>
          <w:kern w:val="0"/>
          <w:sz w:val="30"/>
          <w:szCs w:val="30"/>
        </w:rPr>
        <w:t>个，</w:t>
      </w:r>
      <w:r>
        <w:rPr>
          <w:rFonts w:eastAsia="仿宋_GB2312"/>
          <w:color w:val="auto"/>
          <w:kern w:val="0"/>
          <w:sz w:val="30"/>
          <w:szCs w:val="30"/>
        </w:rPr>
        <w:t>粪污处理设施设备运行的有</w:t>
      </w:r>
      <w:r>
        <w:rPr>
          <w:rFonts w:hint="eastAsia" w:eastAsia="仿宋_GB2312"/>
          <w:color w:val="auto"/>
          <w:kern w:val="0"/>
          <w:sz w:val="30"/>
          <w:szCs w:val="30"/>
          <w:lang w:val="en-US" w:eastAsia="zh-CN"/>
        </w:rPr>
        <w:t>78</w:t>
      </w:r>
      <w:r>
        <w:rPr>
          <w:rFonts w:eastAsia="仿宋_GB2312"/>
          <w:color w:val="auto"/>
          <w:kern w:val="0"/>
          <w:sz w:val="30"/>
          <w:szCs w:val="30"/>
        </w:rPr>
        <w:t>个，设施设备配套率达到</w:t>
      </w:r>
      <w:r>
        <w:rPr>
          <w:rFonts w:hint="eastAsia" w:eastAsia="仿宋_GB2312"/>
          <w:color w:val="auto"/>
          <w:kern w:val="0"/>
          <w:sz w:val="30"/>
          <w:szCs w:val="30"/>
          <w:lang w:val="en-US" w:eastAsia="zh-CN"/>
        </w:rPr>
        <w:t>100</w:t>
      </w:r>
      <w:r>
        <w:rPr>
          <w:rFonts w:eastAsia="仿宋_GB2312"/>
          <w:color w:val="auto"/>
          <w:kern w:val="0"/>
          <w:sz w:val="30"/>
          <w:szCs w:val="30"/>
        </w:rPr>
        <w:t>%。</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default" w:eastAsia="仿宋_GB2312"/>
          <w:color w:val="auto"/>
          <w:kern w:val="0"/>
          <w:sz w:val="30"/>
          <w:szCs w:val="30"/>
          <w:lang w:val="en-US" w:eastAsia="zh-CN"/>
        </w:rPr>
      </w:pPr>
      <w:r>
        <w:rPr>
          <w:rFonts w:hint="eastAsia" w:eastAsia="仿宋_GB2312"/>
          <w:color w:val="auto"/>
          <w:kern w:val="0"/>
          <w:sz w:val="30"/>
          <w:szCs w:val="30"/>
          <w:lang w:val="zh-CN" w:eastAsia="zh-CN"/>
        </w:rPr>
        <w:t>生猪养殖场和肉牛养殖场采用堆肥棚和厌氧发酵池，肉羊养殖场和肉鸡养殖场均采用堆肥棚；</w:t>
      </w:r>
      <w:r>
        <w:rPr>
          <w:rFonts w:hint="eastAsia" w:eastAsia="仿宋_GB2312"/>
          <w:color w:val="auto"/>
          <w:kern w:val="0"/>
          <w:sz w:val="30"/>
          <w:szCs w:val="30"/>
          <w:lang w:val="en-US" w:eastAsia="zh-CN"/>
        </w:rPr>
        <w:t>2020年</w:t>
      </w:r>
      <w:r>
        <w:rPr>
          <w:rFonts w:hint="eastAsia" w:eastAsia="仿宋_GB2312"/>
          <w:color w:val="auto"/>
          <w:kern w:val="0"/>
          <w:sz w:val="30"/>
          <w:szCs w:val="30"/>
          <w:lang w:val="zh-CN" w:eastAsia="zh-CN"/>
        </w:rPr>
        <w:t>全县粪污资源化利用率达到</w:t>
      </w:r>
      <w:r>
        <w:rPr>
          <w:rFonts w:hint="eastAsia" w:eastAsia="仿宋_GB2312"/>
          <w:color w:val="auto"/>
          <w:kern w:val="0"/>
          <w:sz w:val="30"/>
          <w:szCs w:val="30"/>
          <w:lang w:val="en-US" w:eastAsia="zh-CN"/>
        </w:rPr>
        <w:t>89.85%。</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2、运行情况</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en-US" w:eastAsia="zh-CN"/>
        </w:rPr>
      </w:pPr>
      <w:r>
        <w:rPr>
          <w:rFonts w:hint="eastAsia" w:eastAsia="仿宋_GB2312"/>
          <w:color w:val="auto"/>
          <w:kern w:val="0"/>
          <w:sz w:val="30"/>
          <w:szCs w:val="30"/>
          <w:lang w:val="zh-CN" w:eastAsia="zh-CN"/>
        </w:rPr>
        <w:t>为打通粪污从养殖场到农田的利用渠道，固镇县大力推广立体种养、种养循环、林牧结合的循环农业发展技术，依托种养大户、家庭农场、农民合作社、龙头企业和收储中心等经营主体，发展“田―肥（沼）―畜”种养结合循环模式。目前，全县所有畜禽规模养殖场均配套建设了相应的粪污收集处理设施，确定了利用模式和消纳路径，规范建立粪污资源化利用台账，配套消纳农田7万余亩</w:t>
      </w:r>
      <w:r>
        <w:rPr>
          <w:rFonts w:hint="eastAsia" w:eastAsia="仿宋_GB2312"/>
          <w:color w:val="auto"/>
          <w:kern w:val="0"/>
          <w:sz w:val="30"/>
          <w:szCs w:val="30"/>
          <w:lang w:val="en-US" w:eastAsia="zh-CN"/>
        </w:rPr>
        <w:t>。</w:t>
      </w:r>
      <w:bookmarkStart w:id="66" w:name="_bookmark19"/>
      <w:bookmarkEnd w:id="66"/>
      <w:bookmarkStart w:id="67" w:name="_bookmark19"/>
      <w:bookmarkEnd w:id="67"/>
      <w:bookmarkStart w:id="68" w:name="_Toc602"/>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我县在2019年成功申报了畜禽粪污资源化利用整县推进项目，从2020年5月份开始，到2021年10月份结束，利用两年时间，按照“源头减量、过程控制、末端利用”的原则，总投资9325万元，拨付奖补资金4500万元（其中，中央资金3500万元，县级配套1000万元），完成了228个规模养殖场粪污处理设施升级改造，并支持建设了2个第三方畜禽粪污收集处理中心和1个肥水一体化示范场，共升级改造雨污分流管线、饮污分流管网、肥水输送管网共计15.2千米，堆肥发酵槽垛7.48万平方米，污水密闭发酵、存储池等5.84万立方米，改装节水型饮水器14080个，购置自动集粪设备、粪水运输车、铲粪车、翻抛机等收集处理利用机械设备2371台（辆、套）。</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color w:val="auto"/>
          <w:lang w:val="en-US" w:eastAsia="zh-CN"/>
        </w:rPr>
      </w:pPr>
      <w:r>
        <w:rPr>
          <w:rFonts w:hint="eastAsia"/>
          <w:color w:val="auto"/>
          <w:lang w:val="en-US" w:eastAsia="zh-CN"/>
        </w:rPr>
        <w:t>3.3.2存在的问题</w:t>
      </w:r>
      <w:bookmarkEnd w:id="68"/>
    </w:p>
    <w:p>
      <w:pPr>
        <w:widowControl/>
        <w:shd w:val="clear" w:color="auto" w:fill="FFFFFF"/>
        <w:adjustRightInd w:val="0"/>
        <w:snapToGrid w:val="0"/>
        <w:spacing w:line="360" w:lineRule="auto"/>
        <w:ind w:firstLine="600" w:firstLineChars="200"/>
        <w:rPr>
          <w:rFonts w:hint="eastAsia" w:eastAsia="仿宋_GB2312"/>
          <w:color w:val="auto"/>
          <w:kern w:val="0"/>
          <w:sz w:val="30"/>
          <w:szCs w:val="30"/>
        </w:rPr>
      </w:pPr>
      <w:r>
        <w:rPr>
          <w:rFonts w:hint="eastAsia" w:eastAsia="仿宋_GB2312"/>
          <w:color w:val="auto"/>
          <w:kern w:val="0"/>
          <w:sz w:val="30"/>
          <w:szCs w:val="30"/>
        </w:rPr>
        <w:t>（1）固镇县牛、羊标准化规模养殖占比较低</w:t>
      </w:r>
      <w:r>
        <w:rPr>
          <w:rFonts w:hint="eastAsia" w:eastAsia="仿宋_GB2312"/>
          <w:color w:val="auto"/>
          <w:kern w:val="0"/>
          <w:sz w:val="30"/>
          <w:szCs w:val="30"/>
          <w:lang w:eastAsia="zh-CN"/>
        </w:rPr>
        <w:t>，</w:t>
      </w:r>
      <w:r>
        <w:rPr>
          <w:rFonts w:hint="eastAsia" w:eastAsia="仿宋_GB2312"/>
          <w:color w:val="auto"/>
          <w:kern w:val="0"/>
          <w:sz w:val="30"/>
          <w:szCs w:val="30"/>
          <w:lang w:val="en-US" w:eastAsia="zh-CN"/>
        </w:rPr>
        <w:t>其中</w:t>
      </w:r>
      <w:r>
        <w:rPr>
          <w:rFonts w:hint="eastAsia" w:eastAsia="仿宋_GB2312"/>
          <w:color w:val="auto"/>
          <w:kern w:val="0"/>
          <w:sz w:val="30"/>
          <w:szCs w:val="30"/>
        </w:rPr>
        <w:t>牛</w:t>
      </w:r>
      <w:r>
        <w:rPr>
          <w:rFonts w:hint="eastAsia" w:eastAsia="仿宋_GB2312"/>
          <w:color w:val="auto"/>
          <w:kern w:val="0"/>
          <w:sz w:val="30"/>
          <w:szCs w:val="30"/>
          <w:lang w:val="en-US" w:eastAsia="zh-CN"/>
        </w:rPr>
        <w:t>标准化规模养殖占比为50.8%，</w:t>
      </w:r>
      <w:r>
        <w:rPr>
          <w:rFonts w:hint="eastAsia" w:eastAsia="仿宋_GB2312"/>
          <w:color w:val="auto"/>
          <w:kern w:val="0"/>
          <w:sz w:val="30"/>
          <w:szCs w:val="30"/>
        </w:rPr>
        <w:t>羊标准化规模养殖占比</w:t>
      </w:r>
      <w:r>
        <w:rPr>
          <w:rFonts w:hint="eastAsia" w:eastAsia="仿宋_GB2312"/>
          <w:color w:val="auto"/>
          <w:kern w:val="0"/>
          <w:sz w:val="30"/>
          <w:szCs w:val="30"/>
          <w:lang w:val="en-US" w:eastAsia="zh-CN"/>
        </w:rPr>
        <w:t>为59.8%</w:t>
      </w:r>
      <w:r>
        <w:rPr>
          <w:rFonts w:hint="eastAsia" w:eastAsia="仿宋_GB2312"/>
          <w:color w:val="auto"/>
          <w:kern w:val="0"/>
          <w:sz w:val="30"/>
          <w:szCs w:val="30"/>
        </w:rPr>
        <w:t>。</w:t>
      </w:r>
    </w:p>
    <w:p>
      <w:pPr>
        <w:widowControl/>
        <w:shd w:val="clear" w:color="auto" w:fill="FFFFFF"/>
        <w:adjustRightInd w:val="0"/>
        <w:snapToGrid w:val="0"/>
        <w:spacing w:line="360" w:lineRule="auto"/>
        <w:ind w:firstLine="600" w:firstLineChars="200"/>
        <w:rPr>
          <w:rFonts w:hint="eastAsia" w:eastAsia="仿宋_GB2312"/>
          <w:color w:val="auto"/>
          <w:kern w:val="0"/>
          <w:sz w:val="30"/>
          <w:szCs w:val="30"/>
        </w:rPr>
      </w:pPr>
      <w:r>
        <w:rPr>
          <w:rFonts w:hint="eastAsia" w:eastAsia="仿宋_GB2312"/>
          <w:color w:val="auto"/>
          <w:kern w:val="0"/>
          <w:sz w:val="30"/>
          <w:szCs w:val="30"/>
        </w:rPr>
        <w:t>（</w:t>
      </w:r>
      <w:r>
        <w:rPr>
          <w:rFonts w:hint="eastAsia" w:eastAsia="仿宋_GB2312"/>
          <w:color w:val="auto"/>
          <w:kern w:val="0"/>
          <w:sz w:val="30"/>
          <w:szCs w:val="30"/>
          <w:lang w:val="en-US" w:eastAsia="zh-CN"/>
        </w:rPr>
        <w:t>2</w:t>
      </w:r>
      <w:r>
        <w:rPr>
          <w:rFonts w:hint="eastAsia" w:eastAsia="仿宋_GB2312"/>
          <w:color w:val="auto"/>
          <w:kern w:val="0"/>
          <w:sz w:val="30"/>
          <w:szCs w:val="30"/>
        </w:rPr>
        <w:t>）个别</w:t>
      </w:r>
      <w:r>
        <w:rPr>
          <w:rFonts w:hint="eastAsia" w:eastAsia="仿宋_GB2312"/>
          <w:color w:val="auto"/>
          <w:kern w:val="0"/>
          <w:sz w:val="30"/>
          <w:szCs w:val="30"/>
          <w:lang w:eastAsia="zh-CN"/>
        </w:rPr>
        <w:t>小型</w:t>
      </w:r>
      <w:r>
        <w:rPr>
          <w:rFonts w:hint="eastAsia" w:eastAsia="仿宋_GB2312"/>
          <w:color w:val="auto"/>
          <w:kern w:val="0"/>
          <w:sz w:val="30"/>
          <w:szCs w:val="30"/>
        </w:rPr>
        <w:t>养殖场认识不够，卫生条件较差，</w:t>
      </w:r>
      <w:r>
        <w:rPr>
          <w:rFonts w:hint="eastAsia" w:eastAsia="仿宋_GB2312"/>
          <w:color w:val="auto"/>
          <w:kern w:val="0"/>
          <w:sz w:val="30"/>
          <w:szCs w:val="30"/>
          <w:lang w:eastAsia="zh-CN"/>
        </w:rPr>
        <w:t>且未上报直连直报系统，</w:t>
      </w:r>
      <w:r>
        <w:rPr>
          <w:rFonts w:hint="eastAsia" w:eastAsia="仿宋_GB2312"/>
          <w:color w:val="auto"/>
          <w:kern w:val="0"/>
          <w:sz w:val="30"/>
          <w:szCs w:val="30"/>
        </w:rPr>
        <w:t>改造的实施设备运用没有进入常态化，节水养殖还要进一步推广。</w:t>
      </w:r>
    </w:p>
    <w:p>
      <w:pPr>
        <w:widowControl/>
        <w:shd w:val="clear" w:color="auto" w:fill="FFFFFF"/>
        <w:adjustRightInd w:val="0"/>
        <w:snapToGrid w:val="0"/>
        <w:spacing w:line="360" w:lineRule="auto"/>
        <w:ind w:firstLine="600" w:firstLineChars="200"/>
        <w:rPr>
          <w:rFonts w:hint="eastAsia" w:eastAsia="仿宋_GB2312"/>
          <w:color w:val="auto"/>
          <w:kern w:val="0"/>
          <w:sz w:val="30"/>
          <w:szCs w:val="30"/>
          <w:lang w:eastAsia="zh-CN"/>
        </w:rPr>
      </w:pPr>
      <w:r>
        <w:rPr>
          <w:rFonts w:hint="eastAsia" w:eastAsia="仿宋_GB2312"/>
          <w:color w:val="auto"/>
          <w:kern w:val="0"/>
          <w:sz w:val="30"/>
          <w:szCs w:val="30"/>
          <w:lang w:eastAsia="zh-CN"/>
        </w:rPr>
        <w:t>（</w:t>
      </w:r>
      <w:r>
        <w:rPr>
          <w:rFonts w:hint="eastAsia" w:eastAsia="仿宋_GB2312"/>
          <w:color w:val="auto"/>
          <w:kern w:val="0"/>
          <w:sz w:val="30"/>
          <w:szCs w:val="30"/>
          <w:lang w:val="en-US" w:eastAsia="zh-CN"/>
        </w:rPr>
        <w:t>3）</w:t>
      </w:r>
      <w:r>
        <w:rPr>
          <w:rFonts w:hint="eastAsia" w:eastAsia="仿宋_GB2312"/>
          <w:color w:val="auto"/>
          <w:kern w:val="0"/>
          <w:sz w:val="30"/>
          <w:szCs w:val="30"/>
        </w:rPr>
        <w:t>资源化利用附加值不高。每年产生的畜禽粪污大多经发酵处理后直接还田利用，没有进行深入的商业开发和综合利用，社会效益和经济效益较低</w:t>
      </w:r>
      <w:r>
        <w:rPr>
          <w:rFonts w:hint="eastAsia" w:eastAsia="仿宋_GB2312"/>
          <w:color w:val="auto"/>
          <w:kern w:val="0"/>
          <w:sz w:val="30"/>
          <w:szCs w:val="30"/>
          <w:lang w:eastAsia="zh-CN"/>
        </w:rPr>
        <w:t>。</w:t>
      </w:r>
    </w:p>
    <w:p>
      <w:pPr>
        <w:widowControl/>
        <w:shd w:val="clear" w:color="auto" w:fill="FFFFFF"/>
        <w:adjustRightInd w:val="0"/>
        <w:snapToGrid w:val="0"/>
        <w:spacing w:line="360" w:lineRule="auto"/>
        <w:ind w:firstLine="600" w:firstLineChars="200"/>
        <w:rPr>
          <w:rFonts w:hint="default"/>
          <w:color w:val="auto"/>
          <w:lang w:val="en-US" w:eastAsia="zh-CN"/>
        </w:rPr>
      </w:pPr>
      <w:r>
        <w:rPr>
          <w:rFonts w:hint="eastAsia" w:eastAsia="仿宋_GB2312"/>
          <w:color w:val="auto"/>
          <w:kern w:val="0"/>
          <w:sz w:val="30"/>
          <w:szCs w:val="30"/>
          <w:lang w:eastAsia="zh-CN"/>
        </w:rPr>
        <w:t>（</w:t>
      </w:r>
      <w:r>
        <w:rPr>
          <w:rFonts w:hint="eastAsia" w:eastAsia="仿宋_GB2312"/>
          <w:color w:val="auto"/>
          <w:kern w:val="0"/>
          <w:sz w:val="30"/>
          <w:szCs w:val="30"/>
          <w:lang w:val="en-US" w:eastAsia="zh-CN"/>
        </w:rPr>
        <w:t>4）现状</w:t>
      </w:r>
      <w:r>
        <w:rPr>
          <w:rFonts w:hint="default" w:eastAsia="仿宋_GB2312"/>
          <w:color w:val="auto"/>
          <w:kern w:val="0"/>
          <w:sz w:val="30"/>
          <w:szCs w:val="30"/>
          <w:lang w:val="en-US" w:eastAsia="zh-CN"/>
        </w:rPr>
        <w:t>浍河</w:t>
      </w:r>
      <w:r>
        <w:rPr>
          <w:rFonts w:hint="eastAsia" w:eastAsia="仿宋_GB2312"/>
          <w:color w:val="auto"/>
          <w:kern w:val="0"/>
          <w:sz w:val="30"/>
          <w:szCs w:val="30"/>
          <w:lang w:val="en-US" w:eastAsia="zh-CN"/>
        </w:rPr>
        <w:t>、</w:t>
      </w:r>
      <w:r>
        <w:rPr>
          <w:rFonts w:hint="default" w:eastAsia="仿宋_GB2312"/>
          <w:color w:val="auto"/>
          <w:kern w:val="0"/>
          <w:sz w:val="30"/>
          <w:szCs w:val="30"/>
          <w:lang w:val="en-US" w:eastAsia="zh-CN"/>
        </w:rPr>
        <w:t>怀洪新河</w:t>
      </w:r>
      <w:r>
        <w:rPr>
          <w:rFonts w:hint="eastAsia" w:eastAsia="仿宋_GB2312"/>
          <w:color w:val="auto"/>
          <w:kern w:val="0"/>
          <w:sz w:val="30"/>
          <w:szCs w:val="30"/>
          <w:lang w:val="en-US" w:eastAsia="zh-CN"/>
        </w:rPr>
        <w:t>河边存在一些畜禽养殖散户，存在粪污直排自然水体的现象。</w:t>
      </w:r>
    </w:p>
    <w:p>
      <w:pPr>
        <w:rPr>
          <w:rFonts w:hint="eastAsia" w:asciiTheme="minorHAnsi" w:hAnsiTheme="minorHAnsi" w:eastAsiaTheme="minorEastAsia" w:cstheme="minorBidi"/>
          <w:b/>
          <w:color w:val="auto"/>
          <w:kern w:val="2"/>
          <w:sz w:val="32"/>
          <w:szCs w:val="24"/>
          <w:lang w:val="en-US" w:eastAsia="zh-CN" w:bidi="ar-SA"/>
        </w:rPr>
      </w:pPr>
      <w:bookmarkStart w:id="69" w:name="_Toc28904"/>
      <w:bookmarkStart w:id="70" w:name="_Toc21728"/>
      <w:r>
        <w:rPr>
          <w:rFonts w:hint="eastAsia" w:asciiTheme="minorHAnsi" w:hAnsiTheme="minorHAnsi" w:eastAsiaTheme="minorEastAsia" w:cstheme="minorBidi"/>
          <w:b/>
          <w:color w:val="auto"/>
          <w:kern w:val="2"/>
          <w:sz w:val="32"/>
          <w:szCs w:val="24"/>
          <w:lang w:val="en-US" w:eastAsia="zh-CN" w:bidi="ar-SA"/>
        </w:rPr>
        <w:t>3.4规划目标</w:t>
      </w:r>
      <w:bookmarkEnd w:id="69"/>
    </w:p>
    <w:p>
      <w:pPr>
        <w:pStyle w:val="6"/>
        <w:keepNext/>
        <w:keepLines/>
        <w:pageBreakBefore w:val="0"/>
        <w:widowControl w:val="0"/>
        <w:kinsoku/>
        <w:wordWrap/>
        <w:overflowPunct/>
        <w:topLinePunct w:val="0"/>
        <w:autoSpaceDE/>
        <w:autoSpaceDN/>
        <w:bidi w:val="0"/>
        <w:adjustRightInd/>
        <w:snapToGrid/>
        <w:spacing w:line="413" w:lineRule="auto"/>
        <w:textAlignment w:val="auto"/>
        <w:outlineLvl w:val="2"/>
        <w:rPr>
          <w:rFonts w:hint="eastAsia"/>
          <w:color w:val="auto"/>
          <w:lang w:val="en-US" w:eastAsia="zh-CN"/>
        </w:rPr>
      </w:pPr>
      <w:bookmarkStart w:id="71" w:name="_Toc90558533"/>
      <w:r>
        <w:rPr>
          <w:rFonts w:hint="eastAsia"/>
          <w:color w:val="auto"/>
          <w:lang w:val="en-US" w:eastAsia="zh-CN"/>
        </w:rPr>
        <w:t>3.4.1规划目标</w:t>
      </w:r>
      <w:bookmarkEnd w:id="71"/>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en-US" w:eastAsia="zh-CN"/>
        </w:rPr>
      </w:pPr>
      <w:bookmarkStart w:id="72" w:name="_Hlk89866061"/>
      <w:bookmarkStart w:id="73" w:name="_Hlk83716411"/>
      <w:r>
        <w:rPr>
          <w:rFonts w:hint="eastAsia" w:eastAsia="仿宋_GB2312"/>
          <w:color w:val="auto"/>
          <w:kern w:val="0"/>
          <w:sz w:val="30"/>
          <w:szCs w:val="30"/>
          <w:lang w:val="en-US" w:eastAsia="zh-CN"/>
        </w:rPr>
        <w:t>加快发展畜产品加工业，健全集良种繁育、规模化养殖、屠宰、加工、冷链运输、销售为一体的产业化链条，大力发展牛羊工厂化屠宰及产品精深加工业，延长产业链，做大做强肉类精深加工产业。根据</w:t>
      </w:r>
      <w:r>
        <w:rPr>
          <w:rFonts w:hint="default" w:ascii="Times New Roman" w:hAnsi="Times New Roman" w:eastAsia="仿宋_GB2312" w:cs="Times New Roman"/>
          <w:color w:val="auto"/>
          <w:kern w:val="0"/>
          <w:sz w:val="28"/>
          <w:szCs w:val="28"/>
          <w:lang w:val="zh-CN" w:eastAsia="zh-CN"/>
        </w:rPr>
        <w:t>《固镇县“十四五”现代农业发展规划（2021-2025）》</w:t>
      </w:r>
      <w:r>
        <w:rPr>
          <w:rFonts w:hint="eastAsia" w:eastAsia="仿宋_GB2312"/>
          <w:color w:val="auto"/>
          <w:kern w:val="0"/>
          <w:sz w:val="30"/>
          <w:szCs w:val="30"/>
          <w:lang w:val="en-US" w:eastAsia="zh-CN"/>
        </w:rPr>
        <w:t>、《固镇县国民经济和社会发展第十四个五年规划和2035年远景目标纲要》，结合固镇县畜禽养殖现状，提出本次规划的目标为：到2025年，规模畜禽养殖场粪污资源化利用率达90%以上。围绕猪肉、禽肉、禽蛋、牛羊肉、乳制品等主要畜禽产品，培育在区域有影响力的现代畜牧业品牌。</w:t>
      </w:r>
      <w:bookmarkEnd w:id="72"/>
      <w:bookmarkEnd w:id="73"/>
      <w:bookmarkStart w:id="74" w:name="_Hlk75443278"/>
    </w:p>
    <w:bookmarkEnd w:id="74"/>
    <w:p>
      <w:pPr>
        <w:pStyle w:val="6"/>
        <w:keepNext/>
        <w:keepLines/>
        <w:pageBreakBefore w:val="0"/>
        <w:widowControl w:val="0"/>
        <w:kinsoku/>
        <w:wordWrap/>
        <w:overflowPunct/>
        <w:topLinePunct w:val="0"/>
        <w:autoSpaceDE/>
        <w:autoSpaceDN/>
        <w:bidi w:val="0"/>
        <w:adjustRightInd/>
        <w:snapToGrid/>
        <w:spacing w:line="360" w:lineRule="auto"/>
        <w:textAlignment w:val="auto"/>
        <w:outlineLvl w:val="2"/>
        <w:rPr>
          <w:rFonts w:hint="default"/>
          <w:color w:val="auto"/>
          <w:lang w:val="en-US" w:eastAsia="zh-CN"/>
        </w:rPr>
      </w:pPr>
      <w:bookmarkStart w:id="75" w:name="_Toc90558534"/>
      <w:r>
        <w:rPr>
          <w:rFonts w:hint="eastAsia"/>
          <w:color w:val="auto"/>
          <w:lang w:val="en-US" w:eastAsia="zh-CN"/>
        </w:rPr>
        <w:t>3.4.2畜禽粪污环境承载力测算</w:t>
      </w:r>
      <w:bookmarkEnd w:id="75"/>
    </w:p>
    <w:bookmarkEnd w:id="70"/>
    <w:p>
      <w:pPr>
        <w:pStyle w:val="7"/>
        <w:keepNext/>
        <w:keepLines/>
        <w:pageBreakBefore w:val="0"/>
        <w:widowControl w:val="0"/>
        <w:kinsoku/>
        <w:wordWrap/>
        <w:overflowPunct/>
        <w:topLinePunct w:val="0"/>
        <w:autoSpaceDE/>
        <w:autoSpaceDN/>
        <w:bidi w:val="0"/>
        <w:adjustRightInd/>
        <w:snapToGrid/>
        <w:spacing w:before="0" w:after="0" w:line="480" w:lineRule="auto"/>
        <w:jc w:val="both"/>
        <w:textAlignment w:val="auto"/>
        <w:outlineLvl w:val="3"/>
        <w:rPr>
          <w:color w:val="auto"/>
          <w:sz w:val="28"/>
          <w:szCs w:val="28"/>
        </w:rPr>
      </w:pPr>
      <w:r>
        <w:rPr>
          <w:color w:val="auto"/>
          <w:sz w:val="28"/>
          <w:szCs w:val="28"/>
        </w:rPr>
        <w:t>3.</w:t>
      </w:r>
      <w:bookmarkStart w:id="76" w:name="_Hlk88121575"/>
      <w:r>
        <w:rPr>
          <w:rFonts w:hint="eastAsia"/>
          <w:color w:val="auto"/>
          <w:sz w:val="28"/>
          <w:szCs w:val="28"/>
          <w:lang w:val="en-US" w:eastAsia="zh-CN"/>
        </w:rPr>
        <w:t>4.2.1</w:t>
      </w:r>
      <w:r>
        <w:rPr>
          <w:rFonts w:hint="eastAsia" w:cs="仿宋"/>
          <w:color w:val="auto"/>
          <w:sz w:val="28"/>
          <w:szCs w:val="28"/>
        </w:rPr>
        <w:t>畜禽粪污土地承载力</w:t>
      </w:r>
      <w:bookmarkEnd w:id="76"/>
      <w:r>
        <w:rPr>
          <w:rFonts w:hint="eastAsia" w:cs="仿宋"/>
          <w:color w:val="auto"/>
          <w:sz w:val="28"/>
          <w:szCs w:val="28"/>
        </w:rPr>
        <w:t>测算</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根据固镇县规划部门提供的固镇县2020年耕地、园地、林地、草地面积，固镇县耕地面积为95613.75公顷（143.42万亩），园地面积为269.38公顷（4041亩），林地面积为3289公顷（49335亩）、草地255公顷，固镇县内无人工草地，故本次评价通过各区耕地、林地、园地用地规划面积核算各区最大可承载养殖规模。</w:t>
      </w:r>
    </w:p>
    <w:p>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line="360" w:lineRule="auto"/>
        <w:textAlignment w:val="auto"/>
        <w:outlineLvl w:val="9"/>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1、测算原则及方法</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根据《畜禽粪污土地承载力测算技术指南》，畜禽粪污土地承载力及规模养殖场配套土地面积测算以粪肥氮养分供给和植物氮养分需求为基础进行核算。</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ascii="仿宋" w:hAnsi="仿宋" w:eastAsia="仿宋" w:cs="仿宋"/>
          <w:color w:val="auto"/>
          <w:spacing w:val="-21"/>
          <w:sz w:val="24"/>
          <w:szCs w:val="24"/>
        </w:rPr>
      </w:pPr>
      <w:r>
        <w:rPr>
          <w:rFonts w:hint="eastAsia" w:eastAsia="仿宋_GB2312"/>
          <w:color w:val="auto"/>
          <w:kern w:val="0"/>
          <w:sz w:val="30"/>
          <w:szCs w:val="30"/>
          <w:lang w:val="en-US" w:eastAsia="zh-CN"/>
        </w:rPr>
        <w:t>根据《畜禽粪污土地承载力测算技术指南》，以氮为基础，不同植物土地承载力值见表3.4-1：</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2" w:firstLineChars="200"/>
        <w:jc w:val="center"/>
        <w:textAlignment w:val="auto"/>
        <w:rPr>
          <w:rFonts w:hint="eastAsia" w:eastAsia="仿宋_GB2312" w:asciiTheme="minorHAnsi" w:hAnsiTheme="minorHAnsi" w:cstheme="minorBidi"/>
          <w:b/>
          <w:bCs/>
          <w:color w:val="auto"/>
          <w:kern w:val="0"/>
          <w:sz w:val="24"/>
          <w:szCs w:val="24"/>
          <w:lang w:val="en-US" w:eastAsia="zh-CN" w:bidi="ar-SA"/>
        </w:rPr>
      </w:pPr>
      <w:r>
        <w:rPr>
          <w:rFonts w:hint="eastAsia" w:eastAsia="仿宋_GB2312" w:asciiTheme="minorHAnsi" w:hAnsiTheme="minorHAnsi" w:cstheme="minorBidi"/>
          <w:b/>
          <w:bCs/>
          <w:color w:val="auto"/>
          <w:kern w:val="0"/>
          <w:sz w:val="24"/>
          <w:szCs w:val="24"/>
          <w:lang w:val="en-US" w:eastAsia="zh-CN" w:bidi="ar-SA"/>
        </w:rPr>
        <w:t>表3.4-1 不同植物土地承载力推荐值</w:t>
      </w:r>
    </w:p>
    <w:p>
      <w:pPr>
        <w:keepNext w:val="0"/>
        <w:keepLines w:val="0"/>
        <w:pageBreakBefore w:val="0"/>
        <w:widowControl w:val="0"/>
        <w:kinsoku/>
        <w:wordWrap/>
        <w:overflowPunct/>
        <w:topLinePunct w:val="0"/>
        <w:autoSpaceDE/>
        <w:autoSpaceDN/>
        <w:bidi w:val="0"/>
        <w:adjustRightInd/>
        <w:snapToGrid/>
        <w:spacing w:line="224" w:lineRule="auto"/>
        <w:jc w:val="center"/>
        <w:textAlignment w:val="auto"/>
        <w:rPr>
          <w:rFonts w:hint="eastAsia" w:ascii="仿宋" w:hAnsi="仿宋" w:eastAsia="仿宋" w:cs="仿宋"/>
          <w:color w:val="auto"/>
          <w:spacing w:val="-21"/>
          <w:sz w:val="24"/>
          <w:szCs w:val="24"/>
        </w:rPr>
      </w:pPr>
      <w:r>
        <w:rPr>
          <w:rFonts w:hint="eastAsia" w:ascii="仿宋" w:hAnsi="仿宋" w:eastAsia="仿宋" w:cs="仿宋"/>
          <w:color w:val="auto"/>
          <w:spacing w:val="-21"/>
          <w:sz w:val="24"/>
          <w:szCs w:val="24"/>
        </w:rPr>
        <w:t>(土壤氮养分水平Ⅱ,粪肥比例50%,当季利用率25%,以氮为基础)</w:t>
      </w:r>
    </w:p>
    <w:p>
      <w:pPr>
        <w:spacing w:line="205" w:lineRule="exact"/>
        <w:rPr>
          <w:color w:val="auto"/>
        </w:rPr>
      </w:pPr>
    </w:p>
    <w:tbl>
      <w:tblPr>
        <w:tblStyle w:val="35"/>
        <w:tblW w:w="500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94"/>
        <w:gridCol w:w="1402"/>
        <w:gridCol w:w="1946"/>
        <w:gridCol w:w="1650"/>
        <w:gridCol w:w="23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439" w:type="pct"/>
            <w:gridSpan w:val="2"/>
            <w:vMerge w:val="restart"/>
            <w:tcBorders>
              <w:top w:val="single" w:color="000000" w:sz="2" w:space="0"/>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作物种类</w:t>
            </w:r>
          </w:p>
        </w:tc>
        <w:tc>
          <w:tcPr>
            <w:tcW w:w="1169" w:type="pct"/>
            <w:vMerge w:val="restart"/>
            <w:tcBorders>
              <w:top w:val="single" w:color="000000" w:sz="2" w:space="0"/>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目标产量</w:t>
            </w:r>
          </w:p>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(t/hm²)</w:t>
            </w:r>
          </w:p>
        </w:tc>
        <w:tc>
          <w:tcPr>
            <w:tcW w:w="2391" w:type="pct"/>
            <w:gridSpan w:val="2"/>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土地承载力(猪当量/亩/当季)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439" w:type="pct"/>
            <w:gridSpan w:val="2"/>
            <w:vMerge w:val="continue"/>
            <w:tcBorders>
              <w:top w:val="nil"/>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1169" w:type="pct"/>
            <w:vMerge w:val="continue"/>
            <w:tcBorders>
              <w:top w:val="nil"/>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粪肥全部就 地利用</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固体粪便堆肥自用还田+肥水就地利用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restart"/>
            <w:tcBorders>
              <w:top w:val="single" w:color="000000" w:sz="2" w:space="0"/>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大田作物</w:t>
            </w: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小麦</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4.5</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1.2</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水稻</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1.1</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bCs/>
                <w:i w:val="0"/>
                <w:iCs w:val="0"/>
                <w:color w:val="auto"/>
                <w:kern w:val="0"/>
                <w:sz w:val="22"/>
                <w:szCs w:val="22"/>
                <w:u w:val="none"/>
                <w:lang w:val="en-US" w:eastAsia="zh-CN" w:bidi="ar"/>
              </w:rPr>
            </w:pPr>
            <w:r>
              <w:rPr>
                <w:rFonts w:hint="default" w:ascii="Times New Roman" w:hAnsi="Times New Roman" w:eastAsia="宋体" w:cs="Times New Roman"/>
                <w:b/>
                <w:bCs/>
                <w:i w:val="0"/>
                <w:iCs w:val="0"/>
                <w:color w:val="auto"/>
                <w:kern w:val="0"/>
                <w:sz w:val="22"/>
                <w:szCs w:val="22"/>
                <w:u w:val="none"/>
                <w:lang w:val="en-US" w:eastAsia="zh-CN" w:bidi="ar"/>
              </w:rPr>
              <w:t>玉米</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bCs/>
                <w:i w:val="0"/>
                <w:iCs w:val="0"/>
                <w:color w:val="auto"/>
                <w:kern w:val="0"/>
                <w:sz w:val="22"/>
                <w:szCs w:val="22"/>
                <w:u w:val="none"/>
                <w:lang w:val="en-US" w:eastAsia="zh-CN" w:bidi="ar"/>
              </w:rPr>
            </w:pPr>
            <w:r>
              <w:rPr>
                <w:rFonts w:hint="default" w:ascii="Times New Roman" w:hAnsi="Times New Roman" w:eastAsia="宋体" w:cs="Times New Roman"/>
                <w:b/>
                <w:bCs/>
                <w:i w:val="0"/>
                <w:iCs w:val="0"/>
                <w:color w:val="auto"/>
                <w:kern w:val="0"/>
                <w:sz w:val="22"/>
                <w:szCs w:val="22"/>
                <w:u w:val="none"/>
                <w:lang w:val="en-US" w:eastAsia="zh-CN" w:bidi="ar"/>
              </w:rPr>
              <w:t>6</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bCs/>
                <w:i w:val="0"/>
                <w:iCs w:val="0"/>
                <w:color w:val="auto"/>
                <w:kern w:val="0"/>
                <w:sz w:val="22"/>
                <w:szCs w:val="22"/>
                <w:u w:val="none"/>
                <w:lang w:val="en-US" w:eastAsia="zh-CN" w:bidi="ar"/>
              </w:rPr>
            </w:pPr>
            <w:r>
              <w:rPr>
                <w:rFonts w:hint="default" w:ascii="Times New Roman" w:hAnsi="Times New Roman" w:eastAsia="宋体" w:cs="Times New Roman"/>
                <w:b/>
                <w:bCs/>
                <w:i w:val="0"/>
                <w:iCs w:val="0"/>
                <w:color w:val="auto"/>
                <w:kern w:val="0"/>
                <w:sz w:val="22"/>
                <w:szCs w:val="22"/>
                <w:u w:val="none"/>
                <w:lang w:val="en-US" w:eastAsia="zh-CN" w:bidi="ar"/>
              </w:rPr>
              <w:t>1.2</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bCs/>
                <w:i w:val="0"/>
                <w:iCs w:val="0"/>
                <w:color w:val="auto"/>
                <w:kern w:val="0"/>
                <w:sz w:val="22"/>
                <w:szCs w:val="22"/>
                <w:u w:val="none"/>
                <w:lang w:val="en-US" w:eastAsia="zh-CN" w:bidi="ar"/>
              </w:rPr>
            </w:pPr>
            <w:r>
              <w:rPr>
                <w:rFonts w:hint="default" w:ascii="Times New Roman" w:hAnsi="Times New Roman" w:eastAsia="宋体" w:cs="Times New Roman"/>
                <w:b/>
                <w:bCs/>
                <w:i w:val="0"/>
                <w:iCs w:val="0"/>
                <w:color w:val="auto"/>
                <w:kern w:val="0"/>
                <w:sz w:val="22"/>
                <w:szCs w:val="22"/>
                <w:u w:val="none"/>
                <w:lang w:val="en-US" w:eastAsia="zh-CN" w:bidi="ar"/>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谷子</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4.5</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1.5</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大豆</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1.9</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棉花</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2.2</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2.2</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马铃薯</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20</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restart"/>
            <w:tcBorders>
              <w:top w:val="single" w:color="000000" w:sz="2" w:space="0"/>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蔬菜</w:t>
            </w: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黄瓜</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75</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1.8</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番茄</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75</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2.1</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青椒</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45</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2.0</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茄子</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67.5</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2.0</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大白菜</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90</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1.2</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萝卜</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45</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1.1</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大葱</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55</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大蒜</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26</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1.8</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restart"/>
            <w:tcBorders>
              <w:top w:val="single" w:color="000000" w:sz="2" w:space="0"/>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果树</w:t>
            </w: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bCs/>
                <w:i w:val="0"/>
                <w:iCs w:val="0"/>
                <w:color w:val="auto"/>
                <w:kern w:val="0"/>
                <w:sz w:val="22"/>
                <w:szCs w:val="22"/>
                <w:u w:val="none"/>
                <w:lang w:val="en-US" w:eastAsia="zh-CN" w:bidi="ar"/>
              </w:rPr>
            </w:pPr>
            <w:r>
              <w:rPr>
                <w:rFonts w:hint="default" w:ascii="Times New Roman" w:hAnsi="Times New Roman" w:eastAsia="宋体" w:cs="Times New Roman"/>
                <w:b/>
                <w:bCs/>
                <w:i w:val="0"/>
                <w:iCs w:val="0"/>
                <w:color w:val="auto"/>
                <w:kern w:val="0"/>
                <w:sz w:val="22"/>
                <w:szCs w:val="22"/>
                <w:u w:val="none"/>
                <w:lang w:val="en-US" w:eastAsia="zh-CN" w:bidi="ar"/>
              </w:rPr>
              <w:t>桃</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bCs/>
                <w:i w:val="0"/>
                <w:iCs w:val="0"/>
                <w:color w:val="auto"/>
                <w:kern w:val="0"/>
                <w:sz w:val="22"/>
                <w:szCs w:val="22"/>
                <w:u w:val="none"/>
                <w:lang w:val="en-US" w:eastAsia="zh-CN" w:bidi="ar"/>
              </w:rPr>
            </w:pPr>
            <w:r>
              <w:rPr>
                <w:rFonts w:hint="default" w:ascii="Times New Roman" w:hAnsi="Times New Roman" w:eastAsia="宋体" w:cs="Times New Roman"/>
                <w:b/>
                <w:bCs/>
                <w:i w:val="0"/>
                <w:iCs w:val="0"/>
                <w:color w:val="auto"/>
                <w:kern w:val="0"/>
                <w:sz w:val="22"/>
                <w:szCs w:val="22"/>
                <w:u w:val="none"/>
                <w:lang w:val="en-US" w:eastAsia="zh-CN" w:bidi="ar"/>
              </w:rPr>
              <w:t>30</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bCs/>
                <w:i w:val="0"/>
                <w:iCs w:val="0"/>
                <w:color w:val="auto"/>
                <w:kern w:val="0"/>
                <w:sz w:val="22"/>
                <w:szCs w:val="22"/>
                <w:u w:val="none"/>
                <w:lang w:val="en-US" w:eastAsia="zh-CN" w:bidi="ar"/>
              </w:rPr>
            </w:pPr>
            <w:r>
              <w:rPr>
                <w:rFonts w:hint="default" w:ascii="Times New Roman" w:hAnsi="Times New Roman" w:eastAsia="宋体" w:cs="Times New Roman"/>
                <w:b/>
                <w:bCs/>
                <w:i w:val="0"/>
                <w:iCs w:val="0"/>
                <w:color w:val="auto"/>
                <w:kern w:val="0"/>
                <w:sz w:val="22"/>
                <w:szCs w:val="22"/>
                <w:u w:val="none"/>
                <w:lang w:val="en-US" w:eastAsia="zh-CN" w:bidi="ar"/>
              </w:rPr>
              <w:t>0.5</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bCs/>
                <w:i w:val="0"/>
                <w:iCs w:val="0"/>
                <w:color w:val="auto"/>
                <w:kern w:val="0"/>
                <w:sz w:val="22"/>
                <w:szCs w:val="22"/>
                <w:u w:val="none"/>
                <w:lang w:val="en-US" w:eastAsia="zh-CN" w:bidi="ar"/>
              </w:rPr>
            </w:pPr>
            <w:r>
              <w:rPr>
                <w:rFonts w:hint="default" w:ascii="Times New Roman" w:hAnsi="Times New Roman" w:eastAsia="宋体" w:cs="Times New Roman"/>
                <w:b/>
                <w:bCs/>
                <w:i w:val="0"/>
                <w:iCs w:val="0"/>
                <w:color w:val="auto"/>
                <w:kern w:val="0"/>
                <w:sz w:val="22"/>
                <w:szCs w:val="22"/>
                <w:u w:val="none"/>
                <w:lang w:val="en-US" w:eastAsia="zh-CN" w:bidi="ar"/>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葡萄</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25</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1.6</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香蕉</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60</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3.8</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苹果</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30</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0.8</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梨</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22.5</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柑桔</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22.5</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1.2</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restart"/>
            <w:tcBorders>
              <w:top w:val="single" w:color="000000" w:sz="2" w:space="0"/>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经济</w:t>
            </w:r>
          </w:p>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作物</w:t>
            </w: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油料</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2.0</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1.2</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甘蔗</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90</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1.4</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甜菜</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122</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5.0</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烟叶</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1.56</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0.5</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茶叶</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4.3</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2.4</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restart"/>
            <w:tcBorders>
              <w:top w:val="single" w:color="000000" w:sz="2" w:space="0"/>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人工</w:t>
            </w:r>
          </w:p>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草地</w:t>
            </w: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苜蓿</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20</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0.3</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饲用燕麦</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4.0</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restart"/>
            <w:tcBorders>
              <w:top w:val="single" w:color="000000" w:sz="2" w:space="0"/>
              <w:bottom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人工</w:t>
            </w:r>
          </w:p>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林地</w:t>
            </w: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桉树</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30m³/hm²</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97" w:type="pct"/>
            <w:vMerge w:val="continue"/>
            <w:tcBorders>
              <w:top w:val="nil"/>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2"/>
                <w:szCs w:val="22"/>
                <w:u w:val="none"/>
                <w:lang w:val="en-US" w:eastAsia="zh-CN" w:bidi="ar"/>
              </w:rPr>
            </w:pPr>
          </w:p>
        </w:tc>
        <w:tc>
          <w:tcPr>
            <w:tcW w:w="84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bCs/>
                <w:i w:val="0"/>
                <w:iCs w:val="0"/>
                <w:color w:val="auto"/>
                <w:kern w:val="0"/>
                <w:sz w:val="22"/>
                <w:szCs w:val="22"/>
                <w:u w:val="none"/>
                <w:lang w:val="en-US" w:eastAsia="zh-CN" w:bidi="ar"/>
              </w:rPr>
            </w:pPr>
            <w:r>
              <w:rPr>
                <w:rFonts w:hint="default" w:ascii="Times New Roman" w:hAnsi="Times New Roman" w:eastAsia="宋体" w:cs="Times New Roman"/>
                <w:b/>
                <w:bCs/>
                <w:i w:val="0"/>
                <w:iCs w:val="0"/>
                <w:color w:val="auto"/>
                <w:kern w:val="0"/>
                <w:sz w:val="22"/>
                <w:szCs w:val="22"/>
                <w:u w:val="none"/>
                <w:lang w:val="en-US" w:eastAsia="zh-CN" w:bidi="ar"/>
              </w:rPr>
              <w:t>杨树</w:t>
            </w:r>
          </w:p>
        </w:tc>
        <w:tc>
          <w:tcPr>
            <w:tcW w:w="116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bCs/>
                <w:i w:val="0"/>
                <w:iCs w:val="0"/>
                <w:color w:val="auto"/>
                <w:kern w:val="0"/>
                <w:sz w:val="22"/>
                <w:szCs w:val="22"/>
                <w:u w:val="none"/>
                <w:lang w:val="en-US" w:eastAsia="zh-CN" w:bidi="ar"/>
              </w:rPr>
            </w:pPr>
            <w:r>
              <w:rPr>
                <w:rFonts w:hint="default" w:ascii="Times New Roman" w:hAnsi="Times New Roman" w:eastAsia="宋体" w:cs="Times New Roman"/>
                <w:b/>
                <w:bCs/>
                <w:i w:val="0"/>
                <w:iCs w:val="0"/>
                <w:color w:val="auto"/>
                <w:kern w:val="0"/>
                <w:sz w:val="22"/>
                <w:szCs w:val="22"/>
                <w:u w:val="none"/>
                <w:lang w:val="en-US" w:eastAsia="zh-CN" w:bidi="ar"/>
              </w:rPr>
              <w:t>20m³/hm²</w:t>
            </w:r>
          </w:p>
        </w:tc>
        <w:tc>
          <w:tcPr>
            <w:tcW w:w="991"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bCs/>
                <w:i w:val="0"/>
                <w:iCs w:val="0"/>
                <w:color w:val="auto"/>
                <w:kern w:val="0"/>
                <w:sz w:val="22"/>
                <w:szCs w:val="22"/>
                <w:u w:val="none"/>
                <w:lang w:val="en-US" w:eastAsia="zh-CN" w:bidi="ar"/>
              </w:rPr>
            </w:pPr>
            <w:r>
              <w:rPr>
                <w:rFonts w:hint="default" w:ascii="Times New Roman" w:hAnsi="Times New Roman" w:eastAsia="宋体" w:cs="Times New Roman"/>
                <w:b/>
                <w:bCs/>
                <w:i w:val="0"/>
                <w:iCs w:val="0"/>
                <w:color w:val="auto"/>
                <w:kern w:val="0"/>
                <w:sz w:val="22"/>
                <w:szCs w:val="22"/>
                <w:u w:val="none"/>
                <w:lang w:val="en-US" w:eastAsia="zh-CN" w:bidi="ar"/>
              </w:rPr>
              <w:t>0.4</w:t>
            </w:r>
          </w:p>
        </w:tc>
        <w:tc>
          <w:tcPr>
            <w:tcW w:w="1399" w:type="pct"/>
            <w:tcBorders>
              <w:top w:val="single" w:color="000000" w:sz="2" w:space="0"/>
              <w:bottom w:val="single" w:color="000000" w:sz="2" w:space="0"/>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bCs/>
                <w:i w:val="0"/>
                <w:iCs w:val="0"/>
                <w:color w:val="auto"/>
                <w:kern w:val="0"/>
                <w:sz w:val="22"/>
                <w:szCs w:val="22"/>
                <w:u w:val="none"/>
                <w:lang w:val="en-US" w:eastAsia="zh-CN" w:bidi="ar"/>
              </w:rPr>
            </w:pPr>
            <w:r>
              <w:rPr>
                <w:rFonts w:hint="default" w:ascii="Times New Roman" w:hAnsi="Times New Roman" w:eastAsia="宋体" w:cs="Times New Roman"/>
                <w:b/>
                <w:bCs/>
                <w:i w:val="0"/>
                <w:iCs w:val="0"/>
                <w:color w:val="auto"/>
                <w:kern w:val="0"/>
                <w:sz w:val="22"/>
                <w:szCs w:val="22"/>
                <w:u w:val="none"/>
                <w:lang w:val="en-US" w:eastAsia="zh-CN" w:bidi="ar"/>
              </w:rPr>
              <w:t>0.9</w:t>
            </w:r>
          </w:p>
        </w:tc>
      </w:tr>
    </w:tbl>
    <w:p>
      <w:pPr>
        <w:rPr>
          <w:rFonts w:ascii="Arial"/>
          <w:color w:val="auto"/>
          <w:sz w:val="21"/>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default"/>
          <w:color w:val="auto"/>
          <w:lang w:val="en-US" w:eastAsia="zh-CN"/>
        </w:rPr>
      </w:pPr>
      <w:r>
        <w:rPr>
          <w:rFonts w:hint="eastAsia" w:eastAsia="仿宋_GB2312"/>
          <w:color w:val="auto"/>
          <w:kern w:val="0"/>
          <w:sz w:val="30"/>
          <w:szCs w:val="30"/>
          <w:lang w:val="en-US" w:eastAsia="zh-CN"/>
        </w:rPr>
        <w:t>固镇县粪肥主要采用“固体粪便堆肥自用还田+肥水就地利用”的方式，固镇县耕地主要种植玉米、花生和小麦，园地主要种植梨、桃和葡萄，林地主要种植杨树，且农用地本底值不缺磷元素，对照表3.4-1，本次规划测算耕地系数选取玉米种植承载量，即2.4猪当量/亩；园地选取桃种植承载量，即1.1猪当量/亩；林地选取杨树种植承载量，即0.9猪当量/亩。</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default" w:eastAsia="仿宋_GB2312"/>
          <w:color w:val="auto"/>
          <w:kern w:val="0"/>
          <w:sz w:val="30"/>
          <w:szCs w:val="30"/>
          <w:lang w:val="en-US" w:eastAsia="zh-CN"/>
        </w:rPr>
      </w:pPr>
      <w:r>
        <w:rPr>
          <w:rFonts w:hint="eastAsia" w:eastAsia="仿宋_GB2312"/>
          <w:color w:val="auto"/>
          <w:kern w:val="0"/>
          <w:sz w:val="30"/>
          <w:szCs w:val="30"/>
          <w:lang w:val="en-US" w:eastAsia="zh-CN"/>
        </w:rPr>
        <w:t>2、测算结果</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固镇</w:t>
      </w:r>
      <w:r>
        <w:rPr>
          <w:rFonts w:hint="eastAsia" w:eastAsia="仿宋_GB2312"/>
          <w:color w:val="auto"/>
          <w:kern w:val="0"/>
          <w:sz w:val="30"/>
          <w:szCs w:val="30"/>
          <w:lang w:val="zh-CN" w:eastAsia="zh-CN"/>
        </w:rPr>
        <w:t>县</w:t>
      </w:r>
      <w:r>
        <w:rPr>
          <w:rFonts w:hint="eastAsia" w:eastAsia="仿宋_GB2312"/>
          <w:color w:val="auto"/>
          <w:kern w:val="0"/>
          <w:sz w:val="30"/>
          <w:szCs w:val="30"/>
          <w:lang w:val="en-US" w:eastAsia="zh-CN"/>
        </w:rPr>
        <w:t>农用地可承载猪当量计算结果如下：</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2" w:firstLineChars="200"/>
        <w:jc w:val="center"/>
        <w:textAlignment w:val="auto"/>
        <w:rPr>
          <w:rFonts w:hint="eastAsia" w:eastAsia="仿宋_GB2312" w:asciiTheme="minorHAnsi" w:hAnsiTheme="minorHAnsi" w:cstheme="minorBidi"/>
          <w:b/>
          <w:bCs/>
          <w:color w:val="auto"/>
          <w:kern w:val="0"/>
          <w:sz w:val="24"/>
          <w:szCs w:val="24"/>
          <w:lang w:val="en-US" w:eastAsia="zh-CN" w:bidi="ar-SA"/>
        </w:rPr>
      </w:pPr>
      <w:r>
        <w:rPr>
          <w:rFonts w:hint="eastAsia" w:eastAsia="仿宋_GB2312" w:asciiTheme="minorHAnsi" w:hAnsiTheme="minorHAnsi" w:cstheme="minorBidi"/>
          <w:b/>
          <w:bCs/>
          <w:color w:val="auto"/>
          <w:kern w:val="0"/>
          <w:sz w:val="24"/>
          <w:szCs w:val="24"/>
          <w:lang w:val="en-US" w:eastAsia="zh-CN" w:bidi="ar-SA"/>
        </w:rPr>
        <w:t>表3.4-2 基于土地利用规划核算可承载猪当量/万头</w:t>
      </w:r>
    </w:p>
    <w:tbl>
      <w:tblPr>
        <w:tblStyle w:val="20"/>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4876"/>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02" w:type="dxa"/>
            <w:gridSpan w:val="2"/>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b/>
                <w:bCs/>
                <w:color w:val="auto"/>
                <w:sz w:val="24"/>
                <w:szCs w:val="24"/>
                <w:highlight w:val="none"/>
              </w:rPr>
            </w:pPr>
            <w:r>
              <w:rPr>
                <w:rFonts w:hint="eastAsia" w:cs="仿宋"/>
                <w:b/>
                <w:bCs/>
                <w:color w:val="auto"/>
                <w:sz w:val="24"/>
                <w:szCs w:val="24"/>
                <w:highlight w:val="none"/>
              </w:rPr>
              <w:t>类别</w:t>
            </w:r>
          </w:p>
        </w:tc>
        <w:tc>
          <w:tcPr>
            <w:tcW w:w="2120"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cs="仿宋"/>
                <w:b/>
                <w:bCs/>
                <w:color w:val="auto"/>
                <w:sz w:val="24"/>
                <w:szCs w:val="24"/>
                <w:highlight w:val="none"/>
              </w:rPr>
            </w:pPr>
            <w:r>
              <w:rPr>
                <w:rFonts w:hint="eastAsia" w:cs="仿宋"/>
                <w:b/>
                <w:bCs/>
                <w:color w:val="auto"/>
                <w:sz w:val="24"/>
                <w:szCs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6" w:type="dxa"/>
            <w:vMerge w:val="restart"/>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eastAsiaTheme="minorEastAsia"/>
                <w:color w:val="auto"/>
                <w:sz w:val="24"/>
                <w:szCs w:val="24"/>
                <w:highlight w:val="none"/>
                <w:lang w:eastAsia="zh-CN"/>
              </w:rPr>
            </w:pPr>
            <w:r>
              <w:rPr>
                <w:rFonts w:hint="eastAsia" w:cs="仿宋"/>
                <w:color w:val="auto"/>
                <w:sz w:val="24"/>
                <w:szCs w:val="24"/>
                <w:highlight w:val="none"/>
              </w:rPr>
              <w:t>耕地</w:t>
            </w:r>
            <w:r>
              <w:rPr>
                <w:rFonts w:hint="eastAsia" w:cs="仿宋"/>
                <w:color w:val="auto"/>
                <w:sz w:val="24"/>
                <w:szCs w:val="24"/>
                <w:highlight w:val="none"/>
                <w:lang w:eastAsia="zh-CN"/>
              </w:rPr>
              <w:t>（玉米）</w:t>
            </w:r>
          </w:p>
        </w:tc>
        <w:tc>
          <w:tcPr>
            <w:tcW w:w="4876"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eastAsiaTheme="minorEastAsia"/>
                <w:color w:val="auto"/>
                <w:sz w:val="24"/>
                <w:szCs w:val="24"/>
                <w:highlight w:val="none"/>
                <w:lang w:eastAsia="zh-CN"/>
              </w:rPr>
            </w:pPr>
            <w:r>
              <w:rPr>
                <w:rFonts w:hint="eastAsia" w:cs="仿宋"/>
                <w:color w:val="auto"/>
                <w:sz w:val="24"/>
                <w:szCs w:val="24"/>
                <w:highlight w:val="none"/>
              </w:rPr>
              <w:t>涉农区县规划面积</w:t>
            </w:r>
            <w:r>
              <w:rPr>
                <w:color w:val="auto"/>
                <w:sz w:val="24"/>
                <w:szCs w:val="24"/>
                <w:highlight w:val="none"/>
              </w:rPr>
              <w:t>/</w:t>
            </w:r>
            <w:r>
              <w:rPr>
                <w:rFonts w:hint="eastAsia"/>
                <w:color w:val="auto"/>
                <w:sz w:val="24"/>
                <w:szCs w:val="24"/>
                <w:highlight w:val="none"/>
                <w:lang w:eastAsia="zh-CN"/>
              </w:rPr>
              <w:t>亩</w:t>
            </w:r>
          </w:p>
        </w:tc>
        <w:tc>
          <w:tcPr>
            <w:tcW w:w="2120"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cs="仿宋"/>
                <w:color w:val="auto"/>
                <w:sz w:val="24"/>
                <w:szCs w:val="24"/>
                <w:highlight w:val="none"/>
                <w:lang w:val="en-US" w:eastAsia="zh-CN"/>
              </w:rPr>
            </w:pPr>
            <w:r>
              <w:rPr>
                <w:rFonts w:hint="eastAsia" w:cs="仿宋"/>
                <w:color w:val="auto"/>
                <w:sz w:val="24"/>
                <w:szCs w:val="24"/>
                <w:highlight w:val="none"/>
                <w:lang w:val="en-US" w:eastAsia="zh-CN"/>
              </w:rPr>
              <w:t>143.42万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6" w:type="dxa"/>
            <w:vMerge w:val="continue"/>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cs="仿宋"/>
                <w:color w:val="auto"/>
                <w:sz w:val="24"/>
                <w:szCs w:val="24"/>
                <w:highlight w:val="none"/>
              </w:rPr>
            </w:pPr>
          </w:p>
        </w:tc>
        <w:tc>
          <w:tcPr>
            <w:tcW w:w="4876"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cs="仿宋"/>
                <w:color w:val="auto"/>
                <w:sz w:val="24"/>
                <w:szCs w:val="24"/>
                <w:highlight w:val="none"/>
              </w:rPr>
            </w:pPr>
            <w:r>
              <w:rPr>
                <w:rFonts w:hint="eastAsia" w:cs="仿宋"/>
                <w:color w:val="auto"/>
                <w:sz w:val="24"/>
                <w:szCs w:val="24"/>
                <w:highlight w:val="none"/>
                <w:lang w:val="en-US" w:eastAsia="zh-CN"/>
              </w:rPr>
              <w:t>2.4猪当量/亩</w:t>
            </w:r>
          </w:p>
        </w:tc>
        <w:tc>
          <w:tcPr>
            <w:tcW w:w="2120"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cs="仿宋"/>
                <w:color w:val="auto"/>
                <w:sz w:val="24"/>
                <w:szCs w:val="24"/>
                <w:highlight w:val="none"/>
                <w:lang w:val="en-US" w:eastAsia="zh-CN"/>
              </w:rPr>
            </w:pPr>
            <w:r>
              <w:rPr>
                <w:rFonts w:hint="eastAsia" w:cs="仿宋"/>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6" w:type="dxa"/>
            <w:vMerge w:val="continue"/>
            <w:vAlign w:val="center"/>
          </w:tcPr>
          <w:p>
            <w:pPr>
              <w:pageBreakBefore w:val="0"/>
              <w:widowControl w:val="0"/>
              <w:kinsoku/>
              <w:wordWrap/>
              <w:overflowPunct/>
              <w:topLinePunct w:val="0"/>
              <w:autoSpaceDE/>
              <w:autoSpaceDN/>
              <w:bidi w:val="0"/>
              <w:spacing w:line="240" w:lineRule="auto"/>
              <w:ind w:firstLine="0" w:firstLineChars="0"/>
              <w:jc w:val="left"/>
              <w:textAlignment w:val="auto"/>
              <w:outlineLvl w:val="9"/>
              <w:rPr>
                <w:color w:val="auto"/>
                <w:sz w:val="24"/>
                <w:szCs w:val="24"/>
                <w:highlight w:val="none"/>
              </w:rPr>
            </w:pPr>
          </w:p>
        </w:tc>
        <w:tc>
          <w:tcPr>
            <w:tcW w:w="4876"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color w:val="auto"/>
                <w:sz w:val="24"/>
                <w:szCs w:val="24"/>
                <w:highlight w:val="none"/>
              </w:rPr>
            </w:pPr>
            <w:r>
              <w:rPr>
                <w:rFonts w:hint="eastAsia" w:cs="仿宋"/>
                <w:color w:val="auto"/>
                <w:sz w:val="24"/>
                <w:szCs w:val="24"/>
                <w:highlight w:val="none"/>
              </w:rPr>
              <w:t>可承载猪当量</w:t>
            </w:r>
            <w:r>
              <w:rPr>
                <w:color w:val="auto"/>
                <w:sz w:val="24"/>
                <w:szCs w:val="24"/>
                <w:highlight w:val="none"/>
              </w:rPr>
              <w:t>/</w:t>
            </w:r>
            <w:r>
              <w:rPr>
                <w:rFonts w:hint="eastAsia" w:cs="仿宋"/>
                <w:color w:val="auto"/>
                <w:sz w:val="24"/>
                <w:szCs w:val="24"/>
                <w:highlight w:val="none"/>
              </w:rPr>
              <w:t>万头</w:t>
            </w:r>
          </w:p>
        </w:tc>
        <w:tc>
          <w:tcPr>
            <w:tcW w:w="2120"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cs="仿宋" w:eastAsiaTheme="minorEastAsia"/>
                <w:color w:val="auto"/>
                <w:sz w:val="24"/>
                <w:szCs w:val="24"/>
                <w:highlight w:val="none"/>
                <w:lang w:val="en-US" w:eastAsia="zh-CN"/>
              </w:rPr>
            </w:pPr>
            <w:r>
              <w:rPr>
                <w:rFonts w:hint="eastAsia" w:cs="仿宋"/>
                <w:color w:val="auto"/>
                <w:sz w:val="24"/>
                <w:szCs w:val="24"/>
                <w:highlight w:val="none"/>
                <w:lang w:val="en-US" w:eastAsia="zh-CN"/>
              </w:rPr>
              <w:t>344.2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6" w:type="dxa"/>
            <w:vMerge w:val="restart"/>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eastAsiaTheme="minorEastAsia"/>
                <w:color w:val="auto"/>
                <w:sz w:val="24"/>
                <w:szCs w:val="24"/>
                <w:highlight w:val="none"/>
                <w:lang w:eastAsia="zh-CN"/>
              </w:rPr>
            </w:pPr>
            <w:r>
              <w:rPr>
                <w:rFonts w:hint="eastAsia" w:cs="仿宋"/>
                <w:color w:val="auto"/>
                <w:sz w:val="24"/>
                <w:szCs w:val="24"/>
                <w:highlight w:val="none"/>
              </w:rPr>
              <w:t>园地</w:t>
            </w:r>
            <w:r>
              <w:rPr>
                <w:rFonts w:hint="eastAsia" w:cs="仿宋"/>
                <w:color w:val="auto"/>
                <w:sz w:val="24"/>
                <w:szCs w:val="24"/>
                <w:highlight w:val="none"/>
                <w:lang w:eastAsia="zh-CN"/>
              </w:rPr>
              <w:t>（桃）</w:t>
            </w:r>
          </w:p>
        </w:tc>
        <w:tc>
          <w:tcPr>
            <w:tcW w:w="4876"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color w:val="auto"/>
                <w:sz w:val="24"/>
                <w:szCs w:val="24"/>
                <w:highlight w:val="none"/>
              </w:rPr>
            </w:pPr>
            <w:r>
              <w:rPr>
                <w:rFonts w:hint="eastAsia" w:cs="仿宋"/>
                <w:color w:val="auto"/>
                <w:sz w:val="24"/>
                <w:szCs w:val="24"/>
                <w:highlight w:val="none"/>
              </w:rPr>
              <w:t>涉农区县规划面积</w:t>
            </w:r>
            <w:r>
              <w:rPr>
                <w:color w:val="auto"/>
                <w:sz w:val="24"/>
                <w:szCs w:val="24"/>
                <w:highlight w:val="none"/>
              </w:rPr>
              <w:t>/</w:t>
            </w:r>
            <w:r>
              <w:rPr>
                <w:rFonts w:hint="eastAsia"/>
                <w:color w:val="auto"/>
                <w:sz w:val="24"/>
                <w:szCs w:val="24"/>
                <w:highlight w:val="none"/>
                <w:lang w:eastAsia="zh-CN"/>
              </w:rPr>
              <w:t>亩</w:t>
            </w:r>
          </w:p>
        </w:tc>
        <w:tc>
          <w:tcPr>
            <w:tcW w:w="2120"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cs="仿宋" w:eastAsiaTheme="minorEastAsia"/>
                <w:color w:val="auto"/>
                <w:sz w:val="24"/>
                <w:szCs w:val="24"/>
                <w:highlight w:val="none"/>
                <w:lang w:val="en-US" w:eastAsia="zh-CN"/>
              </w:rPr>
            </w:pPr>
            <w:r>
              <w:rPr>
                <w:rFonts w:hint="eastAsia" w:cs="仿宋"/>
                <w:color w:val="auto"/>
                <w:sz w:val="24"/>
                <w:szCs w:val="24"/>
                <w:highlight w:val="none"/>
                <w:lang w:val="en-US" w:eastAsia="zh-CN"/>
              </w:rPr>
              <w:t>4041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6" w:type="dxa"/>
            <w:vMerge w:val="continue"/>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cs="仿宋"/>
                <w:color w:val="auto"/>
                <w:sz w:val="24"/>
                <w:szCs w:val="24"/>
                <w:highlight w:val="none"/>
              </w:rPr>
            </w:pPr>
          </w:p>
        </w:tc>
        <w:tc>
          <w:tcPr>
            <w:tcW w:w="4876"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cs="仿宋"/>
                <w:color w:val="auto"/>
                <w:sz w:val="24"/>
                <w:szCs w:val="24"/>
                <w:highlight w:val="none"/>
              </w:rPr>
            </w:pPr>
            <w:r>
              <w:rPr>
                <w:rFonts w:hint="eastAsia" w:cs="仿宋"/>
                <w:color w:val="auto"/>
                <w:sz w:val="24"/>
                <w:szCs w:val="24"/>
                <w:highlight w:val="none"/>
                <w:lang w:val="en-US" w:eastAsia="zh-CN"/>
              </w:rPr>
              <w:t>1.1猪当量/亩</w:t>
            </w:r>
          </w:p>
        </w:tc>
        <w:tc>
          <w:tcPr>
            <w:tcW w:w="2120"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cs="仿宋"/>
                <w:color w:val="auto"/>
                <w:sz w:val="24"/>
                <w:szCs w:val="24"/>
                <w:highlight w:val="none"/>
                <w:lang w:val="en-US" w:eastAsia="zh-CN"/>
              </w:rPr>
            </w:pPr>
            <w:r>
              <w:rPr>
                <w:rFonts w:hint="eastAsia" w:cs="仿宋"/>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6" w:type="dxa"/>
            <w:vMerge w:val="continue"/>
            <w:vAlign w:val="center"/>
          </w:tcPr>
          <w:p>
            <w:pPr>
              <w:pageBreakBefore w:val="0"/>
              <w:widowControl w:val="0"/>
              <w:kinsoku/>
              <w:wordWrap/>
              <w:overflowPunct/>
              <w:topLinePunct w:val="0"/>
              <w:autoSpaceDE/>
              <w:autoSpaceDN/>
              <w:bidi w:val="0"/>
              <w:spacing w:line="240" w:lineRule="auto"/>
              <w:ind w:firstLine="0" w:firstLineChars="0"/>
              <w:jc w:val="left"/>
              <w:textAlignment w:val="auto"/>
              <w:outlineLvl w:val="9"/>
              <w:rPr>
                <w:color w:val="auto"/>
                <w:sz w:val="24"/>
                <w:szCs w:val="24"/>
                <w:highlight w:val="none"/>
              </w:rPr>
            </w:pPr>
          </w:p>
        </w:tc>
        <w:tc>
          <w:tcPr>
            <w:tcW w:w="4876"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color w:val="auto"/>
                <w:sz w:val="24"/>
                <w:szCs w:val="24"/>
                <w:highlight w:val="none"/>
              </w:rPr>
            </w:pPr>
            <w:r>
              <w:rPr>
                <w:rFonts w:hint="eastAsia" w:cs="仿宋"/>
                <w:color w:val="auto"/>
                <w:sz w:val="24"/>
                <w:szCs w:val="24"/>
                <w:highlight w:val="none"/>
              </w:rPr>
              <w:t>可承载猪当量</w:t>
            </w:r>
            <w:r>
              <w:rPr>
                <w:color w:val="auto"/>
                <w:sz w:val="24"/>
                <w:szCs w:val="24"/>
                <w:highlight w:val="none"/>
              </w:rPr>
              <w:t>/</w:t>
            </w:r>
            <w:r>
              <w:rPr>
                <w:rFonts w:hint="eastAsia" w:cs="仿宋"/>
                <w:color w:val="auto"/>
                <w:sz w:val="24"/>
                <w:szCs w:val="24"/>
                <w:highlight w:val="none"/>
              </w:rPr>
              <w:t>万头</w:t>
            </w:r>
          </w:p>
        </w:tc>
        <w:tc>
          <w:tcPr>
            <w:tcW w:w="2120"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cs="仿宋" w:eastAsiaTheme="minorEastAsia"/>
                <w:color w:val="auto"/>
                <w:sz w:val="24"/>
                <w:szCs w:val="24"/>
                <w:highlight w:val="none"/>
                <w:lang w:val="en-US" w:eastAsia="zh-CN"/>
              </w:rPr>
            </w:pPr>
            <w:r>
              <w:rPr>
                <w:rFonts w:hint="eastAsia" w:cs="仿宋"/>
                <w:color w:val="auto"/>
                <w:sz w:val="24"/>
                <w:szCs w:val="24"/>
                <w:highlight w:val="none"/>
                <w:lang w:val="en-US" w:eastAsia="zh-CN"/>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6" w:type="dxa"/>
            <w:vMerge w:val="restart"/>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eastAsiaTheme="minorEastAsia"/>
                <w:color w:val="auto"/>
                <w:sz w:val="24"/>
                <w:szCs w:val="24"/>
                <w:highlight w:val="none"/>
                <w:lang w:eastAsia="zh-CN"/>
              </w:rPr>
            </w:pPr>
            <w:r>
              <w:rPr>
                <w:rFonts w:hint="eastAsia" w:cs="仿宋"/>
                <w:color w:val="auto"/>
                <w:sz w:val="24"/>
                <w:szCs w:val="24"/>
                <w:highlight w:val="none"/>
              </w:rPr>
              <w:t>林地</w:t>
            </w:r>
            <w:r>
              <w:rPr>
                <w:rFonts w:hint="eastAsia" w:cs="仿宋"/>
                <w:color w:val="auto"/>
                <w:sz w:val="24"/>
                <w:szCs w:val="24"/>
                <w:highlight w:val="none"/>
                <w:lang w:eastAsia="zh-CN"/>
              </w:rPr>
              <w:t>（杨树）</w:t>
            </w:r>
          </w:p>
        </w:tc>
        <w:tc>
          <w:tcPr>
            <w:tcW w:w="4876"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color w:val="auto"/>
                <w:sz w:val="24"/>
                <w:szCs w:val="24"/>
                <w:highlight w:val="none"/>
              </w:rPr>
            </w:pPr>
            <w:r>
              <w:rPr>
                <w:rFonts w:hint="eastAsia" w:cs="仿宋"/>
                <w:color w:val="auto"/>
                <w:sz w:val="24"/>
                <w:szCs w:val="24"/>
                <w:highlight w:val="none"/>
              </w:rPr>
              <w:t>涉农区县规划面积</w:t>
            </w:r>
            <w:r>
              <w:rPr>
                <w:color w:val="auto"/>
                <w:sz w:val="24"/>
                <w:szCs w:val="24"/>
                <w:highlight w:val="none"/>
              </w:rPr>
              <w:t>/</w:t>
            </w:r>
            <w:r>
              <w:rPr>
                <w:rFonts w:hint="eastAsia"/>
                <w:color w:val="auto"/>
                <w:sz w:val="24"/>
                <w:szCs w:val="24"/>
                <w:highlight w:val="none"/>
                <w:lang w:eastAsia="zh-CN"/>
              </w:rPr>
              <w:t>亩</w:t>
            </w:r>
          </w:p>
        </w:tc>
        <w:tc>
          <w:tcPr>
            <w:tcW w:w="2120"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cs="仿宋" w:eastAsiaTheme="minorEastAsia"/>
                <w:color w:val="auto"/>
                <w:sz w:val="24"/>
                <w:szCs w:val="24"/>
                <w:highlight w:val="none"/>
                <w:lang w:val="en-US" w:eastAsia="zh-CN"/>
              </w:rPr>
            </w:pPr>
            <w:r>
              <w:rPr>
                <w:rFonts w:hint="eastAsia" w:cs="仿宋"/>
                <w:color w:val="auto"/>
                <w:sz w:val="24"/>
                <w:szCs w:val="24"/>
                <w:highlight w:val="none"/>
                <w:lang w:val="en-US" w:eastAsia="zh-CN"/>
              </w:rPr>
              <w:t>49335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6" w:type="dxa"/>
            <w:vMerge w:val="continue"/>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cs="仿宋"/>
                <w:color w:val="auto"/>
                <w:sz w:val="24"/>
                <w:szCs w:val="24"/>
                <w:highlight w:val="none"/>
              </w:rPr>
            </w:pPr>
          </w:p>
        </w:tc>
        <w:tc>
          <w:tcPr>
            <w:tcW w:w="4876"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cs="仿宋"/>
                <w:color w:val="auto"/>
                <w:sz w:val="24"/>
                <w:szCs w:val="24"/>
                <w:highlight w:val="none"/>
              </w:rPr>
            </w:pPr>
            <w:r>
              <w:rPr>
                <w:rFonts w:hint="eastAsia" w:cs="仿宋"/>
                <w:color w:val="auto"/>
                <w:sz w:val="24"/>
                <w:szCs w:val="24"/>
                <w:highlight w:val="none"/>
                <w:lang w:val="en-US" w:eastAsia="zh-CN"/>
              </w:rPr>
              <w:t>0.9猪当量/亩</w:t>
            </w:r>
          </w:p>
        </w:tc>
        <w:tc>
          <w:tcPr>
            <w:tcW w:w="2120"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cs="仿宋"/>
                <w:color w:val="auto"/>
                <w:sz w:val="24"/>
                <w:szCs w:val="24"/>
                <w:highlight w:val="none"/>
                <w:lang w:val="en-US" w:eastAsia="zh-CN"/>
              </w:rPr>
            </w:pPr>
            <w:r>
              <w:rPr>
                <w:rFonts w:hint="eastAsia" w:cs="仿宋"/>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526" w:type="dxa"/>
            <w:vMerge w:val="continue"/>
            <w:vAlign w:val="center"/>
          </w:tcPr>
          <w:p>
            <w:pPr>
              <w:pageBreakBefore w:val="0"/>
              <w:widowControl w:val="0"/>
              <w:kinsoku/>
              <w:wordWrap/>
              <w:overflowPunct/>
              <w:topLinePunct w:val="0"/>
              <w:autoSpaceDE/>
              <w:autoSpaceDN/>
              <w:bidi w:val="0"/>
              <w:spacing w:line="240" w:lineRule="auto"/>
              <w:ind w:firstLine="0" w:firstLineChars="0"/>
              <w:jc w:val="left"/>
              <w:textAlignment w:val="auto"/>
              <w:outlineLvl w:val="9"/>
              <w:rPr>
                <w:color w:val="auto"/>
                <w:sz w:val="24"/>
                <w:szCs w:val="24"/>
                <w:highlight w:val="none"/>
              </w:rPr>
            </w:pPr>
          </w:p>
        </w:tc>
        <w:tc>
          <w:tcPr>
            <w:tcW w:w="4876"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color w:val="auto"/>
                <w:sz w:val="24"/>
                <w:szCs w:val="24"/>
                <w:highlight w:val="none"/>
              </w:rPr>
            </w:pPr>
            <w:r>
              <w:rPr>
                <w:rFonts w:hint="eastAsia" w:cs="仿宋"/>
                <w:color w:val="auto"/>
                <w:sz w:val="24"/>
                <w:szCs w:val="24"/>
                <w:highlight w:val="none"/>
              </w:rPr>
              <w:t>可承载猪当量</w:t>
            </w:r>
            <w:r>
              <w:rPr>
                <w:color w:val="auto"/>
                <w:sz w:val="24"/>
                <w:szCs w:val="24"/>
                <w:highlight w:val="none"/>
              </w:rPr>
              <w:t>/</w:t>
            </w:r>
            <w:r>
              <w:rPr>
                <w:rFonts w:hint="eastAsia" w:cs="仿宋"/>
                <w:color w:val="auto"/>
                <w:sz w:val="24"/>
                <w:szCs w:val="24"/>
                <w:highlight w:val="none"/>
              </w:rPr>
              <w:t>万头</w:t>
            </w:r>
          </w:p>
        </w:tc>
        <w:tc>
          <w:tcPr>
            <w:tcW w:w="2120"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cs="仿宋" w:eastAsiaTheme="minorEastAsia"/>
                <w:color w:val="auto"/>
                <w:sz w:val="24"/>
                <w:szCs w:val="24"/>
                <w:highlight w:val="none"/>
                <w:lang w:val="en-US" w:eastAsia="zh-CN"/>
              </w:rPr>
            </w:pPr>
            <w:r>
              <w:rPr>
                <w:rFonts w:hint="eastAsia" w:cs="仿宋"/>
                <w:color w:val="auto"/>
                <w:sz w:val="24"/>
                <w:szCs w:val="24"/>
                <w:highlight w:val="none"/>
                <w:lang w:val="en-US" w:eastAsia="zh-CN"/>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02" w:type="dxa"/>
            <w:gridSpan w:val="2"/>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color w:val="auto"/>
                <w:sz w:val="24"/>
                <w:szCs w:val="24"/>
                <w:highlight w:val="none"/>
              </w:rPr>
            </w:pPr>
            <w:r>
              <w:rPr>
                <w:rFonts w:hint="eastAsia" w:cs="仿宋"/>
                <w:color w:val="auto"/>
                <w:sz w:val="24"/>
                <w:szCs w:val="24"/>
                <w:highlight w:val="none"/>
              </w:rPr>
              <w:t>总可承载猪当量</w:t>
            </w:r>
            <w:r>
              <w:rPr>
                <w:color w:val="auto"/>
                <w:sz w:val="24"/>
                <w:szCs w:val="24"/>
                <w:highlight w:val="none"/>
              </w:rPr>
              <w:t>/</w:t>
            </w:r>
            <w:r>
              <w:rPr>
                <w:rFonts w:hint="eastAsia" w:cs="仿宋"/>
                <w:color w:val="auto"/>
                <w:sz w:val="24"/>
                <w:szCs w:val="24"/>
                <w:highlight w:val="none"/>
              </w:rPr>
              <w:t>万头</w:t>
            </w:r>
          </w:p>
        </w:tc>
        <w:tc>
          <w:tcPr>
            <w:tcW w:w="2120"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cs="仿宋" w:eastAsiaTheme="minorEastAsia"/>
                <w:color w:val="auto"/>
                <w:sz w:val="24"/>
                <w:szCs w:val="24"/>
                <w:highlight w:val="none"/>
                <w:lang w:val="en-US" w:eastAsia="zh-CN"/>
              </w:rPr>
            </w:pPr>
            <w:r>
              <w:rPr>
                <w:rFonts w:hint="eastAsia" w:cs="仿宋"/>
                <w:color w:val="auto"/>
                <w:sz w:val="24"/>
                <w:szCs w:val="24"/>
                <w:highlight w:val="none"/>
                <w:lang w:val="en-US" w:eastAsia="zh-CN"/>
              </w:rPr>
              <w:t>349.08</w:t>
            </w:r>
          </w:p>
        </w:tc>
      </w:tr>
    </w:tbl>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cs="仿宋"/>
          <w:color w:val="auto"/>
          <w:sz w:val="24"/>
          <w:szCs w:val="24"/>
          <w:highlight w:val="yellow"/>
        </w:rPr>
      </w:pPr>
      <w:r>
        <w:rPr>
          <w:rFonts w:hint="eastAsia" w:eastAsia="仿宋_GB2312"/>
          <w:color w:val="auto"/>
          <w:kern w:val="0"/>
          <w:sz w:val="30"/>
          <w:szCs w:val="30"/>
          <w:highlight w:val="none"/>
          <w:lang w:val="en-US" w:eastAsia="zh-CN"/>
        </w:rPr>
        <w:t>由上表可知，全县总可承载猪当量为349.08万头，综合考虑禁养区及耕地资源空间分布差异，理论承载量按照总可承载猪当量的50%计算为174.54万头猪当量。</w:t>
      </w:r>
    </w:p>
    <w:p>
      <w:pPr>
        <w:pageBreakBefore w:val="0"/>
        <w:widowControl w:val="0"/>
        <w:kinsoku/>
        <w:wordWrap/>
        <w:overflowPunct/>
        <w:topLinePunct w:val="0"/>
        <w:autoSpaceDE/>
        <w:autoSpaceDN/>
        <w:bidi w:val="0"/>
        <w:spacing w:before="190" w:line="240" w:lineRule="auto"/>
        <w:jc w:val="center"/>
        <w:textAlignment w:val="auto"/>
        <w:outlineLvl w:val="9"/>
        <w:rPr>
          <w:color w:val="auto"/>
          <w:highlight w:val="none"/>
        </w:rPr>
      </w:pPr>
      <w:r>
        <w:rPr>
          <w:rFonts w:hint="eastAsia" w:eastAsia="仿宋_GB2312" w:asciiTheme="minorHAnsi" w:hAnsiTheme="minorHAnsi" w:cstheme="minorBidi"/>
          <w:b/>
          <w:bCs/>
          <w:color w:val="auto"/>
          <w:kern w:val="0"/>
          <w:sz w:val="24"/>
          <w:szCs w:val="24"/>
          <w:lang w:val="en-US" w:eastAsia="zh-CN" w:bidi="ar-SA"/>
        </w:rPr>
        <w:t>表3.4-3  规划养殖规模土地承载能力分析</w:t>
      </w:r>
    </w:p>
    <w:tbl>
      <w:tblPr>
        <w:tblStyle w:val="20"/>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5"/>
        <w:gridCol w:w="2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965" w:type="dxa"/>
            <w:vAlign w:val="center"/>
          </w:tcPr>
          <w:p>
            <w:pPr>
              <w:spacing w:line="240" w:lineRule="auto"/>
              <w:ind w:firstLine="0" w:firstLineChars="0"/>
              <w:jc w:val="center"/>
              <w:rPr>
                <w:b/>
                <w:bCs/>
                <w:color w:val="auto"/>
                <w:kern w:val="0"/>
                <w:sz w:val="24"/>
                <w:szCs w:val="24"/>
                <w:highlight w:val="none"/>
              </w:rPr>
            </w:pPr>
            <w:r>
              <w:rPr>
                <w:rFonts w:hint="eastAsia" w:cs="仿宋"/>
                <w:b/>
                <w:bCs/>
                <w:color w:val="auto"/>
                <w:kern w:val="0"/>
                <w:sz w:val="24"/>
                <w:szCs w:val="24"/>
                <w:highlight w:val="none"/>
              </w:rPr>
              <w:t>项目</w:t>
            </w:r>
          </w:p>
        </w:tc>
        <w:tc>
          <w:tcPr>
            <w:tcW w:w="2557" w:type="dxa"/>
            <w:vAlign w:val="center"/>
          </w:tcPr>
          <w:p>
            <w:pPr>
              <w:spacing w:line="240" w:lineRule="auto"/>
              <w:ind w:firstLine="0" w:firstLineChars="0"/>
              <w:jc w:val="center"/>
              <w:rPr>
                <w:b/>
                <w:bCs/>
                <w:color w:val="auto"/>
                <w:kern w:val="0"/>
                <w:sz w:val="24"/>
                <w:szCs w:val="24"/>
                <w:highlight w:val="none"/>
              </w:rPr>
            </w:pPr>
            <w:r>
              <w:rPr>
                <w:rFonts w:hint="eastAsia" w:cs="仿宋"/>
                <w:b/>
                <w:bCs/>
                <w:color w:val="auto"/>
                <w:kern w:val="0"/>
                <w:sz w:val="24"/>
                <w:szCs w:val="24"/>
                <w:highlight w:val="none"/>
              </w:rPr>
              <w:t>规划发展规模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5965" w:type="dxa"/>
            <w:vAlign w:val="center"/>
          </w:tcPr>
          <w:p>
            <w:pPr>
              <w:spacing w:line="240" w:lineRule="auto"/>
              <w:ind w:firstLine="0" w:firstLineChars="0"/>
              <w:jc w:val="center"/>
              <w:rPr>
                <w:color w:val="auto"/>
                <w:kern w:val="0"/>
                <w:sz w:val="24"/>
                <w:szCs w:val="24"/>
                <w:highlight w:val="none"/>
              </w:rPr>
            </w:pPr>
            <w:r>
              <w:rPr>
                <w:rFonts w:hint="eastAsia" w:cs="仿宋"/>
                <w:color w:val="auto"/>
                <w:kern w:val="0"/>
                <w:sz w:val="24"/>
                <w:szCs w:val="24"/>
                <w:highlight w:val="none"/>
                <w:lang w:eastAsia="zh-CN"/>
              </w:rPr>
              <w:t>目前全县</w:t>
            </w:r>
            <w:r>
              <w:rPr>
                <w:rFonts w:hint="eastAsia" w:cs="仿宋"/>
                <w:color w:val="auto"/>
                <w:kern w:val="0"/>
                <w:sz w:val="24"/>
                <w:szCs w:val="24"/>
                <w:highlight w:val="none"/>
              </w:rPr>
              <w:t>核算总猪当量</w:t>
            </w:r>
            <w:r>
              <w:rPr>
                <w:color w:val="auto"/>
                <w:kern w:val="0"/>
                <w:sz w:val="24"/>
                <w:szCs w:val="24"/>
                <w:highlight w:val="none"/>
              </w:rPr>
              <w:t>/</w:t>
            </w:r>
            <w:r>
              <w:rPr>
                <w:rFonts w:hint="eastAsia" w:cs="仿宋"/>
                <w:color w:val="auto"/>
                <w:kern w:val="0"/>
                <w:sz w:val="24"/>
                <w:szCs w:val="24"/>
                <w:highlight w:val="none"/>
              </w:rPr>
              <w:t>万头</w:t>
            </w:r>
          </w:p>
        </w:tc>
        <w:tc>
          <w:tcPr>
            <w:tcW w:w="2557" w:type="dxa"/>
            <w:vAlign w:val="center"/>
          </w:tcPr>
          <w:p>
            <w:pPr>
              <w:spacing w:line="240" w:lineRule="auto"/>
              <w:ind w:firstLine="0" w:firstLineChars="0"/>
              <w:jc w:val="center"/>
              <w:rPr>
                <w:rFonts w:hint="default" w:eastAsiaTheme="minorEastAsia"/>
                <w:color w:val="auto"/>
                <w:kern w:val="0"/>
                <w:sz w:val="24"/>
                <w:szCs w:val="24"/>
                <w:highlight w:val="none"/>
                <w:lang w:val="en-US" w:eastAsia="zh-CN"/>
              </w:rPr>
            </w:pPr>
            <w:r>
              <w:rPr>
                <w:rFonts w:hint="eastAsia"/>
                <w:color w:val="auto"/>
                <w:kern w:val="0"/>
                <w:sz w:val="24"/>
                <w:szCs w:val="24"/>
                <w:highlight w:val="none"/>
                <w:lang w:val="en-US" w:eastAsia="zh-CN"/>
              </w:rPr>
              <w:t>104.77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5" w:type="dxa"/>
            <w:vAlign w:val="center"/>
          </w:tcPr>
          <w:p>
            <w:pPr>
              <w:spacing w:line="240" w:lineRule="auto"/>
              <w:ind w:firstLine="0" w:firstLineChars="0"/>
              <w:jc w:val="center"/>
              <w:rPr>
                <w:color w:val="auto"/>
                <w:kern w:val="0"/>
                <w:sz w:val="24"/>
                <w:szCs w:val="24"/>
                <w:highlight w:val="none"/>
              </w:rPr>
            </w:pPr>
            <w:r>
              <w:rPr>
                <w:rFonts w:hint="eastAsia" w:cs="仿宋"/>
                <w:color w:val="auto"/>
                <w:kern w:val="0"/>
                <w:sz w:val="24"/>
                <w:szCs w:val="24"/>
                <w:highlight w:val="none"/>
              </w:rPr>
              <w:t>考虑禁养区面积和耕地资源空间分布差异，理论承载量按照可承载猪当量的</w:t>
            </w:r>
            <w:r>
              <w:rPr>
                <w:color w:val="auto"/>
                <w:kern w:val="0"/>
                <w:sz w:val="24"/>
                <w:szCs w:val="24"/>
                <w:highlight w:val="none"/>
              </w:rPr>
              <w:t>50%</w:t>
            </w:r>
            <w:r>
              <w:rPr>
                <w:rFonts w:hint="eastAsia" w:cs="仿宋"/>
                <w:color w:val="auto"/>
                <w:kern w:val="0"/>
                <w:sz w:val="24"/>
                <w:szCs w:val="24"/>
                <w:highlight w:val="none"/>
              </w:rPr>
              <w:t>计</w:t>
            </w:r>
          </w:p>
        </w:tc>
        <w:tc>
          <w:tcPr>
            <w:tcW w:w="2557" w:type="dxa"/>
            <w:vAlign w:val="center"/>
          </w:tcPr>
          <w:p>
            <w:pPr>
              <w:spacing w:line="240" w:lineRule="auto"/>
              <w:ind w:firstLine="0" w:firstLineChars="0"/>
              <w:jc w:val="center"/>
              <w:rPr>
                <w:rFonts w:hint="default"/>
                <w:color w:val="auto"/>
                <w:kern w:val="0"/>
                <w:sz w:val="24"/>
                <w:szCs w:val="24"/>
                <w:highlight w:val="none"/>
                <w:lang w:val="en-US"/>
              </w:rPr>
            </w:pPr>
            <w:r>
              <w:rPr>
                <w:rFonts w:hint="eastAsia"/>
                <w:color w:val="auto"/>
                <w:kern w:val="0"/>
                <w:sz w:val="24"/>
                <w:szCs w:val="24"/>
                <w:highlight w:val="none"/>
                <w:lang w:val="en-US" w:eastAsia="zh-CN"/>
              </w:rPr>
              <w:t>174.54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965" w:type="dxa"/>
            <w:vAlign w:val="center"/>
          </w:tcPr>
          <w:p>
            <w:pPr>
              <w:spacing w:line="240" w:lineRule="auto"/>
              <w:ind w:firstLine="0" w:firstLineChars="0"/>
              <w:jc w:val="center"/>
              <w:rPr>
                <w:color w:val="auto"/>
                <w:kern w:val="0"/>
                <w:sz w:val="24"/>
                <w:szCs w:val="24"/>
                <w:highlight w:val="none"/>
              </w:rPr>
            </w:pPr>
            <w:r>
              <w:rPr>
                <w:rFonts w:hint="eastAsia" w:cs="仿宋"/>
                <w:color w:val="auto"/>
                <w:kern w:val="0"/>
                <w:sz w:val="24"/>
                <w:szCs w:val="24"/>
                <w:highlight w:val="none"/>
              </w:rPr>
              <w:t>占用比例</w:t>
            </w:r>
            <w:r>
              <w:rPr>
                <w:color w:val="auto"/>
                <w:kern w:val="0"/>
                <w:sz w:val="24"/>
                <w:szCs w:val="24"/>
                <w:highlight w:val="none"/>
              </w:rPr>
              <w:t>/%</w:t>
            </w:r>
          </w:p>
        </w:tc>
        <w:tc>
          <w:tcPr>
            <w:tcW w:w="2557" w:type="dxa"/>
            <w:vAlign w:val="center"/>
          </w:tcPr>
          <w:p>
            <w:pPr>
              <w:spacing w:line="240" w:lineRule="auto"/>
              <w:ind w:firstLine="0" w:firstLineChars="0"/>
              <w:jc w:val="center"/>
              <w:rPr>
                <w:rFonts w:hint="default" w:eastAsia="等线"/>
                <w:color w:val="auto"/>
                <w:kern w:val="0"/>
                <w:sz w:val="21"/>
                <w:szCs w:val="21"/>
                <w:highlight w:val="none"/>
                <w:lang w:val="en-US"/>
              </w:rPr>
            </w:pPr>
            <w:r>
              <w:rPr>
                <w:rFonts w:hint="eastAsia"/>
                <w:color w:val="auto"/>
                <w:kern w:val="0"/>
                <w:sz w:val="24"/>
                <w:szCs w:val="24"/>
                <w:highlight w:val="none"/>
                <w:lang w:val="en-US" w:eastAsia="zh-CN"/>
              </w:rPr>
              <w:t>60</w:t>
            </w:r>
          </w:p>
        </w:tc>
      </w:tr>
    </w:tbl>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color w:val="auto"/>
          <w:lang w:val="en-US" w:eastAsia="zh-CN"/>
        </w:rPr>
      </w:pPr>
      <w:r>
        <w:rPr>
          <w:rFonts w:hint="eastAsia" w:eastAsia="仿宋_GB2312"/>
          <w:color w:val="auto"/>
          <w:kern w:val="0"/>
          <w:sz w:val="30"/>
          <w:szCs w:val="30"/>
          <w:highlight w:val="none"/>
          <w:lang w:val="en-US" w:eastAsia="zh-CN"/>
        </w:rPr>
        <w:t>由上表可知，</w:t>
      </w:r>
      <w:r>
        <w:rPr>
          <w:rFonts w:hint="eastAsia" w:eastAsia="仿宋_GB2312"/>
          <w:color w:val="auto"/>
          <w:kern w:val="0"/>
          <w:sz w:val="30"/>
          <w:szCs w:val="30"/>
          <w:lang w:val="en-US" w:eastAsia="zh-CN"/>
        </w:rPr>
        <w:t>固镇</w:t>
      </w:r>
      <w:r>
        <w:rPr>
          <w:rFonts w:hint="eastAsia" w:eastAsia="仿宋_GB2312"/>
          <w:color w:val="auto"/>
          <w:kern w:val="0"/>
          <w:sz w:val="30"/>
          <w:szCs w:val="30"/>
          <w:lang w:val="zh-CN" w:eastAsia="zh-CN"/>
        </w:rPr>
        <w:t>县</w:t>
      </w:r>
      <w:r>
        <w:rPr>
          <w:rFonts w:hint="eastAsia" w:eastAsia="仿宋_GB2312"/>
          <w:color w:val="auto"/>
          <w:kern w:val="0"/>
          <w:sz w:val="30"/>
          <w:szCs w:val="30"/>
          <w:highlight w:val="none"/>
          <w:lang w:val="en-US" w:eastAsia="zh-CN"/>
        </w:rPr>
        <w:t>种养殖业平衡，畜禽养殖尚有约40%的环境空间。</w:t>
      </w:r>
    </w:p>
    <w:p>
      <w:pPr>
        <w:pStyle w:val="7"/>
        <w:keepNext/>
        <w:keepLines/>
        <w:pageBreakBefore w:val="0"/>
        <w:widowControl w:val="0"/>
        <w:kinsoku/>
        <w:wordWrap/>
        <w:overflowPunct/>
        <w:topLinePunct w:val="0"/>
        <w:autoSpaceDE/>
        <w:autoSpaceDN/>
        <w:bidi w:val="0"/>
        <w:adjustRightInd/>
        <w:snapToGrid/>
        <w:spacing w:before="0" w:after="0" w:line="480" w:lineRule="auto"/>
        <w:jc w:val="both"/>
        <w:textAlignment w:val="auto"/>
        <w:outlineLvl w:val="3"/>
        <w:rPr>
          <w:color w:val="auto"/>
          <w:sz w:val="28"/>
          <w:szCs w:val="28"/>
        </w:rPr>
      </w:pPr>
      <w:r>
        <w:rPr>
          <w:color w:val="auto"/>
          <w:sz w:val="28"/>
          <w:szCs w:val="28"/>
        </w:rPr>
        <w:t>3.</w:t>
      </w:r>
      <w:r>
        <w:rPr>
          <w:rFonts w:hint="eastAsia"/>
          <w:color w:val="auto"/>
          <w:sz w:val="28"/>
          <w:szCs w:val="28"/>
          <w:lang w:val="en-US" w:eastAsia="zh-CN"/>
        </w:rPr>
        <w:t>4.2.2</w:t>
      </w:r>
      <w:r>
        <w:rPr>
          <w:rFonts w:hint="eastAsia"/>
          <w:color w:val="auto"/>
          <w:sz w:val="28"/>
          <w:szCs w:val="28"/>
        </w:rPr>
        <w:t>水资源承载力测算</w:t>
      </w:r>
    </w:p>
    <w:p>
      <w:pPr>
        <w:ind w:firstLine="560" w:firstLineChars="200"/>
        <w:rPr>
          <w:color w:val="auto"/>
          <w:sz w:val="28"/>
          <w:szCs w:val="28"/>
          <w:highlight w:val="none"/>
        </w:rPr>
      </w:pPr>
      <w:r>
        <w:rPr>
          <w:rFonts w:hint="eastAsia" w:eastAsia="仿宋_GB2312"/>
          <w:color w:val="auto"/>
          <w:kern w:val="0"/>
          <w:sz w:val="28"/>
          <w:szCs w:val="28"/>
          <w:highlight w:val="none"/>
          <w:lang w:val="en-US" w:eastAsia="zh-CN"/>
        </w:rPr>
        <w:t>根据调查，固镇县畜禽养殖用水主要来源于各乡镇自来水厂，取水源为地表水和地下水。由上文可知，固镇县2020年畜禽养殖折算猪当量为104.77万头。依据《安徽省行业用水定额》(DB34_T679-2019)表5畜牧业用水定额，取一个猪当量日用水量为30L/日·头（规模化养殖），则固镇县2020年畜禽养殖年总用水量为1147万m</w:t>
      </w:r>
      <w:r>
        <w:rPr>
          <w:rFonts w:hint="eastAsia" w:eastAsia="仿宋_GB2312"/>
          <w:color w:val="auto"/>
          <w:kern w:val="0"/>
          <w:sz w:val="28"/>
          <w:szCs w:val="28"/>
          <w:highlight w:val="none"/>
          <w:vertAlign w:val="superscript"/>
          <w:lang w:val="en-US" w:eastAsia="zh-CN"/>
        </w:rPr>
        <w:t>3</w:t>
      </w:r>
      <w:r>
        <w:rPr>
          <w:rFonts w:hint="eastAsia" w:eastAsia="仿宋_GB2312"/>
          <w:color w:val="auto"/>
          <w:kern w:val="0"/>
          <w:sz w:val="28"/>
          <w:szCs w:val="28"/>
          <w:highlight w:val="none"/>
          <w:lang w:val="en-US" w:eastAsia="zh-CN"/>
        </w:rPr>
        <w:t>（约0.13万m</w:t>
      </w:r>
      <w:r>
        <w:rPr>
          <w:rFonts w:hint="eastAsia" w:eastAsia="仿宋_GB2312"/>
          <w:color w:val="auto"/>
          <w:kern w:val="0"/>
          <w:sz w:val="28"/>
          <w:szCs w:val="28"/>
          <w:highlight w:val="none"/>
          <w:vertAlign w:val="superscript"/>
          <w:lang w:val="en-US" w:eastAsia="zh-CN"/>
        </w:rPr>
        <w:t>3</w:t>
      </w:r>
      <w:r>
        <w:rPr>
          <w:rFonts w:hint="eastAsia" w:eastAsia="仿宋_GB2312"/>
          <w:color w:val="auto"/>
          <w:kern w:val="0"/>
          <w:sz w:val="28"/>
          <w:szCs w:val="28"/>
          <w:highlight w:val="none"/>
          <w:lang w:val="en-US" w:eastAsia="zh-CN"/>
        </w:rPr>
        <w:t>/h），全县水资源总量为3.37亿m</w:t>
      </w:r>
      <w:r>
        <w:rPr>
          <w:rFonts w:hint="eastAsia" w:eastAsia="仿宋_GB2312"/>
          <w:color w:val="auto"/>
          <w:kern w:val="0"/>
          <w:sz w:val="28"/>
          <w:szCs w:val="28"/>
          <w:highlight w:val="none"/>
          <w:vertAlign w:val="superscript"/>
          <w:lang w:val="en-US" w:eastAsia="zh-CN"/>
        </w:rPr>
        <w:t>3</w:t>
      </w:r>
      <w:r>
        <w:rPr>
          <w:rFonts w:hint="eastAsia" w:eastAsia="仿宋_GB2312"/>
          <w:color w:val="auto"/>
          <w:kern w:val="0"/>
          <w:sz w:val="28"/>
          <w:szCs w:val="28"/>
          <w:highlight w:val="none"/>
          <w:lang w:val="en-US" w:eastAsia="zh-CN"/>
        </w:rPr>
        <w:t>，固镇县各乡镇自来水厂供水能力为1899.87万m</w:t>
      </w:r>
      <w:r>
        <w:rPr>
          <w:rFonts w:hint="eastAsia" w:eastAsia="仿宋_GB2312"/>
          <w:color w:val="auto"/>
          <w:kern w:val="0"/>
          <w:sz w:val="28"/>
          <w:szCs w:val="28"/>
          <w:highlight w:val="none"/>
          <w:vertAlign w:val="superscript"/>
          <w:lang w:val="en-US" w:eastAsia="zh-CN"/>
        </w:rPr>
        <w:t>3</w:t>
      </w:r>
      <w:r>
        <w:rPr>
          <w:rFonts w:hint="eastAsia" w:eastAsia="仿宋_GB2312"/>
          <w:color w:val="auto"/>
          <w:kern w:val="0"/>
          <w:sz w:val="28"/>
          <w:szCs w:val="28"/>
          <w:highlight w:val="none"/>
          <w:lang w:val="en-US" w:eastAsia="zh-CN"/>
        </w:rPr>
        <w:t>/h，畜禽养殖年总用水量占水资源总量的3.4%，且各乡镇自来水厂供水能力能够满足养殖需求。因此，水资源承载力可满足畜禽养殖发展需要。但考虑到部分区域时空分布不均，存在区域性缺水和季节性缺水。因此，应尽可能降低水资源消耗指标。</w:t>
      </w:r>
    </w:p>
    <w:p>
      <w:pPr>
        <w:pStyle w:val="6"/>
        <w:keepNext/>
        <w:keepLines/>
        <w:pageBreakBefore w:val="0"/>
        <w:widowControl w:val="0"/>
        <w:kinsoku/>
        <w:wordWrap/>
        <w:overflowPunct/>
        <w:topLinePunct w:val="0"/>
        <w:autoSpaceDE/>
        <w:autoSpaceDN/>
        <w:bidi w:val="0"/>
        <w:adjustRightInd/>
        <w:snapToGrid/>
        <w:spacing w:line="413" w:lineRule="auto"/>
        <w:textAlignment w:val="auto"/>
        <w:outlineLvl w:val="2"/>
        <w:rPr>
          <w:rFonts w:hint="eastAsia"/>
          <w:color w:val="auto"/>
          <w:lang w:val="en-US" w:eastAsia="zh-CN"/>
        </w:rPr>
      </w:pPr>
      <w:bookmarkStart w:id="77" w:name="_Toc90558535"/>
      <w:r>
        <w:rPr>
          <w:rFonts w:hint="eastAsia"/>
          <w:color w:val="auto"/>
          <w:lang w:val="en-US" w:eastAsia="zh-CN"/>
        </w:rPr>
        <w:t>3.4.3目标可达性分析</w:t>
      </w:r>
      <w:bookmarkEnd w:id="77"/>
    </w:p>
    <w:p>
      <w:pPr>
        <w:ind w:firstLine="600" w:firstLineChars="200"/>
        <w:rPr>
          <w:rFonts w:hint="eastAsia" w:eastAsia="仿宋_GB2312"/>
          <w:color w:val="auto"/>
          <w:kern w:val="0"/>
          <w:sz w:val="30"/>
          <w:szCs w:val="30"/>
          <w:lang w:val="en-US" w:eastAsia="zh-CN"/>
        </w:rPr>
      </w:pPr>
      <w:bookmarkStart w:id="78" w:name="_Hlk89873176"/>
      <w:r>
        <w:rPr>
          <w:rFonts w:hint="eastAsia" w:eastAsia="仿宋_GB2312"/>
          <w:color w:val="auto"/>
          <w:kern w:val="0"/>
          <w:sz w:val="30"/>
          <w:szCs w:val="30"/>
          <w:lang w:val="en-US" w:eastAsia="zh-CN"/>
        </w:rPr>
        <w:t>2020年，</w:t>
      </w:r>
      <w:r>
        <w:rPr>
          <w:rFonts w:hint="eastAsia" w:eastAsia="仿宋_GB2312"/>
          <w:color w:val="auto"/>
          <w:kern w:val="0"/>
          <w:sz w:val="30"/>
          <w:szCs w:val="30"/>
          <w:lang w:val="zh-CN" w:eastAsia="zh-CN"/>
        </w:rPr>
        <w:t>全县粪污资源化利用率已达到</w:t>
      </w:r>
      <w:r>
        <w:rPr>
          <w:rFonts w:hint="eastAsia" w:eastAsia="仿宋_GB2312"/>
          <w:color w:val="auto"/>
          <w:kern w:val="0"/>
          <w:sz w:val="30"/>
          <w:szCs w:val="30"/>
          <w:lang w:val="en-US" w:eastAsia="zh-CN"/>
        </w:rPr>
        <w:t>89.85%。截止到2021年底，依据农业农村部直连直报系统测算，全县规模养殖场粪污设施配套率100%，粪污资源化利用率超过90%，2021年规模养殖场已经完成粪污资源化利用率达到90%的目标任务。</w:t>
      </w:r>
    </w:p>
    <w:p>
      <w:pPr>
        <w:ind w:firstLine="600" w:firstLineChars="200"/>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“十四五”期间，</w:t>
      </w:r>
      <w:bookmarkStart w:id="79" w:name="_Hlk89868469"/>
      <w:r>
        <w:rPr>
          <w:rFonts w:hint="eastAsia" w:eastAsia="仿宋_GB2312"/>
          <w:color w:val="auto"/>
          <w:kern w:val="0"/>
          <w:sz w:val="30"/>
          <w:szCs w:val="30"/>
          <w:lang w:val="en-US" w:eastAsia="zh-CN"/>
        </w:rPr>
        <w:t>通过与畜禽养殖业环境监督执法、</w:t>
      </w:r>
      <w:bookmarkEnd w:id="79"/>
      <w:r>
        <w:rPr>
          <w:rFonts w:hint="eastAsia" w:eastAsia="仿宋_GB2312"/>
          <w:color w:val="auto"/>
          <w:kern w:val="0"/>
          <w:sz w:val="30"/>
          <w:szCs w:val="30"/>
          <w:lang w:val="en-US" w:eastAsia="zh-CN"/>
        </w:rPr>
        <w:t>畜牧业相关补贴政策的相结合，做好未配套粪污处理设施畜禽规模养殖场的配套工作，畜禽规模养殖场粪污处理设施装备配套率达到国家及省厅相关要求，实现规划目标。</w:t>
      </w:r>
    </w:p>
    <w:p>
      <w:pPr>
        <w:ind w:firstLine="600" w:firstLineChars="200"/>
        <w:rPr>
          <w:color w:val="auto"/>
        </w:rPr>
      </w:pPr>
      <w:r>
        <w:rPr>
          <w:rFonts w:hint="eastAsia" w:eastAsia="仿宋_GB2312"/>
          <w:color w:val="auto"/>
          <w:kern w:val="0"/>
          <w:sz w:val="30"/>
          <w:szCs w:val="30"/>
          <w:lang w:val="en-US" w:eastAsia="zh-CN"/>
        </w:rPr>
        <w:t>固镇县在“十三五”畜禽养殖污染防治管理过程中，要求采用资源化利用畜禽粪污的养殖场建立资源化利用台账，</w:t>
      </w:r>
      <w:bookmarkStart w:id="80" w:name="_Hlk89868446"/>
      <w:r>
        <w:rPr>
          <w:rFonts w:hint="eastAsia" w:eastAsia="仿宋_GB2312"/>
          <w:color w:val="auto"/>
          <w:kern w:val="0"/>
          <w:sz w:val="30"/>
          <w:szCs w:val="30"/>
          <w:lang w:val="en-US" w:eastAsia="zh-CN"/>
        </w:rPr>
        <w:t>“十四五”期间，</w:t>
      </w:r>
      <w:bookmarkEnd w:id="80"/>
      <w:r>
        <w:rPr>
          <w:rFonts w:hint="eastAsia" w:eastAsia="仿宋_GB2312"/>
          <w:color w:val="auto"/>
          <w:kern w:val="0"/>
          <w:sz w:val="30"/>
          <w:szCs w:val="30"/>
          <w:lang w:val="en-US" w:eastAsia="zh-CN"/>
        </w:rPr>
        <w:t>拟通过加强宣传，逐步推进粪肥利用台账制度实施，强化指导服务，做好粪肥利用台账培训等工作措施，规范台账制度落地、实施、监管工作，</w:t>
      </w:r>
      <w:bookmarkStart w:id="81" w:name="_Hlk89934414"/>
      <w:r>
        <w:rPr>
          <w:rFonts w:hint="eastAsia" w:eastAsia="仿宋_GB2312"/>
          <w:color w:val="auto"/>
          <w:kern w:val="0"/>
          <w:sz w:val="30"/>
          <w:szCs w:val="30"/>
          <w:lang w:val="en-US" w:eastAsia="zh-CN"/>
        </w:rPr>
        <w:t>畜禽规模养殖场资源化利用台账建设率达到国家和省相关要求</w:t>
      </w:r>
      <w:bookmarkEnd w:id="81"/>
      <w:r>
        <w:rPr>
          <w:rFonts w:hint="eastAsia" w:eastAsia="仿宋_GB2312"/>
          <w:color w:val="auto"/>
          <w:kern w:val="0"/>
          <w:sz w:val="30"/>
          <w:szCs w:val="30"/>
          <w:lang w:val="en-US" w:eastAsia="zh-CN"/>
        </w:rPr>
        <w:t>。</w:t>
      </w:r>
      <w:bookmarkEnd w:id="78"/>
      <w:r>
        <w:rPr>
          <w:color w:val="auto"/>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lang w:val="en-US" w:eastAsia="zh-CN"/>
        </w:rPr>
      </w:pPr>
      <w:bookmarkStart w:id="82" w:name="_Toc11291"/>
      <w:bookmarkStart w:id="83" w:name="_Toc29327"/>
      <w:bookmarkStart w:id="84" w:name="_Toc14143"/>
      <w:r>
        <w:rPr>
          <w:rFonts w:hint="eastAsia"/>
          <w:color w:val="auto"/>
          <w:lang w:val="en-US" w:eastAsia="zh-CN"/>
        </w:rPr>
        <w:t>4、畜禽养殖污染防治主要任务</w:t>
      </w:r>
      <w:bookmarkEnd w:id="82"/>
      <w:bookmarkEnd w:id="83"/>
      <w:bookmarkEnd w:id="84"/>
    </w:p>
    <w:p>
      <w:pPr>
        <w:pStyle w:val="5"/>
        <w:rPr>
          <w:color w:val="auto"/>
        </w:rPr>
      </w:pPr>
      <w:bookmarkStart w:id="85" w:name="_Toc12140"/>
      <w:bookmarkStart w:id="86" w:name="_Toc27288"/>
      <w:bookmarkStart w:id="87" w:name="_Toc9953"/>
      <w:r>
        <w:rPr>
          <w:color w:val="auto"/>
        </w:rPr>
        <w:t>4.1</w:t>
      </w:r>
      <w:r>
        <w:rPr>
          <w:rFonts w:hint="eastAsia"/>
          <w:color w:val="auto"/>
        </w:rPr>
        <w:t>畜禽养殖污染治理总体要求</w:t>
      </w:r>
      <w:bookmarkEnd w:id="85"/>
      <w:bookmarkEnd w:id="86"/>
      <w:bookmarkEnd w:id="87"/>
    </w:p>
    <w:p>
      <w:pPr>
        <w:keepNext w:val="0"/>
        <w:keepLines w:val="0"/>
        <w:pageBreakBefore w:val="0"/>
        <w:widowControl w:val="0"/>
        <w:kinsoku/>
        <w:wordWrap/>
        <w:overflowPunct/>
        <w:topLinePunct w:val="0"/>
        <w:autoSpaceDE/>
        <w:autoSpaceDN/>
        <w:bidi w:val="0"/>
        <w:adjustRightInd/>
        <w:snapToGrid/>
        <w:spacing w:beforeAutospacing="0" w:line="540" w:lineRule="exact"/>
        <w:ind w:right="-210" w:rightChars="-100" w:firstLine="640" w:firstLineChars="200"/>
        <w:jc w:val="left"/>
        <w:textAlignment w:val="auto"/>
        <w:outlineLvl w:val="9"/>
        <w:rPr>
          <w:color w:val="auto"/>
        </w:rPr>
      </w:pPr>
      <w:r>
        <w:rPr>
          <w:rFonts w:hint="eastAsia" w:ascii="Times New Roman" w:hAnsi="Times New Roman" w:eastAsia="仿宋"/>
          <w:color w:val="auto"/>
          <w:kern w:val="0"/>
          <w:sz w:val="32"/>
          <w:szCs w:val="32"/>
          <w:lang w:val="en-US" w:eastAsia="zh-CN"/>
        </w:rPr>
        <w:t>按照</w:t>
      </w:r>
      <w:r>
        <w:rPr>
          <w:rFonts w:hint="eastAsia" w:ascii="Times New Roman" w:hAnsi="Times New Roman" w:eastAsia="仿宋"/>
          <w:color w:val="auto"/>
          <w:kern w:val="0"/>
          <w:sz w:val="32"/>
          <w:szCs w:val="32"/>
          <w:lang w:eastAsia="zh-CN"/>
        </w:rPr>
        <w:t>《关于进一步规范畜禽（水产）养殖及粪污资源化利用管理的实施意见》（固政〔2021〕57号）文件</w:t>
      </w:r>
      <w:r>
        <w:rPr>
          <w:rFonts w:hint="eastAsia" w:ascii="Times New Roman" w:hAnsi="Times New Roman" w:eastAsia="仿宋"/>
          <w:color w:val="auto"/>
          <w:kern w:val="0"/>
          <w:sz w:val="32"/>
          <w:szCs w:val="32"/>
          <w:lang w:val="en-US" w:eastAsia="zh-CN"/>
        </w:rPr>
        <w:t>的要求</w:t>
      </w:r>
      <w:r>
        <w:rPr>
          <w:rFonts w:hint="eastAsia" w:ascii="Times New Roman" w:hAnsi="Times New Roman" w:eastAsia="仿宋"/>
          <w:color w:val="auto"/>
          <w:kern w:val="0"/>
          <w:sz w:val="32"/>
          <w:szCs w:val="32"/>
          <w:lang w:eastAsia="zh-CN"/>
        </w:rPr>
        <w:t>，强化用地、环评、防疫审批、明确责任分工，开展联合执法、整治村庄内小散养殖户、发展种养结合循环农业，进一步规范养殖业生产经营行为，从而达到产业布局逐步优化、规模养殖管控有力、规模以下养殖规范有序、畜禽粪污资源化利用水平进一步提高的目的。</w:t>
      </w:r>
      <w:bookmarkStart w:id="88" w:name="_Toc27901"/>
      <w:bookmarkStart w:id="89" w:name="_Toc26052"/>
    </w:p>
    <w:p>
      <w:pPr>
        <w:pStyle w:val="5"/>
        <w:rPr>
          <w:color w:val="auto"/>
        </w:rPr>
      </w:pPr>
      <w:bookmarkStart w:id="90" w:name="_Toc26993"/>
      <w:r>
        <w:rPr>
          <w:color w:val="auto"/>
        </w:rPr>
        <w:t>4.2</w:t>
      </w:r>
      <w:bookmarkStart w:id="91" w:name="_Hlk85715630"/>
      <w:r>
        <w:rPr>
          <w:rFonts w:hint="eastAsia"/>
          <w:color w:val="auto"/>
        </w:rPr>
        <w:t>提升畜禽粪污资源化利用水平</w:t>
      </w:r>
      <w:bookmarkEnd w:id="88"/>
      <w:bookmarkEnd w:id="89"/>
      <w:bookmarkEnd w:id="90"/>
      <w:bookmarkEnd w:id="91"/>
    </w:p>
    <w:p>
      <w:pPr>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firstLine="640" w:firstLineChars="200"/>
        <w:textAlignment w:val="auto"/>
        <w:outlineLvl w:val="9"/>
        <w:rPr>
          <w:rFonts w:hint="eastAsia" w:ascii="Times New Roman" w:hAnsi="Times New Roman" w:eastAsia="仿宋" w:cstheme="minorBidi"/>
          <w:b w:val="0"/>
          <w:color w:val="auto"/>
          <w:kern w:val="0"/>
          <w:sz w:val="32"/>
          <w:szCs w:val="32"/>
          <w:lang w:val="en-US" w:eastAsia="zh-CN" w:bidi="ar-SA"/>
        </w:rPr>
      </w:pPr>
      <w:bookmarkStart w:id="92" w:name="_Toc2696"/>
      <w:bookmarkStart w:id="93" w:name="_Toc23106"/>
      <w:bookmarkStart w:id="94" w:name="_Hlk79405094"/>
      <w:r>
        <w:rPr>
          <w:rFonts w:hint="eastAsia" w:ascii="Times New Roman" w:hAnsi="Times New Roman" w:eastAsia="仿宋" w:cstheme="minorBidi"/>
          <w:b w:val="0"/>
          <w:color w:val="auto"/>
          <w:kern w:val="0"/>
          <w:sz w:val="32"/>
          <w:szCs w:val="32"/>
          <w:lang w:val="en-US" w:eastAsia="zh-CN" w:bidi="ar-SA"/>
        </w:rPr>
        <w:t>畜禽规模养殖场粪污资源化利用应坚持农牧结合、种养平衡，按照资源化、减量化、无害化的原则，对源头减量、过程控制和末端利用各环节进行全程管理，提高粪污综合利用率和设施装备配套率。</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color w:val="auto"/>
          <w:lang w:val="en-US" w:eastAsia="zh-CN"/>
        </w:rPr>
      </w:pPr>
      <w:r>
        <w:rPr>
          <w:rFonts w:hint="eastAsia"/>
          <w:color w:val="auto"/>
          <w:lang w:val="en-US" w:eastAsia="zh-CN"/>
        </w:rPr>
        <w:t>4.2.1</w:t>
      </w:r>
      <w:bookmarkStart w:id="95" w:name="_Hlk89874106"/>
      <w:r>
        <w:rPr>
          <w:rFonts w:hint="eastAsia"/>
          <w:color w:val="auto"/>
          <w:lang w:val="en-US" w:eastAsia="zh-CN"/>
        </w:rPr>
        <w:t>粪污处理利用模式</w:t>
      </w:r>
      <w:bookmarkEnd w:id="92"/>
    </w:p>
    <w:bookmarkEnd w:id="95"/>
    <w:p>
      <w:pPr>
        <w:ind w:firstLine="600" w:firstLineChars="200"/>
        <w:rPr>
          <w:rFonts w:hint="eastAsia" w:eastAsia="仿宋_GB2312"/>
          <w:color w:val="auto"/>
          <w:kern w:val="0"/>
          <w:sz w:val="30"/>
          <w:szCs w:val="30"/>
          <w:lang w:val="en-US" w:eastAsia="zh-CN"/>
        </w:rPr>
      </w:pPr>
      <w:bookmarkStart w:id="96" w:name="_Hlk83803514"/>
      <w:r>
        <w:rPr>
          <w:rFonts w:hint="eastAsia" w:eastAsia="仿宋_GB2312"/>
          <w:color w:val="auto"/>
          <w:kern w:val="0"/>
          <w:sz w:val="30"/>
          <w:szCs w:val="30"/>
          <w:lang w:val="en-US" w:eastAsia="zh-CN"/>
        </w:rPr>
        <w:t>县域范围内自有消纳土地面积充</w:t>
      </w:r>
      <w:r>
        <w:rPr>
          <w:rFonts w:hint="eastAsia" w:eastAsia="仿宋_GB2312"/>
          <w:color w:val="5B9BD5" w:themeColor="accent1"/>
          <w:kern w:val="0"/>
          <w:sz w:val="30"/>
          <w:szCs w:val="30"/>
          <w:lang w:val="en-US" w:eastAsia="zh-CN"/>
          <w14:textFill>
            <w14:solidFill>
              <w14:schemeClr w14:val="accent1"/>
            </w14:solidFill>
          </w14:textFill>
        </w:rPr>
        <w:t>足的乡镇，</w:t>
      </w:r>
      <w:r>
        <w:rPr>
          <w:rFonts w:hint="eastAsia" w:eastAsia="仿宋_GB2312"/>
          <w:color w:val="auto"/>
          <w:kern w:val="0"/>
          <w:sz w:val="30"/>
          <w:szCs w:val="30"/>
          <w:lang w:val="en-US" w:eastAsia="zh-CN"/>
        </w:rPr>
        <w:t>规模养殖场（养殖户）粪污采用以下两种模式进行处理：</w:t>
      </w:r>
    </w:p>
    <w:p>
      <w:pPr>
        <w:ind w:firstLine="600" w:firstLineChars="200"/>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1、自主消纳</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自有消纳土地面积充足时，按照《畜禽粪便无害化卫生要求（GB 7959-2012）》《畜禽粪便无害化处理技术规范（GB/T 36195-2018）》有关要求，粪污规范贮存堆沤或厌氧发酵，保障粪污堆沤时长，确保达到无害化处理利用要求后施用。</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（1）粪污全量还田模式 </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对养殖场产生的粪便、粪水和污水集中收集，全部进入密封存储池贮存，粪污通过密封存储池贮存进行无害化处理，在施肥季节进行农田利用。</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粪污全量还田模式粪污收集、处理、贮存设施建设成本低，处理利用费用也较低；粪便、粪水和污水全量收集，养分利用率高。粪污贮存周期一般要达到100天以上，需要足够的土地建设密封存储池贮存设施，需配套专业化的搅拌设备、施肥机械、农田施用管网等。</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（2）粪便堆肥利用模式</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以规模养殖场的固体粪便为主，经好氧堆肥无害化处理后，就地农田利用或生产有机肥。好氧发酵温度高，粪便无害化处理较彻底，发酵周期短；堆肥处理提高粪便的附加值。固体粪便堆肥(生产垫料)宜采用条垛式、槽式、发酵仓、强制通风静态垛等好氧工艺，或其他适用技术，同时配套必要的混合、输送、搅拌、供氧等设施设备。</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en-US" w:eastAsia="zh-CN"/>
        </w:rPr>
      </w:pPr>
      <w:r>
        <w:rPr>
          <w:rFonts w:hint="eastAsia" w:eastAsia="仿宋_GB2312"/>
          <w:color w:val="auto"/>
          <w:kern w:val="0"/>
          <w:sz w:val="30"/>
          <w:szCs w:val="30"/>
          <w:lang w:val="en-US" w:eastAsia="zh-CN"/>
        </w:rPr>
        <w:t>（3）粪水肥料化利用模式</w:t>
      </w:r>
    </w:p>
    <w:p>
      <w:pPr>
        <w:ind w:firstLine="600" w:firstLineChars="200"/>
        <w:rPr>
          <w:color w:val="auto"/>
        </w:rPr>
      </w:pPr>
      <w:r>
        <w:rPr>
          <w:rFonts w:hint="eastAsia" w:eastAsia="仿宋_GB2312"/>
          <w:color w:val="auto"/>
          <w:kern w:val="0"/>
          <w:sz w:val="30"/>
          <w:szCs w:val="30"/>
          <w:lang w:val="en-US" w:eastAsia="zh-CN"/>
        </w:rPr>
        <w:t>养殖场产生的粪水经密封存储池处理储存后，在农田需肥和灌溉期间，将无害化处理的粪水与灌溉用水按照一定的比例混合，进行水肥一体化施用，为农田提供有机肥水资源，解决粪水处理压力。</w:t>
      </w:r>
    </w:p>
    <w:bookmarkEnd w:id="96"/>
    <w:p>
      <w:pPr>
        <w:adjustRightInd w:val="0"/>
        <w:snapToGrid w:val="0"/>
        <w:ind w:firstLine="0" w:firstLineChars="0"/>
        <w:jc w:val="center"/>
        <w:rPr>
          <w:color w:val="auto"/>
          <w:sz w:val="32"/>
          <w:szCs w:val="32"/>
        </w:rPr>
      </w:pPr>
      <w:r>
        <w:rPr>
          <w:color w:val="auto"/>
        </w:rPr>
        <w:drawing>
          <wp:inline distT="0" distB="0" distL="114300" distR="114300">
            <wp:extent cx="3952875" cy="1076325"/>
            <wp:effectExtent l="0" t="0" r="9525" b="9525"/>
            <wp:docPr id="3" name="图片 1" descr="1619161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19161668(1)"/>
                    <pic:cNvPicPr>
                      <a:picLocks noChangeAspect="1"/>
                    </pic:cNvPicPr>
                  </pic:nvPicPr>
                  <pic:blipFill>
                    <a:blip r:embed="rId8"/>
                    <a:stretch>
                      <a:fillRect/>
                    </a:stretch>
                  </pic:blipFill>
                  <pic:spPr>
                    <a:xfrm>
                      <a:off x="0" y="0"/>
                      <a:ext cx="3952875" cy="1076325"/>
                    </a:xfrm>
                    <a:prstGeom prst="rect">
                      <a:avLst/>
                    </a:prstGeom>
                    <a:noFill/>
                    <a:ln>
                      <a:noFill/>
                    </a:ln>
                  </pic:spPr>
                </pic:pic>
              </a:graphicData>
            </a:graphic>
          </wp:inline>
        </w:drawing>
      </w:r>
    </w:p>
    <w:p>
      <w:pPr>
        <w:pageBreakBefore w:val="0"/>
        <w:widowControl w:val="0"/>
        <w:kinsoku/>
        <w:wordWrap/>
        <w:overflowPunct/>
        <w:topLinePunct w:val="0"/>
        <w:autoSpaceDE/>
        <w:autoSpaceDN/>
        <w:bidi w:val="0"/>
        <w:spacing w:before="190"/>
        <w:jc w:val="center"/>
        <w:textAlignment w:val="auto"/>
        <w:outlineLvl w:val="9"/>
        <w:rPr>
          <w:color w:val="auto"/>
          <w:sz w:val="24"/>
          <w:szCs w:val="24"/>
        </w:rPr>
      </w:pPr>
      <w:r>
        <w:rPr>
          <w:rFonts w:hint="eastAsia" w:cs="仿宋"/>
          <w:color w:val="auto"/>
          <w:sz w:val="24"/>
          <w:szCs w:val="24"/>
        </w:rPr>
        <w:t>图</w:t>
      </w:r>
      <w:r>
        <w:rPr>
          <w:color w:val="auto"/>
          <w:sz w:val="24"/>
          <w:szCs w:val="24"/>
        </w:rPr>
        <w:t xml:space="preserve">4-1 </w:t>
      </w:r>
      <w:r>
        <w:rPr>
          <w:rFonts w:hint="eastAsia" w:cs="仿宋"/>
          <w:color w:val="auto"/>
          <w:sz w:val="24"/>
          <w:szCs w:val="24"/>
        </w:rPr>
        <w:t>养殖户推荐畜禽粪污贮存</w:t>
      </w:r>
      <w:r>
        <w:rPr>
          <w:color w:val="auto"/>
          <w:sz w:val="24"/>
          <w:szCs w:val="24"/>
        </w:rPr>
        <w:t>+</w:t>
      </w:r>
      <w:r>
        <w:rPr>
          <w:rFonts w:hint="eastAsia" w:cs="仿宋"/>
          <w:color w:val="auto"/>
          <w:sz w:val="24"/>
          <w:szCs w:val="24"/>
        </w:rPr>
        <w:t>就近还田模式</w:t>
      </w:r>
    </w:p>
    <w:p>
      <w:pPr>
        <w:pageBreakBefore w:val="0"/>
        <w:widowControl w:val="0"/>
        <w:kinsoku/>
        <w:wordWrap/>
        <w:overflowPunct/>
        <w:topLinePunct w:val="0"/>
        <w:autoSpaceDE/>
        <w:autoSpaceDN/>
        <w:bidi w:val="0"/>
        <w:ind w:firstLine="31680"/>
        <w:textAlignment w:val="auto"/>
        <w:outlineLvl w:val="9"/>
        <w:rPr>
          <w:color w:val="auto"/>
        </w:rPr>
      </w:pPr>
    </w:p>
    <w:p>
      <w:pPr>
        <w:pageBreakBefore w:val="0"/>
        <w:widowControl w:val="0"/>
        <w:kinsoku/>
        <w:wordWrap/>
        <w:overflowPunct/>
        <w:topLinePunct w:val="0"/>
        <w:autoSpaceDE/>
        <w:autoSpaceDN/>
        <w:bidi w:val="0"/>
        <w:ind w:firstLine="0" w:firstLineChars="0"/>
        <w:jc w:val="center"/>
        <w:textAlignment w:val="auto"/>
        <w:outlineLvl w:val="9"/>
        <w:rPr>
          <w:color w:val="auto"/>
          <w:sz w:val="32"/>
          <w:szCs w:val="32"/>
        </w:rPr>
      </w:pPr>
      <w:r>
        <w:rPr>
          <w:color w:val="auto"/>
        </w:rPr>
        <w:drawing>
          <wp:inline distT="0" distB="0" distL="114300" distR="114300">
            <wp:extent cx="4219575" cy="895350"/>
            <wp:effectExtent l="0" t="0" r="9525" b="0"/>
            <wp:docPr id="2" name="图片 2" descr="1619161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9161235(1)"/>
                    <pic:cNvPicPr>
                      <a:picLocks noChangeAspect="1"/>
                    </pic:cNvPicPr>
                  </pic:nvPicPr>
                  <pic:blipFill>
                    <a:blip r:embed="rId9"/>
                    <a:stretch>
                      <a:fillRect/>
                    </a:stretch>
                  </pic:blipFill>
                  <pic:spPr>
                    <a:xfrm>
                      <a:off x="0" y="0"/>
                      <a:ext cx="4219575" cy="895350"/>
                    </a:xfrm>
                    <a:prstGeom prst="rect">
                      <a:avLst/>
                    </a:prstGeom>
                    <a:noFill/>
                    <a:ln>
                      <a:noFill/>
                    </a:ln>
                  </pic:spPr>
                </pic:pic>
              </a:graphicData>
            </a:graphic>
          </wp:inline>
        </w:drawing>
      </w:r>
    </w:p>
    <w:p>
      <w:pPr>
        <w:pageBreakBefore w:val="0"/>
        <w:widowControl w:val="0"/>
        <w:kinsoku/>
        <w:wordWrap/>
        <w:overflowPunct/>
        <w:topLinePunct w:val="0"/>
        <w:autoSpaceDE/>
        <w:autoSpaceDN/>
        <w:bidi w:val="0"/>
        <w:spacing w:before="190"/>
        <w:jc w:val="center"/>
        <w:textAlignment w:val="auto"/>
        <w:outlineLvl w:val="9"/>
        <w:rPr>
          <w:color w:val="auto"/>
          <w:sz w:val="24"/>
          <w:szCs w:val="24"/>
        </w:rPr>
      </w:pPr>
      <w:r>
        <w:rPr>
          <w:rFonts w:hint="eastAsia" w:cs="仿宋"/>
          <w:color w:val="auto"/>
          <w:sz w:val="24"/>
          <w:szCs w:val="24"/>
        </w:rPr>
        <w:t>图</w:t>
      </w:r>
      <w:r>
        <w:rPr>
          <w:color w:val="auto"/>
          <w:sz w:val="24"/>
          <w:szCs w:val="24"/>
        </w:rPr>
        <w:t>4</w:t>
      </w:r>
      <w:r>
        <w:rPr>
          <w:rFonts w:hint="eastAsia"/>
          <w:color w:val="auto"/>
          <w:sz w:val="24"/>
          <w:szCs w:val="24"/>
          <w:lang w:val="en-US" w:eastAsia="zh-CN"/>
        </w:rPr>
        <w:t>-2</w:t>
      </w:r>
      <w:r>
        <w:rPr>
          <w:rFonts w:hint="eastAsia" w:cs="仿宋"/>
          <w:color w:val="auto"/>
          <w:sz w:val="24"/>
          <w:szCs w:val="24"/>
        </w:rPr>
        <w:t>养殖场推荐畜禽粪污厌氧</w:t>
      </w:r>
      <w:r>
        <w:rPr>
          <w:color w:val="auto"/>
          <w:sz w:val="24"/>
          <w:szCs w:val="24"/>
        </w:rPr>
        <w:t>+</w:t>
      </w:r>
      <w:r>
        <w:rPr>
          <w:rFonts w:hint="eastAsia" w:cs="仿宋"/>
          <w:color w:val="auto"/>
          <w:sz w:val="24"/>
          <w:szCs w:val="24"/>
        </w:rPr>
        <w:t>就近还田模式</w:t>
      </w:r>
    </w:p>
    <w:p>
      <w:pPr>
        <w:ind w:firstLine="560" w:firstLineChars="200"/>
        <w:rPr>
          <w:rFonts w:hint="eastAsia" w:eastAsia="仿宋_GB2312"/>
          <w:color w:val="auto"/>
          <w:kern w:val="0"/>
          <w:sz w:val="28"/>
          <w:szCs w:val="28"/>
          <w:lang w:val="en-US" w:eastAsia="zh-CN"/>
        </w:rPr>
      </w:pPr>
      <w:r>
        <w:rPr>
          <w:rFonts w:hint="eastAsia" w:eastAsia="仿宋_GB2312" w:cs="仿宋"/>
          <w:color w:val="auto"/>
          <w:sz w:val="28"/>
          <w:szCs w:val="28"/>
          <w:lang w:val="en-US" w:eastAsia="zh-CN"/>
        </w:rPr>
        <w:t>2、</w:t>
      </w:r>
      <w:r>
        <w:rPr>
          <w:rFonts w:hint="eastAsia" w:eastAsia="仿宋_GB2312"/>
          <w:color w:val="auto"/>
          <w:kern w:val="0"/>
          <w:sz w:val="28"/>
          <w:szCs w:val="28"/>
          <w:lang w:val="en-US" w:eastAsia="zh-CN"/>
        </w:rPr>
        <w:t>委托第三方处理利用</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color w:val="auto"/>
          <w:lang w:val="en-US" w:eastAsia="zh-CN"/>
        </w:rPr>
      </w:pPr>
      <w:r>
        <w:rPr>
          <w:rFonts w:hint="eastAsia" w:eastAsia="仿宋_GB2312"/>
          <w:color w:val="auto"/>
          <w:kern w:val="0"/>
          <w:sz w:val="30"/>
          <w:szCs w:val="30"/>
          <w:lang w:val="en-US" w:eastAsia="zh-CN"/>
        </w:rPr>
        <w:t>当规模养殖场（养殖户）周边粪污消纳土地不足时，以乡镇为基本单元，规模养殖场可将固体粪便委托处理，通过与有机肥厂、专业沼气工程企业、社会化粪肥服务机构、果菜茶种植基地、种植企业或合作社等第三方签订用肥协议，确定种养两端粪肥产用合作关系。</w:t>
      </w:r>
      <w:r>
        <w:rPr>
          <w:rFonts w:hint="eastAsia" w:eastAsia="仿宋_GB2312"/>
          <w:color w:val="5B9BD5" w:themeColor="accent1"/>
          <w:kern w:val="0"/>
          <w:sz w:val="30"/>
          <w:szCs w:val="30"/>
          <w:lang w:val="en-US" w:eastAsia="zh-CN"/>
          <w14:textFill>
            <w14:solidFill>
              <w14:schemeClr w14:val="accent1"/>
            </w14:solidFill>
          </w14:textFill>
        </w:rPr>
        <w:t>委托第三方公司</w:t>
      </w:r>
      <w:r>
        <w:rPr>
          <w:rFonts w:hint="eastAsia" w:eastAsia="仿宋_GB2312"/>
          <w:color w:val="auto"/>
          <w:kern w:val="0"/>
          <w:sz w:val="30"/>
          <w:szCs w:val="30"/>
          <w:lang w:val="en-US" w:eastAsia="zh-CN"/>
        </w:rPr>
        <w:t>收集周边养殖场粪便和粪水，投资建设大型沼气工程，进行厌氧发酵，沼气发电上网或提纯生物天然气，沼渣生产有机肥农田利用，沼液农田利用或深度处理达标排放</w:t>
      </w:r>
      <w:r>
        <w:rPr>
          <w:rFonts w:hint="eastAsia" w:ascii="Times New Roman" w:hAnsi="Times New Roman" w:eastAsia="仿宋_GB2312" w:cs="仿宋_GB2312"/>
          <w:color w:val="auto"/>
          <w:sz w:val="32"/>
          <w:szCs w:val="32"/>
          <w:lang w:eastAsia="zh-CN"/>
        </w:rPr>
        <w:t>。</w:t>
      </w:r>
    </w:p>
    <w:p>
      <w:pPr>
        <w:ind w:firstLine="0" w:firstLineChars="0"/>
        <w:jc w:val="center"/>
        <w:rPr>
          <w:b/>
          <w:bCs/>
          <w:color w:val="auto"/>
        </w:rPr>
      </w:pPr>
      <w:r>
        <w:rPr>
          <w:b/>
          <w:bCs/>
          <w:color w:val="auto"/>
        </w:rPr>
        <w:drawing>
          <wp:inline distT="0" distB="0" distL="114300" distR="114300">
            <wp:extent cx="5143500" cy="1857375"/>
            <wp:effectExtent l="0" t="0" r="0" b="9525"/>
            <wp:docPr id="5" name="图片 3" descr="1620202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620202207(1)"/>
                    <pic:cNvPicPr>
                      <a:picLocks noChangeAspect="1"/>
                    </pic:cNvPicPr>
                  </pic:nvPicPr>
                  <pic:blipFill>
                    <a:blip r:embed="rId10"/>
                    <a:stretch>
                      <a:fillRect/>
                    </a:stretch>
                  </pic:blipFill>
                  <pic:spPr>
                    <a:xfrm>
                      <a:off x="0" y="0"/>
                      <a:ext cx="5143500" cy="1857375"/>
                    </a:xfrm>
                    <a:prstGeom prst="rect">
                      <a:avLst/>
                    </a:prstGeom>
                    <a:noFill/>
                    <a:ln>
                      <a:noFill/>
                    </a:ln>
                  </pic:spPr>
                </pic:pic>
              </a:graphicData>
            </a:graphic>
          </wp:inline>
        </w:drawing>
      </w:r>
    </w:p>
    <w:p>
      <w:pPr>
        <w:pStyle w:val="2"/>
        <w:jc w:val="center"/>
        <w:rPr>
          <w:color w:val="auto"/>
          <w:sz w:val="24"/>
          <w:szCs w:val="24"/>
        </w:rPr>
      </w:pPr>
      <w:r>
        <w:rPr>
          <w:rFonts w:hint="eastAsia" w:cs="仿宋"/>
          <w:color w:val="auto"/>
          <w:sz w:val="24"/>
          <w:szCs w:val="24"/>
        </w:rPr>
        <w:t>图</w:t>
      </w:r>
      <w:r>
        <w:rPr>
          <w:rFonts w:hint="eastAsia"/>
          <w:color w:val="auto"/>
          <w:sz w:val="24"/>
          <w:szCs w:val="24"/>
          <w:lang w:val="en-US" w:eastAsia="zh-CN"/>
        </w:rPr>
        <w:t>4-3</w:t>
      </w:r>
      <w:r>
        <w:rPr>
          <w:color w:val="auto"/>
          <w:sz w:val="24"/>
          <w:szCs w:val="24"/>
        </w:rPr>
        <w:t xml:space="preserve"> </w:t>
      </w:r>
      <w:r>
        <w:rPr>
          <w:rFonts w:hint="eastAsia" w:cs="仿宋"/>
          <w:color w:val="auto"/>
          <w:sz w:val="24"/>
          <w:szCs w:val="24"/>
        </w:rPr>
        <w:t>畜禽固体粪肥委托处理</w:t>
      </w:r>
      <w:r>
        <w:rPr>
          <w:color w:val="auto"/>
          <w:sz w:val="24"/>
          <w:szCs w:val="24"/>
        </w:rPr>
        <w:t>+</w:t>
      </w:r>
      <w:r>
        <w:rPr>
          <w:rFonts w:hint="eastAsia" w:cs="仿宋"/>
          <w:color w:val="auto"/>
          <w:sz w:val="24"/>
          <w:szCs w:val="24"/>
        </w:rPr>
        <w:t>液体粪肥就近还田模式</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default"/>
          <w:color w:val="auto"/>
          <w:lang w:val="en-US" w:eastAsia="zh-CN"/>
        </w:rPr>
      </w:pPr>
      <w:r>
        <w:rPr>
          <w:rFonts w:hint="eastAsia"/>
          <w:color w:val="auto"/>
          <w:lang w:val="en-US" w:eastAsia="zh-CN"/>
        </w:rPr>
        <w:t>4.2.2 引进关键技术</w:t>
      </w:r>
      <w:bookmarkEnd w:id="93"/>
    </w:p>
    <w:p>
      <w:pPr>
        <w:spacing w:line="600" w:lineRule="exact"/>
        <w:ind w:firstLine="643" w:firstLineChars="200"/>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b/>
          <w:color w:val="auto"/>
          <w:sz w:val="32"/>
          <w:szCs w:val="32"/>
        </w:rPr>
        <w:t>1.低蛋白日粮配方技术。</w:t>
      </w:r>
      <w:r>
        <w:rPr>
          <w:rFonts w:hint="eastAsia" w:ascii="Times New Roman" w:hAnsi="Times New Roman" w:eastAsia="仿宋_GB2312" w:cs="仿宋_GB2312"/>
          <w:color w:val="auto"/>
          <w:sz w:val="32"/>
          <w:szCs w:val="32"/>
        </w:rPr>
        <w:t>参照</w:t>
      </w:r>
      <w:r>
        <w:rPr>
          <w:rFonts w:hint="eastAsia" w:ascii="Times New Roman" w:hAnsi="Times New Roman" w:eastAsia="仿宋_GB2312" w:cs="仿宋_GB2312"/>
          <w:b w:val="0"/>
          <w:bCs w:val="0"/>
          <w:color w:val="auto"/>
          <w:sz w:val="32"/>
          <w:szCs w:val="32"/>
        </w:rPr>
        <w:t>《仔猪、生长育肥猪配合饲料》（GB/T 5915-2020）</w:t>
      </w:r>
      <w:r>
        <w:rPr>
          <w:rFonts w:hint="eastAsia" w:ascii="Times New Roman" w:hAnsi="Times New Roman" w:eastAsia="仿宋_GB2312" w:cs="仿宋_GB2312"/>
          <w:color w:val="auto"/>
          <w:sz w:val="32"/>
          <w:szCs w:val="32"/>
        </w:rPr>
        <w:t>和</w:t>
      </w:r>
      <w:r>
        <w:rPr>
          <w:rFonts w:hint="eastAsia" w:ascii="Times New Roman" w:hAnsi="Times New Roman" w:eastAsia="仿宋_GB2312" w:cs="仿宋_GB2312"/>
          <w:b w:val="0"/>
          <w:bCs w:val="0"/>
          <w:color w:val="auto"/>
          <w:sz w:val="32"/>
          <w:szCs w:val="32"/>
        </w:rPr>
        <w:t>《产蛋鸡和肉鸡配合饲料》（GB/T 5916-2020）</w:t>
      </w:r>
      <w:r>
        <w:rPr>
          <w:rFonts w:hint="eastAsia" w:ascii="Times New Roman" w:hAnsi="Times New Roman" w:eastAsia="仿宋_GB2312" w:cs="仿宋_GB2312"/>
          <w:color w:val="auto"/>
          <w:sz w:val="32"/>
          <w:szCs w:val="32"/>
        </w:rPr>
        <w:t>，在确保不影响生猪和家禽生产性能和产品品质的</w:t>
      </w:r>
      <w:r>
        <w:rPr>
          <w:rFonts w:hint="eastAsia" w:ascii="Times New Roman" w:hAnsi="Times New Roman" w:eastAsia="仿宋_GB2312" w:cs="仿宋_GB2312"/>
          <w:color w:val="auto"/>
          <w:sz w:val="32"/>
          <w:szCs w:val="32"/>
          <w:lang w:eastAsia="zh-CN"/>
        </w:rPr>
        <w:t>前提</w:t>
      </w:r>
      <w:r>
        <w:rPr>
          <w:rFonts w:hint="eastAsia" w:ascii="Times New Roman" w:hAnsi="Times New Roman" w:eastAsia="仿宋_GB2312" w:cs="仿宋_GB2312"/>
          <w:color w:val="auto"/>
          <w:sz w:val="32"/>
          <w:szCs w:val="32"/>
        </w:rPr>
        <w:t>下</w:t>
      </w:r>
      <w:r>
        <w:rPr>
          <w:rFonts w:hint="eastAsia" w:ascii="Times New Roman" w:hAnsi="Times New Roman" w:eastAsia="仿宋_GB2312" w:cs="仿宋_GB2312"/>
          <w:color w:val="auto"/>
          <w:sz w:val="32"/>
          <w:szCs w:val="32"/>
          <w:lang w:eastAsia="zh-CN"/>
        </w:rPr>
        <w:t>，合理添加氨基酸和酶制剂，</w:t>
      </w:r>
      <w:r>
        <w:rPr>
          <w:rFonts w:hint="eastAsia" w:ascii="Times New Roman" w:hAnsi="Times New Roman" w:eastAsia="仿宋_GB2312" w:cs="仿宋_GB2312"/>
          <w:color w:val="auto"/>
          <w:sz w:val="32"/>
          <w:szCs w:val="32"/>
        </w:rPr>
        <w:t>降低日粮</w:t>
      </w:r>
      <w:r>
        <w:rPr>
          <w:rFonts w:hint="eastAsia" w:ascii="Times New Roman" w:hAnsi="Times New Roman" w:eastAsia="仿宋_GB2312" w:cs="仿宋_GB2312"/>
          <w:color w:val="auto"/>
          <w:sz w:val="32"/>
          <w:szCs w:val="32"/>
          <w:lang w:eastAsia="zh-CN"/>
        </w:rPr>
        <w:t>中粗</w:t>
      </w:r>
      <w:r>
        <w:rPr>
          <w:rFonts w:hint="eastAsia" w:ascii="Times New Roman" w:hAnsi="Times New Roman" w:eastAsia="仿宋_GB2312" w:cs="仿宋_GB2312"/>
          <w:color w:val="auto"/>
          <w:sz w:val="32"/>
          <w:szCs w:val="32"/>
        </w:rPr>
        <w:t>蛋白</w:t>
      </w:r>
      <w:r>
        <w:rPr>
          <w:rFonts w:hint="eastAsia" w:ascii="Times New Roman" w:hAnsi="Times New Roman" w:eastAsia="仿宋_GB2312" w:cs="仿宋_GB2312"/>
          <w:color w:val="auto"/>
          <w:sz w:val="32"/>
          <w:szCs w:val="32"/>
          <w:lang w:eastAsia="zh-CN"/>
        </w:rPr>
        <w:t>质含量</w:t>
      </w:r>
      <w:r>
        <w:rPr>
          <w:rFonts w:hint="eastAsia" w:ascii="Times New Roman" w:hAnsi="Times New Roman" w:eastAsia="仿宋_GB2312" w:cs="仿宋_GB2312"/>
          <w:color w:val="auto"/>
          <w:sz w:val="32"/>
          <w:szCs w:val="32"/>
        </w:rPr>
        <w:t>，提高饲料</w:t>
      </w:r>
      <w:r>
        <w:rPr>
          <w:rFonts w:hint="eastAsia" w:ascii="Times New Roman" w:hAnsi="Times New Roman" w:eastAsia="仿宋_GB2312" w:cs="仿宋_GB2312"/>
          <w:color w:val="auto"/>
          <w:sz w:val="32"/>
          <w:szCs w:val="32"/>
          <w:lang w:eastAsia="zh-CN"/>
        </w:rPr>
        <w:t>氮利用</w:t>
      </w:r>
      <w:r>
        <w:rPr>
          <w:rFonts w:hint="eastAsia" w:ascii="Times New Roman" w:hAnsi="Times New Roman" w:eastAsia="仿宋_GB2312" w:cs="仿宋_GB2312"/>
          <w:color w:val="auto"/>
          <w:sz w:val="32"/>
          <w:szCs w:val="32"/>
        </w:rPr>
        <w:t>效率。</w:t>
      </w:r>
    </w:p>
    <w:p>
      <w:pPr>
        <w:spacing w:line="600" w:lineRule="exact"/>
        <w:ind w:firstLine="643" w:firstLineChars="200"/>
        <w:rPr>
          <w:rFonts w:hint="eastAsia" w:ascii="Times New Roman" w:hAnsi="Times New Roman" w:eastAsia="仿宋_GB2312" w:cs="仿宋_GB2312"/>
          <w:color w:val="auto"/>
          <w:sz w:val="32"/>
          <w:szCs w:val="32"/>
        </w:rPr>
      </w:pPr>
      <w:r>
        <w:rPr>
          <w:rFonts w:hint="eastAsia" w:ascii="Times New Roman" w:hAnsi="Times New Roman" w:eastAsia="仿宋_GB2312" w:cs="仿宋_GB2312"/>
          <w:b/>
          <w:bCs/>
          <w:color w:val="auto"/>
          <w:sz w:val="32"/>
          <w:szCs w:val="32"/>
          <w:lang w:eastAsia="zh-CN"/>
        </w:rPr>
        <w:t>2.优化畜舍清粪技术。</w:t>
      </w:r>
      <w:r>
        <w:rPr>
          <w:rFonts w:hint="eastAsia" w:ascii="Times New Roman" w:hAnsi="Times New Roman" w:eastAsia="仿宋_GB2312" w:cs="仿宋_GB2312"/>
          <w:color w:val="auto"/>
          <w:sz w:val="32"/>
          <w:szCs w:val="32"/>
        </w:rPr>
        <w:t>采用</w:t>
      </w:r>
      <w:r>
        <w:rPr>
          <w:rFonts w:hint="eastAsia" w:ascii="Times New Roman" w:hAnsi="Times New Roman" w:eastAsia="仿宋_GB2312" w:cs="仿宋_GB2312"/>
          <w:b w:val="0"/>
          <w:color w:val="auto"/>
          <w:sz w:val="32"/>
          <w:szCs w:val="32"/>
        </w:rPr>
        <w:t>干清粪工艺</w:t>
      </w:r>
      <w:r>
        <w:rPr>
          <w:rFonts w:hint="eastAsia" w:ascii="Times New Roman" w:hAnsi="Times New Roman" w:eastAsia="仿宋_GB2312" w:cs="仿宋_GB2312"/>
          <w:color w:val="auto"/>
          <w:sz w:val="32"/>
          <w:szCs w:val="32"/>
        </w:rPr>
        <w:t>的</w:t>
      </w:r>
      <w:r>
        <w:rPr>
          <w:rFonts w:hint="eastAsia" w:ascii="Times New Roman" w:hAnsi="Times New Roman" w:eastAsia="仿宋_GB2312" w:cs="仿宋_GB2312"/>
          <w:b w:val="0"/>
          <w:color w:val="auto"/>
          <w:sz w:val="32"/>
          <w:szCs w:val="32"/>
        </w:rPr>
        <w:t>畜禽</w:t>
      </w:r>
      <w:r>
        <w:rPr>
          <w:rFonts w:hint="eastAsia" w:ascii="Times New Roman" w:hAnsi="Times New Roman" w:eastAsia="仿宋_GB2312" w:cs="仿宋_GB2312"/>
          <w:b w:val="0"/>
          <w:color w:val="auto"/>
          <w:sz w:val="32"/>
          <w:szCs w:val="32"/>
          <w:lang w:eastAsia="zh-CN"/>
        </w:rPr>
        <w:t>养殖</w:t>
      </w:r>
      <w:r>
        <w:rPr>
          <w:rFonts w:hint="eastAsia" w:ascii="Times New Roman" w:hAnsi="Times New Roman" w:eastAsia="仿宋_GB2312" w:cs="仿宋_GB2312"/>
          <w:b w:val="0"/>
          <w:color w:val="auto"/>
          <w:sz w:val="32"/>
          <w:szCs w:val="32"/>
        </w:rPr>
        <w:t>场</w:t>
      </w:r>
      <w:r>
        <w:rPr>
          <w:rFonts w:hint="eastAsia" w:ascii="Times New Roman" w:hAnsi="Times New Roman" w:eastAsia="仿宋_GB2312" w:cs="仿宋_GB2312"/>
          <w:b w:val="0"/>
          <w:color w:val="auto"/>
          <w:sz w:val="32"/>
          <w:szCs w:val="32"/>
          <w:lang w:eastAsia="zh-CN"/>
        </w:rPr>
        <w:t>户</w:t>
      </w:r>
      <w:r>
        <w:rPr>
          <w:rFonts w:hint="eastAsia" w:ascii="Times New Roman" w:hAnsi="Times New Roman" w:eastAsia="仿宋_GB2312" w:cs="仿宋_GB2312"/>
          <w:b w:val="0"/>
          <w:color w:val="auto"/>
          <w:sz w:val="32"/>
          <w:szCs w:val="32"/>
        </w:rPr>
        <w:t>，</w:t>
      </w:r>
      <w:r>
        <w:rPr>
          <w:rFonts w:hint="eastAsia" w:ascii="Times New Roman" w:hAnsi="Times New Roman" w:eastAsia="仿宋_GB2312" w:cs="仿宋_GB2312"/>
          <w:b w:val="0"/>
          <w:color w:val="auto"/>
          <w:sz w:val="32"/>
          <w:szCs w:val="32"/>
          <w:lang w:eastAsia="zh-CN"/>
        </w:rPr>
        <w:t>若原有舍内清粪频率较低，可</w:t>
      </w:r>
      <w:r>
        <w:rPr>
          <w:rFonts w:hint="eastAsia" w:ascii="Times New Roman" w:hAnsi="Times New Roman" w:eastAsia="仿宋_GB2312" w:cs="仿宋_GB2312"/>
          <w:color w:val="auto"/>
          <w:sz w:val="32"/>
          <w:szCs w:val="32"/>
        </w:rPr>
        <w:t>适当</w:t>
      </w:r>
      <w:r>
        <w:rPr>
          <w:rFonts w:hint="eastAsia" w:ascii="Times New Roman" w:hAnsi="Times New Roman" w:eastAsia="仿宋_GB2312" w:cs="仿宋_GB2312"/>
          <w:color w:val="auto"/>
          <w:sz w:val="32"/>
          <w:szCs w:val="32"/>
          <w:lang w:eastAsia="zh-CN"/>
        </w:rPr>
        <w:t>将</w:t>
      </w:r>
      <w:r>
        <w:rPr>
          <w:rFonts w:hint="eastAsia" w:ascii="Times New Roman" w:hAnsi="Times New Roman" w:eastAsia="仿宋_GB2312" w:cs="仿宋_GB2312"/>
          <w:color w:val="auto"/>
          <w:sz w:val="32"/>
          <w:szCs w:val="32"/>
        </w:rPr>
        <w:t>清粪频率增加</w:t>
      </w:r>
      <w:r>
        <w:rPr>
          <w:rFonts w:hint="eastAsia" w:ascii="Times New Roman" w:hAnsi="Times New Roman" w:eastAsia="仿宋_GB2312" w:cs="仿宋_GB2312"/>
          <w:color w:val="auto"/>
          <w:sz w:val="32"/>
          <w:szCs w:val="32"/>
          <w:lang w:val="en-US" w:eastAsia="zh-CN"/>
        </w:rPr>
        <w:t>1-2次/天</w:t>
      </w:r>
      <w:r>
        <w:rPr>
          <w:rFonts w:hint="eastAsia" w:ascii="Times New Roman" w:hAnsi="Times New Roman" w:eastAsia="仿宋_GB2312" w:cs="仿宋_GB2312"/>
          <w:color w:val="auto"/>
          <w:sz w:val="32"/>
          <w:szCs w:val="32"/>
        </w:rPr>
        <w:t>，</w:t>
      </w:r>
      <w:r>
        <w:rPr>
          <w:rFonts w:hint="eastAsia" w:ascii="Times New Roman" w:hAnsi="Times New Roman" w:eastAsia="仿宋_GB2312" w:cs="仿宋_GB2312"/>
          <w:color w:val="auto"/>
          <w:sz w:val="32"/>
          <w:szCs w:val="32"/>
          <w:lang w:eastAsia="zh-CN"/>
        </w:rPr>
        <w:t>减少</w:t>
      </w:r>
      <w:r>
        <w:rPr>
          <w:rFonts w:hint="eastAsia" w:ascii="Times New Roman" w:hAnsi="Times New Roman" w:eastAsia="仿宋_GB2312" w:cs="仿宋_GB2312"/>
          <w:color w:val="auto"/>
          <w:sz w:val="32"/>
          <w:szCs w:val="32"/>
        </w:rPr>
        <w:t>粪尿在舍内停留时间；</w:t>
      </w:r>
      <w:r>
        <w:rPr>
          <w:rFonts w:hint="eastAsia" w:ascii="Times New Roman" w:hAnsi="Times New Roman" w:eastAsia="仿宋_GB2312" w:cs="仿宋_GB2312"/>
          <w:color w:val="auto"/>
          <w:sz w:val="32"/>
          <w:szCs w:val="32"/>
          <w:lang w:eastAsia="zh-CN"/>
        </w:rPr>
        <w:t>采用</w:t>
      </w:r>
      <w:r>
        <w:rPr>
          <w:rFonts w:hint="eastAsia" w:ascii="Times New Roman" w:hAnsi="Times New Roman" w:eastAsia="仿宋_GB2312" w:cs="仿宋_GB2312"/>
          <w:color w:val="auto"/>
          <w:sz w:val="32"/>
          <w:szCs w:val="32"/>
        </w:rPr>
        <w:t>水泡粪工艺</w:t>
      </w:r>
      <w:r>
        <w:rPr>
          <w:rFonts w:hint="eastAsia" w:ascii="Times New Roman" w:hAnsi="Times New Roman" w:eastAsia="仿宋_GB2312" w:cs="仿宋_GB2312"/>
          <w:color w:val="auto"/>
          <w:sz w:val="32"/>
          <w:szCs w:val="32"/>
          <w:lang w:eastAsia="zh-CN"/>
        </w:rPr>
        <w:t>的</w:t>
      </w:r>
      <w:r>
        <w:rPr>
          <w:rFonts w:hint="eastAsia" w:ascii="Times New Roman" w:hAnsi="Times New Roman" w:eastAsia="仿宋_GB2312" w:cs="仿宋_GB2312"/>
          <w:color w:val="auto"/>
          <w:sz w:val="32"/>
          <w:szCs w:val="32"/>
        </w:rPr>
        <w:t>畜禽</w:t>
      </w:r>
      <w:r>
        <w:rPr>
          <w:rFonts w:hint="eastAsia" w:ascii="Times New Roman" w:hAnsi="Times New Roman" w:eastAsia="仿宋_GB2312" w:cs="仿宋_GB2312"/>
          <w:color w:val="auto"/>
          <w:sz w:val="32"/>
          <w:szCs w:val="32"/>
          <w:lang w:eastAsia="zh-CN"/>
        </w:rPr>
        <w:t>养殖</w:t>
      </w:r>
      <w:r>
        <w:rPr>
          <w:rFonts w:hint="eastAsia" w:ascii="Times New Roman" w:hAnsi="Times New Roman" w:eastAsia="仿宋_GB2312" w:cs="仿宋_GB2312"/>
          <w:color w:val="auto"/>
          <w:sz w:val="32"/>
          <w:szCs w:val="32"/>
        </w:rPr>
        <w:t>场</w:t>
      </w:r>
      <w:r>
        <w:rPr>
          <w:rFonts w:hint="eastAsia" w:ascii="Times New Roman" w:hAnsi="Times New Roman" w:eastAsia="仿宋_GB2312" w:cs="仿宋_GB2312"/>
          <w:color w:val="auto"/>
          <w:sz w:val="32"/>
          <w:szCs w:val="32"/>
          <w:lang w:eastAsia="zh-CN"/>
        </w:rPr>
        <w:t>户</w:t>
      </w:r>
      <w:r>
        <w:rPr>
          <w:rFonts w:hint="eastAsia" w:ascii="Times New Roman" w:hAnsi="Times New Roman" w:eastAsia="仿宋_GB2312" w:cs="仿宋_GB2312"/>
          <w:color w:val="auto"/>
          <w:sz w:val="32"/>
          <w:szCs w:val="32"/>
        </w:rPr>
        <w:t>，选择深坑贮存或浅坑贮存工艺，</w:t>
      </w:r>
      <w:r>
        <w:rPr>
          <w:rFonts w:hint="eastAsia" w:ascii="Times New Roman" w:hAnsi="Times New Roman" w:eastAsia="仿宋_GB2312" w:cs="仿宋_GB2312"/>
          <w:color w:val="auto"/>
          <w:sz w:val="32"/>
          <w:szCs w:val="32"/>
          <w:lang w:eastAsia="zh-CN"/>
        </w:rPr>
        <w:t>必要时</w:t>
      </w:r>
      <w:r>
        <w:rPr>
          <w:rFonts w:hint="eastAsia" w:ascii="Times New Roman" w:hAnsi="Times New Roman" w:eastAsia="仿宋_GB2312" w:cs="仿宋_GB2312"/>
          <w:color w:val="auto"/>
          <w:sz w:val="32"/>
          <w:szCs w:val="32"/>
        </w:rPr>
        <w:t>配置地沟风机</w:t>
      </w:r>
      <w:r>
        <w:rPr>
          <w:rFonts w:hint="eastAsia" w:ascii="Times New Roman" w:hAnsi="Times New Roman" w:eastAsia="仿宋_GB2312" w:cs="仿宋_GB2312"/>
          <w:color w:val="auto"/>
          <w:sz w:val="32"/>
          <w:szCs w:val="32"/>
          <w:lang w:eastAsia="zh-CN"/>
        </w:rPr>
        <w:t>，每头</w:t>
      </w:r>
      <w:r>
        <w:rPr>
          <w:rFonts w:hint="eastAsia" w:ascii="Times New Roman" w:hAnsi="Times New Roman" w:eastAsia="仿宋_GB2312" w:cs="仿宋_GB2312"/>
          <w:color w:val="auto"/>
          <w:sz w:val="32"/>
          <w:szCs w:val="32"/>
        </w:rPr>
        <w:t>育肥猪日均粪污产生总量</w:t>
      </w:r>
      <w:r>
        <w:rPr>
          <w:rFonts w:hint="eastAsia" w:ascii="Times New Roman" w:hAnsi="Times New Roman" w:eastAsia="仿宋_GB2312" w:cs="仿宋_GB2312"/>
          <w:color w:val="auto"/>
          <w:sz w:val="32"/>
          <w:szCs w:val="32"/>
          <w:lang w:eastAsia="zh-CN"/>
        </w:rPr>
        <w:t>不超过</w:t>
      </w:r>
      <w:r>
        <w:rPr>
          <w:rFonts w:hint="eastAsia" w:ascii="Times New Roman" w:hAnsi="Times New Roman" w:eastAsia="仿宋_GB2312" w:cs="仿宋_GB2312"/>
          <w:color w:val="auto"/>
          <w:sz w:val="32"/>
          <w:szCs w:val="32"/>
          <w:lang w:val="en-US" w:eastAsia="zh-CN"/>
        </w:rPr>
        <w:t>0.0</w:t>
      </w:r>
      <w:r>
        <w:rPr>
          <w:rFonts w:hint="eastAsia" w:ascii="Times New Roman" w:hAnsi="Times New Roman" w:eastAsia="仿宋_GB2312" w:cs="仿宋_GB2312"/>
          <w:color w:val="auto"/>
          <w:sz w:val="32"/>
          <w:szCs w:val="32"/>
          <w:lang w:eastAsia="zh-CN"/>
        </w:rPr>
        <w:t>15立方米</w:t>
      </w:r>
      <w:r>
        <w:rPr>
          <w:rFonts w:hint="eastAsia" w:ascii="Times New Roman" w:hAnsi="Times New Roman" w:eastAsia="仿宋_GB2312" w:cs="仿宋_GB2312"/>
          <w:color w:val="auto"/>
          <w:sz w:val="32"/>
          <w:szCs w:val="32"/>
        </w:rPr>
        <w:t>。</w:t>
      </w:r>
    </w:p>
    <w:p>
      <w:pPr>
        <w:spacing w:line="600" w:lineRule="exact"/>
        <w:ind w:firstLine="643" w:firstLineChars="200"/>
        <w:rPr>
          <w:rFonts w:hint="default" w:ascii="Times New Roman" w:hAnsi="Times New Roman" w:eastAsia="仿宋_GB2312" w:cs="仿宋_GB2312"/>
          <w:color w:val="auto"/>
          <w:sz w:val="32"/>
          <w:szCs w:val="32"/>
          <w:lang w:eastAsia="zh-CN"/>
        </w:rPr>
      </w:pPr>
      <w:r>
        <w:rPr>
          <w:rFonts w:hint="eastAsia" w:ascii="Times New Roman" w:hAnsi="Times New Roman" w:eastAsia="仿宋_GB2312" w:cs="仿宋_GB2312"/>
          <w:b/>
          <w:color w:val="auto"/>
          <w:sz w:val="32"/>
          <w:szCs w:val="32"/>
        </w:rPr>
        <w:t>3.</w:t>
      </w:r>
      <w:r>
        <w:rPr>
          <w:rFonts w:hint="default" w:ascii="Times New Roman" w:hAnsi="Times New Roman" w:eastAsia="仿宋_GB2312" w:cs="仿宋_GB2312"/>
          <w:b/>
          <w:color w:val="auto"/>
          <w:sz w:val="32"/>
          <w:szCs w:val="32"/>
        </w:rPr>
        <w:t>生物</w:t>
      </w:r>
      <w:r>
        <w:rPr>
          <w:rFonts w:hint="eastAsia" w:ascii="Times New Roman" w:hAnsi="Times New Roman" w:eastAsia="仿宋_GB2312" w:cs="仿宋_GB2312"/>
          <w:b/>
          <w:color w:val="auto"/>
          <w:sz w:val="32"/>
          <w:szCs w:val="32"/>
        </w:rPr>
        <w:t>发酵床养殖技术。</w:t>
      </w:r>
      <w:r>
        <w:rPr>
          <w:rFonts w:hint="eastAsia" w:ascii="Times New Roman" w:hAnsi="Times New Roman" w:eastAsia="仿宋_GB2312" w:cs="仿宋_GB2312"/>
          <w:color w:val="auto"/>
          <w:sz w:val="32"/>
          <w:szCs w:val="32"/>
        </w:rPr>
        <w:t>采用稻壳、锯末、碎秸秆等</w:t>
      </w:r>
      <w:r>
        <w:rPr>
          <w:rFonts w:hint="default" w:ascii="Times New Roman" w:hAnsi="Times New Roman" w:eastAsia="仿宋_GB2312" w:cs="仿宋_GB2312"/>
          <w:color w:val="auto"/>
          <w:sz w:val="32"/>
          <w:szCs w:val="32"/>
        </w:rPr>
        <w:t>作为</w:t>
      </w:r>
      <w:r>
        <w:rPr>
          <w:rFonts w:hint="eastAsia" w:ascii="Times New Roman" w:hAnsi="Times New Roman" w:eastAsia="仿宋_GB2312" w:cs="仿宋_GB2312"/>
          <w:color w:val="auto"/>
          <w:sz w:val="32"/>
          <w:szCs w:val="32"/>
        </w:rPr>
        <w:t>生物发酵床垫料，定期</w:t>
      </w:r>
      <w:r>
        <w:rPr>
          <w:rFonts w:hint="eastAsia" w:ascii="Times New Roman" w:hAnsi="Times New Roman" w:eastAsia="仿宋_GB2312" w:cs="仿宋_GB2312"/>
          <w:color w:val="auto"/>
          <w:sz w:val="32"/>
          <w:szCs w:val="32"/>
          <w:lang w:eastAsia="zh-CN"/>
        </w:rPr>
        <w:t>在</w:t>
      </w:r>
      <w:r>
        <w:rPr>
          <w:rFonts w:hint="eastAsia" w:ascii="Times New Roman" w:hAnsi="Times New Roman" w:eastAsia="仿宋_GB2312" w:cs="仿宋_GB2312"/>
          <w:color w:val="auto"/>
          <w:sz w:val="32"/>
          <w:szCs w:val="32"/>
        </w:rPr>
        <w:t>垫料</w:t>
      </w:r>
      <w:r>
        <w:rPr>
          <w:rFonts w:hint="eastAsia" w:ascii="Times New Roman" w:hAnsi="Times New Roman" w:eastAsia="仿宋_GB2312" w:cs="仿宋_GB2312"/>
          <w:color w:val="auto"/>
          <w:sz w:val="32"/>
          <w:szCs w:val="32"/>
          <w:lang w:eastAsia="zh-CN"/>
        </w:rPr>
        <w:t>上</w:t>
      </w:r>
      <w:r>
        <w:rPr>
          <w:rFonts w:hint="eastAsia" w:ascii="Times New Roman" w:hAnsi="Times New Roman" w:eastAsia="仿宋_GB2312" w:cs="仿宋_GB2312"/>
          <w:color w:val="auto"/>
          <w:sz w:val="32"/>
          <w:szCs w:val="32"/>
        </w:rPr>
        <w:t>喷洒微生物菌剂</w:t>
      </w:r>
      <w:r>
        <w:rPr>
          <w:rFonts w:hint="default" w:ascii="Times New Roman" w:hAnsi="Times New Roman" w:eastAsia="仿宋_GB2312" w:cs="仿宋_GB2312"/>
          <w:color w:val="auto"/>
          <w:sz w:val="32"/>
          <w:szCs w:val="32"/>
        </w:rPr>
        <w:t>。</w:t>
      </w:r>
      <w:r>
        <w:rPr>
          <w:rFonts w:hint="eastAsia" w:ascii="Times New Roman" w:hAnsi="Times New Roman" w:eastAsia="仿宋_GB2312" w:cs="仿宋_GB2312"/>
          <w:color w:val="auto"/>
          <w:sz w:val="32"/>
          <w:szCs w:val="32"/>
        </w:rPr>
        <w:t>家禽</w:t>
      </w:r>
      <w:r>
        <w:rPr>
          <w:rFonts w:hint="eastAsia" w:ascii="Times New Roman" w:hAnsi="Times New Roman" w:eastAsia="仿宋_GB2312" w:cs="仿宋_GB2312"/>
          <w:color w:val="auto"/>
          <w:sz w:val="32"/>
          <w:szCs w:val="32"/>
          <w:lang w:eastAsia="zh-CN"/>
        </w:rPr>
        <w:t>养殖</w:t>
      </w:r>
      <w:r>
        <w:rPr>
          <w:rFonts w:hint="default" w:ascii="Times New Roman" w:hAnsi="Times New Roman" w:eastAsia="仿宋_GB2312" w:cs="仿宋_GB2312"/>
          <w:color w:val="auto"/>
          <w:sz w:val="32"/>
          <w:szCs w:val="32"/>
          <w:lang w:eastAsia="zh-CN"/>
        </w:rPr>
        <w:t>可</w:t>
      </w:r>
      <w:r>
        <w:rPr>
          <w:rFonts w:hint="eastAsia" w:ascii="Times New Roman" w:hAnsi="Times New Roman" w:eastAsia="仿宋_GB2312" w:cs="仿宋_GB2312"/>
          <w:color w:val="auto"/>
          <w:sz w:val="32"/>
          <w:szCs w:val="32"/>
        </w:rPr>
        <w:t>采用原位和</w:t>
      </w:r>
      <w:r>
        <w:rPr>
          <w:rFonts w:hint="eastAsia" w:ascii="Times New Roman" w:hAnsi="Times New Roman" w:eastAsia="仿宋_GB2312" w:cs="仿宋_GB2312"/>
          <w:color w:val="auto"/>
          <w:sz w:val="32"/>
          <w:szCs w:val="32"/>
          <w:lang w:eastAsia="zh-CN"/>
        </w:rPr>
        <w:t>网下</w:t>
      </w:r>
      <w:r>
        <w:rPr>
          <w:rFonts w:hint="eastAsia" w:ascii="Times New Roman" w:hAnsi="Times New Roman" w:eastAsia="仿宋_GB2312" w:cs="仿宋_GB2312"/>
          <w:color w:val="auto"/>
          <w:sz w:val="32"/>
          <w:szCs w:val="32"/>
        </w:rPr>
        <w:t>生物发酵床</w:t>
      </w:r>
      <w:r>
        <w:rPr>
          <w:rFonts w:hint="default" w:ascii="Times New Roman" w:hAnsi="Times New Roman" w:eastAsia="仿宋_GB2312" w:cs="仿宋_GB2312"/>
          <w:color w:val="auto"/>
          <w:sz w:val="32"/>
          <w:szCs w:val="32"/>
        </w:rPr>
        <w:t>，垫料中</w:t>
      </w:r>
      <w:r>
        <w:rPr>
          <w:rFonts w:hint="eastAsia" w:ascii="Times New Roman" w:hAnsi="Times New Roman" w:eastAsia="仿宋_GB2312" w:cs="仿宋_GB2312"/>
          <w:color w:val="auto"/>
          <w:sz w:val="32"/>
          <w:szCs w:val="32"/>
        </w:rPr>
        <w:t>稻壳</w:t>
      </w:r>
      <w:r>
        <w:rPr>
          <w:rFonts w:hint="eastAsia" w:ascii="Times New Roman" w:hAnsi="Times New Roman" w:eastAsia="仿宋_GB2312" w:cs="仿宋_GB2312"/>
          <w:color w:val="auto"/>
          <w:sz w:val="32"/>
          <w:szCs w:val="32"/>
          <w:lang w:eastAsia="zh-CN"/>
        </w:rPr>
        <w:t>占比</w:t>
      </w:r>
      <w:r>
        <w:rPr>
          <w:rFonts w:hint="eastAsia" w:ascii="Times New Roman" w:hAnsi="Times New Roman" w:eastAsia="仿宋_GB2312" w:cs="仿宋_GB2312"/>
          <w:color w:val="auto"/>
          <w:sz w:val="32"/>
          <w:szCs w:val="32"/>
        </w:rPr>
        <w:t>不超过30</w:t>
      </w:r>
      <w:r>
        <w:rPr>
          <w:rFonts w:hint="eastAsia" w:ascii="Times New Roman" w:hAnsi="Times New Roman" w:eastAsia="仿宋_GB2312" w:cs="仿宋_GB2312"/>
          <w:color w:val="auto"/>
          <w:sz w:val="32"/>
          <w:szCs w:val="32"/>
          <w:lang w:val="en-US" w:eastAsia="zh-CN"/>
        </w:rPr>
        <w:t xml:space="preserve"> </w:t>
      </w:r>
      <w:r>
        <w:rPr>
          <w:rFonts w:hint="eastAsia" w:ascii="Times New Roman" w:hAnsi="Times New Roman" w:eastAsia="仿宋_GB2312" w:cs="仿宋_GB2312"/>
          <w:color w:val="auto"/>
          <w:sz w:val="32"/>
          <w:szCs w:val="32"/>
        </w:rPr>
        <w:t>%，</w:t>
      </w:r>
      <w:r>
        <w:rPr>
          <w:rFonts w:hint="default" w:ascii="Times New Roman" w:hAnsi="Times New Roman" w:eastAsia="仿宋_GB2312" w:cs="仿宋_GB2312"/>
          <w:color w:val="auto"/>
          <w:sz w:val="32"/>
          <w:szCs w:val="32"/>
        </w:rPr>
        <w:t>垫料</w:t>
      </w:r>
      <w:r>
        <w:rPr>
          <w:rFonts w:hint="eastAsia" w:ascii="Times New Roman" w:hAnsi="Times New Roman" w:eastAsia="仿宋_GB2312" w:cs="仿宋_GB2312"/>
          <w:color w:val="auto"/>
          <w:sz w:val="32"/>
          <w:szCs w:val="32"/>
        </w:rPr>
        <w:t>厚度</w:t>
      </w:r>
      <w:r>
        <w:rPr>
          <w:rFonts w:hint="eastAsia" w:ascii="Times New Roman" w:hAnsi="Times New Roman" w:eastAsia="仿宋_GB2312" w:cs="仿宋_GB2312"/>
          <w:color w:val="auto"/>
          <w:sz w:val="32"/>
          <w:szCs w:val="32"/>
          <w:lang w:eastAsia="zh-CN"/>
        </w:rPr>
        <w:t>不低于</w:t>
      </w:r>
      <w:r>
        <w:rPr>
          <w:rFonts w:hint="eastAsia" w:ascii="Times New Roman" w:hAnsi="Times New Roman" w:eastAsia="仿宋_GB2312" w:cs="仿宋_GB2312"/>
          <w:color w:val="auto"/>
          <w:sz w:val="32"/>
          <w:szCs w:val="32"/>
        </w:rPr>
        <w:t>40</w:t>
      </w:r>
      <w:r>
        <w:rPr>
          <w:rFonts w:hint="eastAsia" w:ascii="Times New Roman" w:hAnsi="Times New Roman" w:eastAsia="仿宋_GB2312" w:cs="仿宋_GB2312"/>
          <w:color w:val="auto"/>
          <w:sz w:val="32"/>
          <w:szCs w:val="32"/>
          <w:lang w:val="en-US" w:eastAsia="zh-CN"/>
        </w:rPr>
        <w:t>厘米</w:t>
      </w:r>
      <w:r>
        <w:rPr>
          <w:rFonts w:hint="eastAsia" w:ascii="Times New Roman" w:hAnsi="Times New Roman" w:eastAsia="仿宋_GB2312" w:cs="仿宋_GB2312"/>
          <w:color w:val="auto"/>
          <w:sz w:val="32"/>
          <w:szCs w:val="32"/>
        </w:rPr>
        <w:t>，需定期翻耙发酵床</w:t>
      </w:r>
      <w:r>
        <w:rPr>
          <w:rFonts w:hint="eastAsia" w:ascii="Times New Roman" w:hAnsi="Times New Roman" w:eastAsia="仿宋_GB2312" w:cs="仿宋_GB2312"/>
          <w:color w:val="auto"/>
          <w:sz w:val="32"/>
          <w:szCs w:val="32"/>
          <w:lang w:eastAsia="zh-CN"/>
        </w:rPr>
        <w:t>，翻耙</w:t>
      </w:r>
      <w:r>
        <w:rPr>
          <w:rFonts w:hint="default" w:ascii="Times New Roman" w:hAnsi="Times New Roman" w:eastAsia="仿宋_GB2312" w:cs="仿宋_GB2312"/>
          <w:color w:val="auto"/>
          <w:sz w:val="32"/>
          <w:szCs w:val="32"/>
          <w:lang w:eastAsia="zh-CN"/>
        </w:rPr>
        <w:t>次数</w:t>
      </w:r>
      <w:r>
        <w:rPr>
          <w:rFonts w:hint="eastAsia" w:ascii="Times New Roman" w:hAnsi="Times New Roman" w:eastAsia="仿宋_GB2312" w:cs="仿宋_GB2312"/>
          <w:color w:val="auto"/>
          <w:sz w:val="32"/>
          <w:szCs w:val="32"/>
          <w:lang w:eastAsia="zh-CN"/>
        </w:rPr>
        <w:t>每周</w:t>
      </w:r>
      <w:r>
        <w:rPr>
          <w:rFonts w:hint="default" w:ascii="Times New Roman" w:hAnsi="Times New Roman" w:eastAsia="仿宋_GB2312" w:cs="仿宋_GB2312"/>
          <w:color w:val="auto"/>
          <w:sz w:val="32"/>
          <w:szCs w:val="32"/>
          <w:lang w:eastAsia="zh-CN"/>
        </w:rPr>
        <w:t>至少</w:t>
      </w:r>
      <w:r>
        <w:rPr>
          <w:rFonts w:hint="eastAsia" w:ascii="Times New Roman" w:hAnsi="Times New Roman" w:eastAsia="仿宋_GB2312" w:cs="仿宋_GB2312"/>
          <w:color w:val="auto"/>
          <w:sz w:val="32"/>
          <w:szCs w:val="32"/>
          <w:lang w:val="en-US" w:eastAsia="zh-CN"/>
        </w:rPr>
        <w:t>1次，</w:t>
      </w:r>
      <w:r>
        <w:rPr>
          <w:rFonts w:hint="eastAsia" w:ascii="Times New Roman" w:hAnsi="Times New Roman" w:eastAsia="仿宋_GB2312" w:cs="仿宋_GB2312"/>
          <w:color w:val="auto"/>
          <w:sz w:val="32"/>
          <w:szCs w:val="32"/>
          <w:lang w:eastAsia="zh-CN"/>
        </w:rPr>
        <w:t>保证垫料和粪污充分混合。</w:t>
      </w:r>
      <w:r>
        <w:rPr>
          <w:rFonts w:hint="default" w:ascii="Times New Roman" w:hAnsi="Times New Roman" w:eastAsia="仿宋_GB2312" w:cs="仿宋_GB2312"/>
          <w:color w:val="auto"/>
          <w:sz w:val="32"/>
          <w:szCs w:val="32"/>
          <w:lang w:eastAsia="zh-CN"/>
        </w:rPr>
        <w:t>北方蒸发量大的地区，羊</w:t>
      </w:r>
      <w:r>
        <w:rPr>
          <w:rFonts w:hint="eastAsia" w:ascii="Times New Roman" w:hAnsi="Times New Roman" w:eastAsia="仿宋_GB2312" w:cs="仿宋_GB2312"/>
          <w:color w:val="auto"/>
          <w:sz w:val="32"/>
          <w:szCs w:val="32"/>
          <w:lang w:eastAsia="zh-CN"/>
        </w:rPr>
        <w:t>养殖</w:t>
      </w:r>
      <w:r>
        <w:rPr>
          <w:rFonts w:hint="default" w:ascii="Times New Roman" w:hAnsi="Times New Roman" w:eastAsia="仿宋_GB2312" w:cs="仿宋_GB2312"/>
          <w:color w:val="auto"/>
          <w:sz w:val="32"/>
          <w:szCs w:val="32"/>
          <w:lang w:eastAsia="zh-CN"/>
        </w:rPr>
        <w:t>可采用原位生物发酵床，垫料厚度不低于15厘米，不用</w:t>
      </w:r>
      <w:r>
        <w:rPr>
          <w:rFonts w:hint="eastAsia" w:ascii="Times New Roman" w:hAnsi="Times New Roman" w:eastAsia="仿宋_GB2312" w:cs="仿宋_GB2312"/>
          <w:color w:val="auto"/>
          <w:sz w:val="32"/>
          <w:szCs w:val="32"/>
          <w:lang w:eastAsia="zh-CN"/>
        </w:rPr>
        <w:t>翻耙</w:t>
      </w:r>
      <w:r>
        <w:rPr>
          <w:rFonts w:hint="default" w:ascii="Times New Roman" w:hAnsi="Times New Roman" w:eastAsia="仿宋_GB2312" w:cs="仿宋_GB2312"/>
          <w:color w:val="auto"/>
          <w:sz w:val="32"/>
          <w:szCs w:val="32"/>
          <w:lang w:eastAsia="zh-CN"/>
        </w:rPr>
        <w:t>，清粪间隔非冬季不超过40天，冬季不超过60天。</w:t>
      </w:r>
    </w:p>
    <w:p>
      <w:pPr>
        <w:spacing w:line="600" w:lineRule="exact"/>
        <w:ind w:firstLine="643" w:firstLineChars="200"/>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b/>
          <w:color w:val="auto"/>
          <w:sz w:val="32"/>
          <w:szCs w:val="32"/>
        </w:rPr>
        <w:t>4.圈舍排出空气净化技术。</w:t>
      </w:r>
      <w:r>
        <w:rPr>
          <w:rFonts w:hint="eastAsia" w:ascii="Times New Roman" w:hAnsi="Times New Roman" w:eastAsia="仿宋_GB2312" w:cs="仿宋_GB2312"/>
          <w:color w:val="auto"/>
          <w:sz w:val="32"/>
          <w:szCs w:val="32"/>
        </w:rPr>
        <w:t>对于机械通风的密闭式畜舍，在</w:t>
      </w:r>
      <w:r>
        <w:rPr>
          <w:rFonts w:hint="eastAsia" w:ascii="Times New Roman" w:hAnsi="Times New Roman" w:eastAsia="仿宋_GB2312" w:cs="仿宋_GB2312"/>
          <w:color w:val="auto"/>
          <w:sz w:val="32"/>
          <w:szCs w:val="32"/>
          <w:lang w:eastAsia="zh-CN"/>
        </w:rPr>
        <w:t>排风</w:t>
      </w:r>
      <w:r>
        <w:rPr>
          <w:rFonts w:hint="eastAsia" w:ascii="Times New Roman" w:hAnsi="Times New Roman" w:eastAsia="仿宋_GB2312" w:cs="仿宋_GB2312"/>
          <w:color w:val="auto"/>
          <w:sz w:val="32"/>
          <w:szCs w:val="32"/>
        </w:rPr>
        <w:t>风机</w:t>
      </w:r>
      <w:r>
        <w:rPr>
          <w:rFonts w:hint="eastAsia" w:ascii="Times New Roman" w:hAnsi="Times New Roman" w:eastAsia="仿宋_GB2312" w:cs="仿宋_GB2312"/>
          <w:color w:val="auto"/>
          <w:sz w:val="32"/>
          <w:szCs w:val="32"/>
          <w:lang w:eastAsia="zh-CN"/>
        </w:rPr>
        <w:t>外侧</w:t>
      </w:r>
      <w:r>
        <w:rPr>
          <w:rFonts w:hint="eastAsia" w:ascii="Times New Roman" w:hAnsi="Times New Roman" w:eastAsia="仿宋_GB2312" w:cs="仿宋_GB2312"/>
          <w:color w:val="auto"/>
          <w:sz w:val="32"/>
          <w:szCs w:val="32"/>
        </w:rPr>
        <w:t>安装喷淋装置、湿帘等湿式净化设施，</w:t>
      </w:r>
      <w:r>
        <w:rPr>
          <w:rFonts w:hint="eastAsia" w:ascii="Times New Roman" w:hAnsi="Times New Roman" w:eastAsia="仿宋_GB2312" w:cs="仿宋_GB2312"/>
          <w:color w:val="auto"/>
          <w:sz w:val="32"/>
          <w:szCs w:val="32"/>
          <w:lang w:eastAsia="zh-CN"/>
        </w:rPr>
        <w:t>通过喷洒弱酸性或含有</w:t>
      </w:r>
      <w:r>
        <w:rPr>
          <w:rFonts w:hint="eastAsia" w:ascii="Times New Roman" w:hAnsi="Times New Roman" w:eastAsia="仿宋_GB2312" w:cs="仿宋_GB2312"/>
          <w:color w:val="auto"/>
          <w:sz w:val="32"/>
          <w:szCs w:val="32"/>
          <w:lang w:val="en-US" w:eastAsia="zh-CN"/>
        </w:rPr>
        <w:t>次氯酸钠等</w:t>
      </w:r>
      <w:r>
        <w:rPr>
          <w:rFonts w:hint="eastAsia" w:ascii="Times New Roman" w:hAnsi="Times New Roman" w:eastAsia="仿宋_GB2312" w:cs="仿宋_GB2312"/>
          <w:color w:val="auto"/>
          <w:sz w:val="32"/>
          <w:szCs w:val="32"/>
          <w:lang w:eastAsia="zh-CN"/>
        </w:rPr>
        <w:t>氧化剂的液体进行过滤，其中酸性洗涤液</w:t>
      </w:r>
      <w:r>
        <w:rPr>
          <w:rFonts w:hint="eastAsia" w:ascii="Times New Roman" w:hAnsi="Times New Roman" w:eastAsia="仿宋_GB2312" w:cs="仿宋_GB2312"/>
          <w:color w:val="auto"/>
          <w:sz w:val="32"/>
          <w:szCs w:val="32"/>
          <w:lang w:val="en-US" w:eastAsia="zh-CN"/>
        </w:rPr>
        <w:t>pH值控制在6以下；或将畜舍排出空气通过生物质填料进行过滤，生物质填料主要由木屑、秸秆等制成。</w:t>
      </w:r>
      <w:r>
        <w:rPr>
          <w:rFonts w:hint="eastAsia" w:ascii="Times New Roman" w:hAnsi="Times New Roman" w:eastAsia="仿宋_GB2312" w:cs="仿宋_GB2312"/>
          <w:color w:val="auto"/>
          <w:sz w:val="32"/>
          <w:szCs w:val="32"/>
          <w:lang w:eastAsia="zh-CN"/>
        </w:rPr>
        <w:t>现有</w:t>
      </w:r>
      <w:r>
        <w:rPr>
          <w:rFonts w:hint="eastAsia" w:ascii="Times New Roman" w:hAnsi="Times New Roman" w:eastAsia="仿宋_GB2312" w:cs="仿宋_GB2312"/>
          <w:color w:val="auto"/>
          <w:sz w:val="32"/>
          <w:szCs w:val="32"/>
        </w:rPr>
        <w:t>研究表明，</w:t>
      </w:r>
      <w:r>
        <w:rPr>
          <w:rFonts w:hint="eastAsia" w:ascii="Times New Roman" w:hAnsi="Times New Roman" w:eastAsia="仿宋_GB2312" w:cs="仿宋_GB2312"/>
          <w:color w:val="auto"/>
          <w:sz w:val="32"/>
          <w:szCs w:val="32"/>
          <w:lang w:eastAsia="zh-CN"/>
        </w:rPr>
        <w:t>采用空气净化</w:t>
      </w:r>
      <w:r>
        <w:rPr>
          <w:rFonts w:hint="eastAsia" w:ascii="Times New Roman" w:hAnsi="Times New Roman" w:eastAsia="仿宋_GB2312" w:cs="仿宋_GB2312"/>
          <w:color w:val="auto"/>
          <w:sz w:val="32"/>
          <w:szCs w:val="32"/>
        </w:rPr>
        <w:t>技术可降低</w:t>
      </w:r>
      <w:r>
        <w:rPr>
          <w:rFonts w:hint="eastAsia" w:ascii="Times New Roman" w:hAnsi="Times New Roman" w:eastAsia="仿宋_GB2312" w:cs="仿宋_GB2312"/>
          <w:color w:val="auto"/>
          <w:sz w:val="32"/>
          <w:szCs w:val="32"/>
          <w:lang w:eastAsia="zh-CN"/>
        </w:rPr>
        <w:t>排出空气</w:t>
      </w:r>
      <w:r>
        <w:rPr>
          <w:rFonts w:hint="eastAsia" w:ascii="Times New Roman" w:hAnsi="Times New Roman" w:eastAsia="仿宋_GB2312" w:cs="仿宋_GB2312"/>
          <w:color w:val="auto"/>
          <w:sz w:val="32"/>
          <w:szCs w:val="32"/>
        </w:rPr>
        <w:t>臭气强度50</w:t>
      </w:r>
      <w:r>
        <w:rPr>
          <w:rFonts w:hint="eastAsia" w:ascii="Times New Roman" w:hAnsi="Times New Roman" w:eastAsia="仿宋_GB2312" w:cs="仿宋_GB2312"/>
          <w:color w:val="auto"/>
          <w:sz w:val="32"/>
          <w:szCs w:val="32"/>
          <w:lang w:val="en-US" w:eastAsia="zh-CN"/>
        </w:rPr>
        <w:t xml:space="preserve"> </w:t>
      </w:r>
      <w:r>
        <w:rPr>
          <w:rFonts w:hint="eastAsia" w:ascii="Times New Roman" w:hAnsi="Times New Roman" w:eastAsia="仿宋_GB2312" w:cs="仿宋_GB2312"/>
          <w:color w:val="auto"/>
          <w:sz w:val="32"/>
          <w:szCs w:val="32"/>
        </w:rPr>
        <w:t>%以上。</w:t>
      </w:r>
    </w:p>
    <w:p>
      <w:pPr>
        <w:spacing w:line="600" w:lineRule="exact"/>
        <w:ind w:firstLine="643" w:firstLineChars="200"/>
        <w:rPr>
          <w:rFonts w:hint="eastAsia" w:ascii="Times New Roman" w:hAnsi="Times New Roman" w:eastAsia="仿宋_GB2312" w:cs="仿宋_GB2312"/>
          <w:color w:val="auto"/>
          <w:sz w:val="32"/>
          <w:szCs w:val="32"/>
        </w:rPr>
      </w:pPr>
      <w:r>
        <w:rPr>
          <w:rFonts w:hint="eastAsia" w:ascii="Times New Roman" w:hAnsi="Times New Roman" w:eastAsia="仿宋_GB2312" w:cs="仿宋_GB2312"/>
          <w:b/>
          <w:color w:val="auto"/>
          <w:sz w:val="32"/>
          <w:szCs w:val="32"/>
        </w:rPr>
        <w:t>5.液体粪污覆盖贮存技术。</w:t>
      </w:r>
      <w:r>
        <w:rPr>
          <w:rFonts w:hint="eastAsia" w:ascii="Times New Roman" w:hAnsi="Times New Roman" w:eastAsia="仿宋_GB2312" w:cs="仿宋_GB2312"/>
          <w:color w:val="auto"/>
          <w:sz w:val="32"/>
          <w:szCs w:val="32"/>
        </w:rPr>
        <w:t>包括固定式覆盖</w:t>
      </w:r>
      <w:r>
        <w:rPr>
          <w:rFonts w:hint="eastAsia" w:ascii="Times New Roman" w:hAnsi="Times New Roman" w:eastAsia="仿宋_GB2312" w:cs="仿宋_GB2312"/>
          <w:color w:val="auto"/>
          <w:sz w:val="32"/>
          <w:szCs w:val="32"/>
          <w:lang w:eastAsia="zh-CN"/>
        </w:rPr>
        <w:t>贮存和</w:t>
      </w:r>
      <w:r>
        <w:rPr>
          <w:rFonts w:hint="eastAsia" w:ascii="Times New Roman" w:hAnsi="Times New Roman" w:eastAsia="仿宋_GB2312" w:cs="仿宋_GB2312"/>
          <w:color w:val="auto"/>
          <w:sz w:val="32"/>
          <w:szCs w:val="32"/>
        </w:rPr>
        <w:t>漂浮式覆盖</w:t>
      </w:r>
      <w:r>
        <w:rPr>
          <w:rFonts w:hint="eastAsia" w:ascii="Times New Roman" w:hAnsi="Times New Roman" w:eastAsia="仿宋_GB2312" w:cs="仿宋_GB2312"/>
          <w:color w:val="auto"/>
          <w:sz w:val="32"/>
          <w:szCs w:val="32"/>
          <w:lang w:eastAsia="zh-CN"/>
        </w:rPr>
        <w:t>贮存</w:t>
      </w:r>
      <w:r>
        <w:rPr>
          <w:rFonts w:hint="eastAsia" w:ascii="Times New Roman" w:hAnsi="Times New Roman" w:eastAsia="仿宋_GB2312" w:cs="仿宋_GB2312"/>
          <w:color w:val="auto"/>
          <w:sz w:val="32"/>
          <w:szCs w:val="32"/>
        </w:rPr>
        <w:t>。固定式覆盖指在液体</w:t>
      </w:r>
      <w:r>
        <w:rPr>
          <w:rFonts w:hint="eastAsia" w:ascii="Times New Roman" w:hAnsi="Times New Roman" w:eastAsia="仿宋_GB2312" w:cs="仿宋_GB2312"/>
          <w:color w:val="auto"/>
          <w:sz w:val="32"/>
          <w:szCs w:val="32"/>
          <w:lang w:eastAsia="zh-CN"/>
        </w:rPr>
        <w:t>粪污</w:t>
      </w:r>
      <w:r>
        <w:rPr>
          <w:rFonts w:hint="eastAsia" w:ascii="Times New Roman" w:hAnsi="Times New Roman" w:eastAsia="仿宋_GB2312" w:cs="仿宋_GB2312"/>
          <w:color w:val="auto"/>
          <w:sz w:val="32"/>
          <w:szCs w:val="32"/>
        </w:rPr>
        <w:t>贮存设施上加盖或覆膜，</w:t>
      </w:r>
      <w:r>
        <w:rPr>
          <w:rFonts w:hint="eastAsia" w:ascii="Times New Roman" w:hAnsi="Times New Roman" w:eastAsia="仿宋_GB2312" w:cs="仿宋_GB2312"/>
          <w:color w:val="auto"/>
          <w:sz w:val="32"/>
          <w:szCs w:val="32"/>
          <w:lang w:eastAsia="zh-CN"/>
        </w:rPr>
        <w:t>应</w:t>
      </w:r>
      <w:r>
        <w:rPr>
          <w:rFonts w:hint="eastAsia" w:ascii="Times New Roman" w:hAnsi="Times New Roman" w:eastAsia="仿宋_GB2312" w:cs="仿宋_GB2312"/>
          <w:color w:val="auto"/>
          <w:sz w:val="32"/>
          <w:szCs w:val="32"/>
        </w:rPr>
        <w:t>配备气体通风口或气体回收处理装置，以防止易燃气体的积聚</w:t>
      </w: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仿宋_GB2312"/>
          <w:color w:val="auto"/>
          <w:sz w:val="32"/>
          <w:szCs w:val="32"/>
        </w:rPr>
        <w:t>漂浮式覆盖</w:t>
      </w:r>
      <w:r>
        <w:rPr>
          <w:rFonts w:hint="eastAsia" w:ascii="Times New Roman" w:hAnsi="Times New Roman" w:eastAsia="仿宋_GB2312" w:cs="仿宋_GB2312"/>
          <w:color w:val="auto"/>
          <w:sz w:val="32"/>
          <w:szCs w:val="32"/>
          <w:lang w:eastAsia="zh-CN"/>
        </w:rPr>
        <w:t>指</w:t>
      </w:r>
      <w:r>
        <w:rPr>
          <w:rFonts w:hint="eastAsia" w:ascii="Times New Roman" w:hAnsi="Times New Roman" w:eastAsia="仿宋_GB2312" w:cs="仿宋_GB2312"/>
          <w:color w:val="auto"/>
          <w:sz w:val="32"/>
          <w:szCs w:val="32"/>
        </w:rPr>
        <w:t>采用几何形状的塑料覆盖片、蛭石等</w:t>
      </w:r>
      <w:r>
        <w:rPr>
          <w:rFonts w:hint="eastAsia" w:ascii="Times New Roman" w:hAnsi="Times New Roman" w:eastAsia="仿宋_GB2312" w:cs="仿宋_GB2312"/>
          <w:color w:val="auto"/>
          <w:sz w:val="32"/>
          <w:szCs w:val="32"/>
          <w:lang w:eastAsia="zh-CN"/>
        </w:rPr>
        <w:t>可</w:t>
      </w:r>
      <w:r>
        <w:rPr>
          <w:rFonts w:hint="eastAsia" w:ascii="Times New Roman" w:hAnsi="Times New Roman" w:eastAsia="仿宋_GB2312" w:cs="仿宋_GB2312"/>
          <w:color w:val="auto"/>
          <w:sz w:val="32"/>
          <w:szCs w:val="32"/>
        </w:rPr>
        <w:t>漂浮物，</w:t>
      </w:r>
      <w:r>
        <w:rPr>
          <w:rFonts w:hint="eastAsia" w:ascii="Times New Roman" w:hAnsi="Times New Roman" w:eastAsia="仿宋_GB2312" w:cs="仿宋_GB2312"/>
          <w:color w:val="auto"/>
          <w:sz w:val="32"/>
          <w:szCs w:val="32"/>
          <w:lang w:eastAsia="zh-CN"/>
        </w:rPr>
        <w:t>宜</w:t>
      </w:r>
      <w:r>
        <w:rPr>
          <w:rFonts w:hint="eastAsia" w:ascii="Times New Roman" w:hAnsi="Times New Roman" w:eastAsia="仿宋_GB2312" w:cs="仿宋_GB2312"/>
          <w:color w:val="auto"/>
          <w:sz w:val="32"/>
          <w:szCs w:val="32"/>
        </w:rPr>
        <w:t>用于</w:t>
      </w:r>
      <w:r>
        <w:rPr>
          <w:rFonts w:hint="eastAsia" w:ascii="Times New Roman" w:hAnsi="Times New Roman" w:eastAsia="仿宋_GB2312" w:cs="仿宋_GB2312"/>
          <w:color w:val="auto"/>
          <w:sz w:val="32"/>
          <w:szCs w:val="32"/>
          <w:lang w:eastAsia="zh-CN"/>
        </w:rPr>
        <w:t>降水</w:t>
      </w:r>
      <w:r>
        <w:rPr>
          <w:rFonts w:hint="eastAsia" w:ascii="Times New Roman" w:hAnsi="Times New Roman" w:eastAsia="仿宋_GB2312" w:cs="仿宋_GB2312"/>
          <w:color w:val="auto"/>
          <w:sz w:val="32"/>
          <w:szCs w:val="32"/>
        </w:rPr>
        <w:t>较少</w:t>
      </w:r>
      <w:r>
        <w:rPr>
          <w:rFonts w:hint="eastAsia" w:ascii="Times New Roman" w:hAnsi="Times New Roman" w:eastAsia="仿宋_GB2312" w:cs="仿宋_GB2312"/>
          <w:color w:val="auto"/>
          <w:sz w:val="32"/>
          <w:szCs w:val="32"/>
          <w:lang w:eastAsia="zh-CN"/>
        </w:rPr>
        <w:t>区域</w:t>
      </w:r>
      <w:r>
        <w:rPr>
          <w:rFonts w:hint="eastAsia" w:ascii="Times New Roman" w:hAnsi="Times New Roman" w:eastAsia="仿宋_GB2312" w:cs="仿宋_GB2312"/>
          <w:color w:val="auto"/>
          <w:sz w:val="32"/>
          <w:szCs w:val="32"/>
        </w:rPr>
        <w:t>表面积较大的液体粪污贮存设施。</w:t>
      </w:r>
    </w:p>
    <w:p>
      <w:pPr>
        <w:spacing w:line="600" w:lineRule="exact"/>
        <w:ind w:firstLine="643" w:firstLineChars="200"/>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b/>
          <w:color w:val="auto"/>
          <w:sz w:val="32"/>
          <w:szCs w:val="32"/>
        </w:rPr>
        <w:t>6.液体粪污酸化贮存技术。</w:t>
      </w:r>
      <w:r>
        <w:rPr>
          <w:rFonts w:hint="eastAsia" w:ascii="Times New Roman" w:hAnsi="Times New Roman" w:eastAsia="仿宋_GB2312" w:cs="仿宋_GB2312"/>
          <w:color w:val="auto"/>
          <w:sz w:val="32"/>
          <w:szCs w:val="32"/>
        </w:rPr>
        <w:t>通过添加</w:t>
      </w:r>
      <w:r>
        <w:rPr>
          <w:rFonts w:hint="eastAsia" w:ascii="Times New Roman" w:hAnsi="Times New Roman" w:eastAsia="仿宋_GB2312" w:cs="仿宋_GB2312"/>
          <w:color w:val="auto"/>
          <w:sz w:val="32"/>
          <w:szCs w:val="32"/>
          <w:lang w:eastAsia="zh-CN"/>
        </w:rPr>
        <w:t>酸化剂降低</w:t>
      </w:r>
      <w:r>
        <w:rPr>
          <w:rFonts w:hint="eastAsia" w:ascii="Times New Roman" w:hAnsi="Times New Roman" w:eastAsia="仿宋_GB2312" w:cs="仿宋_GB2312"/>
          <w:color w:val="auto"/>
          <w:sz w:val="32"/>
          <w:szCs w:val="32"/>
        </w:rPr>
        <w:t>液体粪污pH值，</w:t>
      </w:r>
      <w:r>
        <w:rPr>
          <w:rFonts w:hint="eastAsia" w:ascii="Times New Roman" w:hAnsi="Times New Roman" w:eastAsia="仿宋_GB2312" w:cs="仿宋_GB2312"/>
          <w:color w:val="auto"/>
          <w:sz w:val="32"/>
          <w:szCs w:val="32"/>
          <w:lang w:eastAsia="zh-CN"/>
        </w:rPr>
        <w:t>将氮素以较稳定的铵盐形态保留在粪污中。常用的酸化剂有硫酸、过磷酸钙等，调节pH至5.5</w:t>
      </w:r>
      <w:r>
        <w:rPr>
          <w:rFonts w:hint="eastAsia" w:ascii="Times New Roman" w:hAnsi="Times New Roman" w:eastAsia="仿宋_GB2312" w:cs="仿宋_GB2312"/>
          <w:color w:val="auto"/>
          <w:sz w:val="32"/>
          <w:szCs w:val="32"/>
          <w:lang w:val="en-US" w:eastAsia="zh-CN"/>
        </w:rPr>
        <w:t>-</w:t>
      </w:r>
      <w:r>
        <w:rPr>
          <w:rFonts w:hint="eastAsia" w:ascii="Times New Roman" w:hAnsi="Times New Roman" w:eastAsia="仿宋_GB2312" w:cs="仿宋_GB2312"/>
          <w:color w:val="auto"/>
          <w:sz w:val="32"/>
          <w:szCs w:val="32"/>
          <w:lang w:eastAsia="zh-CN"/>
        </w:rPr>
        <w:t>6.5，酸化后的液体粪污需继续贮存发酵。</w:t>
      </w:r>
      <w:r>
        <w:rPr>
          <w:rFonts w:hint="eastAsia" w:ascii="Times New Roman" w:hAnsi="Times New Roman" w:eastAsia="仿宋_GB2312" w:cs="仿宋_GB2312"/>
          <w:color w:val="auto"/>
          <w:sz w:val="32"/>
          <w:szCs w:val="32"/>
        </w:rPr>
        <w:t>现有研究表明，当粪污pH值小于6时，可减少氮损失50%以上</w:t>
      </w:r>
      <w:r>
        <w:rPr>
          <w:rFonts w:hint="eastAsia" w:ascii="Times New Roman" w:hAnsi="Times New Roman" w:eastAsia="仿宋_GB2312" w:cs="仿宋_GB2312"/>
          <w:color w:val="auto"/>
          <w:sz w:val="32"/>
          <w:szCs w:val="32"/>
          <w:lang w:eastAsia="zh-CN"/>
        </w:rPr>
        <w:t>。</w:t>
      </w:r>
    </w:p>
    <w:p>
      <w:pPr>
        <w:spacing w:line="600" w:lineRule="exact"/>
        <w:ind w:firstLine="643" w:firstLineChars="200"/>
        <w:rPr>
          <w:rFonts w:hint="eastAsia" w:ascii="Times New Roman" w:hAnsi="Times New Roman" w:eastAsia="仿宋_GB2312" w:cs="仿宋_GB2312"/>
          <w:b/>
          <w:color w:val="auto"/>
          <w:sz w:val="32"/>
          <w:szCs w:val="32"/>
        </w:rPr>
      </w:pPr>
      <w:r>
        <w:rPr>
          <w:rFonts w:hint="eastAsia" w:ascii="Times New Roman" w:hAnsi="Times New Roman" w:eastAsia="仿宋_GB2312" w:cs="仿宋_GB2312"/>
          <w:b/>
          <w:bCs/>
          <w:color w:val="auto"/>
          <w:sz w:val="32"/>
          <w:szCs w:val="32"/>
        </w:rPr>
        <w:t>7.固体粪污密闭沤肥技术。</w:t>
      </w:r>
      <w:r>
        <w:rPr>
          <w:rFonts w:hint="eastAsia" w:ascii="Times New Roman" w:hAnsi="Times New Roman" w:eastAsia="仿宋_GB2312" w:cs="仿宋_GB2312"/>
          <w:color w:val="auto"/>
          <w:sz w:val="32"/>
          <w:szCs w:val="32"/>
        </w:rPr>
        <w:t>根据固体</w:t>
      </w:r>
      <w:r>
        <w:rPr>
          <w:rFonts w:hint="eastAsia" w:ascii="Times New Roman" w:hAnsi="Times New Roman" w:eastAsia="仿宋_GB2312" w:cs="仿宋_GB2312"/>
          <w:color w:val="auto"/>
          <w:sz w:val="32"/>
          <w:szCs w:val="32"/>
          <w:lang w:eastAsia="zh-CN"/>
        </w:rPr>
        <w:t>粪污</w:t>
      </w:r>
      <w:r>
        <w:rPr>
          <w:rFonts w:hint="eastAsia" w:ascii="Times New Roman" w:hAnsi="Times New Roman" w:eastAsia="仿宋_GB2312" w:cs="仿宋_GB2312"/>
          <w:color w:val="auto"/>
          <w:sz w:val="32"/>
          <w:szCs w:val="32"/>
        </w:rPr>
        <w:t>含水量，适当添加木屑、碎秸秆等</w:t>
      </w:r>
      <w:r>
        <w:rPr>
          <w:rFonts w:hint="eastAsia" w:ascii="Times New Roman" w:hAnsi="Times New Roman" w:eastAsia="仿宋_GB2312" w:cs="仿宋_GB2312"/>
          <w:color w:val="auto"/>
          <w:sz w:val="32"/>
          <w:szCs w:val="32"/>
          <w:lang w:eastAsia="zh-CN"/>
        </w:rPr>
        <w:t>物料</w:t>
      </w:r>
      <w:r>
        <w:rPr>
          <w:rFonts w:hint="eastAsia" w:ascii="Times New Roman" w:hAnsi="Times New Roman" w:eastAsia="仿宋_GB2312" w:cs="仿宋_GB2312"/>
          <w:color w:val="auto"/>
          <w:sz w:val="32"/>
          <w:szCs w:val="32"/>
        </w:rPr>
        <w:t>，</w:t>
      </w:r>
      <w:r>
        <w:rPr>
          <w:rFonts w:hint="eastAsia" w:ascii="Times New Roman" w:hAnsi="Times New Roman" w:eastAsia="仿宋_GB2312" w:cs="仿宋_GB2312"/>
          <w:color w:val="auto"/>
          <w:sz w:val="32"/>
          <w:szCs w:val="32"/>
          <w:lang w:eastAsia="zh-CN"/>
        </w:rPr>
        <w:t>保证成堆。</w:t>
      </w:r>
      <w:r>
        <w:rPr>
          <w:rFonts w:hint="eastAsia" w:ascii="Times New Roman" w:hAnsi="Times New Roman" w:eastAsia="仿宋_GB2312" w:cs="仿宋_GB2312"/>
          <w:b w:val="0"/>
          <w:bCs w:val="0"/>
          <w:color w:val="auto"/>
          <w:sz w:val="32"/>
          <w:szCs w:val="32"/>
          <w:lang w:eastAsia="zh-CN"/>
        </w:rPr>
        <w:t>选择适宜地点</w:t>
      </w:r>
      <w:r>
        <w:rPr>
          <w:rFonts w:hint="eastAsia" w:ascii="Times New Roman" w:hAnsi="Times New Roman" w:eastAsia="仿宋_GB2312" w:cs="仿宋_GB2312"/>
          <w:color w:val="auto"/>
          <w:sz w:val="32"/>
          <w:szCs w:val="32"/>
          <w:lang w:eastAsia="zh-CN"/>
        </w:rPr>
        <w:t>进行密闭厌氧发酵</w:t>
      </w:r>
      <w:r>
        <w:rPr>
          <w:rFonts w:hint="eastAsia" w:ascii="Times New Roman" w:hAnsi="Times New Roman" w:eastAsia="仿宋_GB2312" w:cs="仿宋_GB2312"/>
          <w:b w:val="0"/>
          <w:bCs w:val="0"/>
          <w:color w:val="auto"/>
          <w:sz w:val="32"/>
          <w:szCs w:val="32"/>
          <w:lang w:eastAsia="zh-CN"/>
        </w:rPr>
        <w:t>，</w:t>
      </w:r>
      <w:r>
        <w:rPr>
          <w:rFonts w:hint="eastAsia" w:ascii="Times New Roman" w:hAnsi="Times New Roman" w:eastAsia="仿宋_GB2312" w:cs="仿宋_GB2312"/>
          <w:color w:val="auto"/>
          <w:sz w:val="32"/>
          <w:szCs w:val="32"/>
        </w:rPr>
        <w:t>沤肥期</w:t>
      </w:r>
      <w:r>
        <w:rPr>
          <w:rFonts w:hint="eastAsia" w:ascii="Times New Roman" w:hAnsi="Times New Roman" w:eastAsia="仿宋_GB2312" w:cs="仿宋_GB2312"/>
          <w:color w:val="auto"/>
          <w:sz w:val="32"/>
          <w:szCs w:val="32"/>
          <w:lang w:eastAsia="zh-CN"/>
        </w:rPr>
        <w:t>应</w:t>
      </w:r>
      <w:r>
        <w:rPr>
          <w:rFonts w:hint="eastAsia" w:ascii="Times New Roman" w:hAnsi="Times New Roman" w:eastAsia="仿宋_GB2312" w:cs="仿宋_GB2312"/>
          <w:color w:val="auto"/>
          <w:sz w:val="32"/>
          <w:szCs w:val="32"/>
        </w:rPr>
        <w:t>不少于60天</w:t>
      </w:r>
      <w:r>
        <w:rPr>
          <w:rFonts w:hint="eastAsia" w:ascii="Times New Roman" w:hAnsi="Times New Roman" w:eastAsia="仿宋_GB2312" w:cs="仿宋_GB2312"/>
          <w:color w:val="auto"/>
          <w:sz w:val="32"/>
          <w:szCs w:val="32"/>
          <w:lang w:eastAsia="zh-CN"/>
        </w:rPr>
        <w:t>。沤肥时宜选择</w:t>
      </w:r>
      <w:r>
        <w:rPr>
          <w:rFonts w:hint="eastAsia" w:ascii="Times New Roman" w:hAnsi="Times New Roman" w:eastAsia="仿宋_GB2312" w:cs="仿宋_GB2312"/>
          <w:color w:val="auto"/>
          <w:sz w:val="32"/>
          <w:szCs w:val="32"/>
        </w:rPr>
        <w:t>向阳、地势较高、相对平坦的空地，底部需</w:t>
      </w:r>
      <w:r>
        <w:rPr>
          <w:rFonts w:hint="eastAsia" w:ascii="Times New Roman" w:hAnsi="Times New Roman" w:eastAsia="仿宋_GB2312" w:cs="仿宋_GB2312"/>
          <w:color w:val="auto"/>
          <w:sz w:val="32"/>
          <w:szCs w:val="32"/>
          <w:lang w:eastAsia="zh-CN"/>
        </w:rPr>
        <w:t>进行</w:t>
      </w:r>
      <w:r>
        <w:rPr>
          <w:rFonts w:hint="eastAsia" w:ascii="Times New Roman" w:hAnsi="Times New Roman" w:eastAsia="仿宋_GB2312" w:cs="仿宋_GB2312"/>
          <w:color w:val="auto"/>
          <w:sz w:val="32"/>
          <w:szCs w:val="32"/>
        </w:rPr>
        <w:t>防渗</w:t>
      </w:r>
      <w:r>
        <w:rPr>
          <w:rFonts w:hint="eastAsia" w:ascii="Times New Roman" w:hAnsi="Times New Roman" w:eastAsia="仿宋_GB2312" w:cs="仿宋_GB2312"/>
          <w:color w:val="auto"/>
          <w:sz w:val="32"/>
          <w:szCs w:val="32"/>
          <w:lang w:eastAsia="zh-CN"/>
        </w:rPr>
        <w:t>处理</w:t>
      </w:r>
      <w:r>
        <w:rPr>
          <w:rFonts w:hint="eastAsia" w:ascii="Times New Roman" w:hAnsi="Times New Roman" w:eastAsia="仿宋_GB2312" w:cs="仿宋_GB2312"/>
          <w:color w:val="auto"/>
          <w:sz w:val="32"/>
          <w:szCs w:val="32"/>
        </w:rPr>
        <w:t>，四周用塑料膜</w:t>
      </w:r>
      <w:r>
        <w:rPr>
          <w:rFonts w:hint="eastAsia" w:ascii="Times New Roman" w:hAnsi="Times New Roman" w:eastAsia="仿宋_GB2312" w:cs="仿宋_GB2312"/>
          <w:color w:val="auto"/>
          <w:sz w:val="32"/>
          <w:szCs w:val="32"/>
          <w:lang w:eastAsia="zh-CN"/>
        </w:rPr>
        <w:t>等</w:t>
      </w:r>
      <w:r>
        <w:rPr>
          <w:rFonts w:hint="eastAsia" w:ascii="Times New Roman" w:hAnsi="Times New Roman" w:eastAsia="仿宋_GB2312" w:cs="仿宋_GB2312"/>
          <w:color w:val="auto"/>
          <w:sz w:val="32"/>
          <w:szCs w:val="32"/>
        </w:rPr>
        <w:t>密封</w:t>
      </w:r>
      <w:r>
        <w:rPr>
          <w:rFonts w:hint="eastAsia" w:ascii="Times New Roman" w:hAnsi="Times New Roman" w:eastAsia="仿宋_GB2312" w:cs="仿宋_GB2312"/>
          <w:color w:val="auto"/>
          <w:sz w:val="32"/>
          <w:szCs w:val="32"/>
          <w:lang w:eastAsia="zh-CN"/>
        </w:rPr>
        <w:t>或覆土，同时做好防雨处理。</w:t>
      </w:r>
    </w:p>
    <w:p>
      <w:pPr>
        <w:spacing w:line="600" w:lineRule="exact"/>
        <w:ind w:firstLine="643" w:firstLineChars="200"/>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b/>
          <w:color w:val="auto"/>
          <w:sz w:val="32"/>
          <w:szCs w:val="32"/>
        </w:rPr>
        <w:t>8.固体粪污密闭堆肥技术。</w:t>
      </w:r>
      <w:r>
        <w:rPr>
          <w:rFonts w:hint="eastAsia" w:ascii="Times New Roman" w:hAnsi="Times New Roman" w:eastAsia="仿宋_GB2312" w:cs="仿宋_GB2312"/>
          <w:color w:val="auto"/>
          <w:sz w:val="32"/>
          <w:szCs w:val="32"/>
        </w:rPr>
        <w:t>包括反应器堆肥和膜堆肥。反应器堆肥</w:t>
      </w:r>
      <w:r>
        <w:rPr>
          <w:rFonts w:hint="eastAsia" w:ascii="Times New Roman" w:hAnsi="Times New Roman" w:eastAsia="仿宋_GB2312" w:cs="仿宋_GB2312"/>
          <w:color w:val="auto"/>
          <w:sz w:val="32"/>
          <w:szCs w:val="32"/>
          <w:lang w:eastAsia="zh-CN"/>
        </w:rPr>
        <w:t>发酵时间不少于</w:t>
      </w:r>
      <w:r>
        <w:rPr>
          <w:rFonts w:hint="eastAsia" w:ascii="Times New Roman" w:hAnsi="Times New Roman" w:eastAsia="仿宋_GB2312" w:cs="仿宋_GB2312"/>
          <w:color w:val="auto"/>
          <w:sz w:val="32"/>
          <w:szCs w:val="32"/>
          <w:lang w:val="en-US" w:eastAsia="zh-CN"/>
        </w:rPr>
        <w:t>7天</w:t>
      </w:r>
      <w:r>
        <w:rPr>
          <w:rFonts w:hint="eastAsia" w:ascii="Times New Roman" w:hAnsi="Times New Roman" w:eastAsia="仿宋_GB2312" w:cs="仿宋_GB2312"/>
          <w:color w:val="auto"/>
          <w:sz w:val="32"/>
          <w:szCs w:val="32"/>
          <w:lang w:eastAsia="zh-CN"/>
        </w:rPr>
        <w:t>，发酵过程中产生的臭气统一净化处理。</w:t>
      </w:r>
      <w:r>
        <w:rPr>
          <w:rFonts w:hint="eastAsia" w:ascii="Times New Roman" w:hAnsi="Times New Roman" w:eastAsia="仿宋_GB2312" w:cs="仿宋_GB2312"/>
          <w:color w:val="auto"/>
          <w:sz w:val="32"/>
          <w:szCs w:val="32"/>
        </w:rPr>
        <w:t>膜堆肥</w:t>
      </w:r>
      <w:r>
        <w:rPr>
          <w:rFonts w:hint="eastAsia" w:ascii="Times New Roman" w:hAnsi="Times New Roman" w:eastAsia="仿宋_GB2312" w:cs="仿宋_GB2312"/>
          <w:color w:val="auto"/>
          <w:sz w:val="32"/>
          <w:szCs w:val="32"/>
          <w:lang w:eastAsia="zh-CN"/>
        </w:rPr>
        <w:t>宜对场地进行硬化，堆体上方覆盖</w:t>
      </w:r>
      <w:r>
        <w:rPr>
          <w:rFonts w:hint="eastAsia" w:ascii="Times New Roman" w:hAnsi="Times New Roman" w:eastAsia="仿宋_GB2312" w:cs="仿宋_GB2312"/>
          <w:color w:val="auto"/>
          <w:sz w:val="32"/>
          <w:szCs w:val="32"/>
        </w:rPr>
        <w:t>膨体聚四氟乙烯膜</w:t>
      </w:r>
      <w:r>
        <w:rPr>
          <w:rFonts w:hint="eastAsia" w:ascii="Times New Roman" w:hAnsi="Times New Roman" w:eastAsia="仿宋_GB2312" w:cs="仿宋_GB2312"/>
          <w:color w:val="auto"/>
          <w:sz w:val="32"/>
          <w:szCs w:val="32"/>
          <w:lang w:eastAsia="zh-CN"/>
        </w:rPr>
        <w:t>，将臭气截留在堆体中，底部定期通风，发酵时间不少于</w:t>
      </w:r>
      <w:r>
        <w:rPr>
          <w:rFonts w:hint="eastAsia" w:ascii="Times New Roman" w:hAnsi="Times New Roman" w:eastAsia="仿宋_GB2312" w:cs="仿宋_GB2312"/>
          <w:color w:val="auto"/>
          <w:sz w:val="32"/>
          <w:szCs w:val="32"/>
          <w:lang w:val="en-US" w:eastAsia="zh-CN"/>
        </w:rPr>
        <w:t>14天</w:t>
      </w:r>
      <w:r>
        <w:rPr>
          <w:rFonts w:hint="eastAsia" w:ascii="Times New Roman" w:hAnsi="Times New Roman" w:eastAsia="仿宋_GB2312" w:cs="仿宋_GB2312"/>
          <w:color w:val="auto"/>
          <w:sz w:val="32"/>
          <w:szCs w:val="32"/>
          <w:lang w:eastAsia="zh-CN"/>
        </w:rPr>
        <w:t>。</w:t>
      </w:r>
    </w:p>
    <w:p>
      <w:pPr>
        <w:numPr>
          <w:ilvl w:val="-1"/>
          <w:numId w:val="0"/>
        </w:numPr>
        <w:spacing w:line="600" w:lineRule="exact"/>
        <w:ind w:firstLine="643" w:firstLineChars="200"/>
        <w:rPr>
          <w:rFonts w:hint="eastAsia" w:ascii="Times New Roman" w:hAnsi="Times New Roman" w:eastAsia="仿宋_GB2312" w:cs="仿宋_GB2312"/>
          <w:color w:val="auto"/>
          <w:sz w:val="32"/>
          <w:szCs w:val="32"/>
        </w:rPr>
      </w:pPr>
      <w:r>
        <w:rPr>
          <w:rFonts w:hint="eastAsia" w:ascii="Times New Roman" w:hAnsi="Times New Roman" w:eastAsia="仿宋_GB2312" w:cs="仿宋_GB2312"/>
          <w:b/>
          <w:bCs/>
          <w:color w:val="auto"/>
          <w:sz w:val="32"/>
          <w:szCs w:val="32"/>
          <w:lang w:val="en-US" w:eastAsia="zh-CN"/>
        </w:rPr>
        <w:t>9.</w:t>
      </w:r>
      <w:r>
        <w:rPr>
          <w:rFonts w:hint="eastAsia" w:ascii="Times New Roman" w:hAnsi="Times New Roman" w:eastAsia="仿宋_GB2312" w:cs="仿宋_GB2312"/>
          <w:b/>
          <w:color w:val="auto"/>
          <w:sz w:val="32"/>
          <w:szCs w:val="32"/>
        </w:rPr>
        <w:t>堆肥生物基除臭技术</w:t>
      </w:r>
      <w:r>
        <w:rPr>
          <w:rFonts w:hint="eastAsia" w:ascii="Times New Roman" w:hAnsi="Times New Roman" w:eastAsia="仿宋_GB2312" w:cs="仿宋_GB2312"/>
          <w:color w:val="auto"/>
          <w:sz w:val="32"/>
          <w:szCs w:val="32"/>
        </w:rPr>
        <w:t>。</w:t>
      </w:r>
      <w:r>
        <w:rPr>
          <w:rFonts w:hint="eastAsia" w:ascii="Times New Roman" w:hAnsi="Times New Roman" w:eastAsia="仿宋_GB2312" w:cs="仿宋_GB2312"/>
          <w:color w:val="auto"/>
          <w:sz w:val="32"/>
          <w:szCs w:val="32"/>
          <w:lang w:eastAsia="zh-CN"/>
        </w:rPr>
        <w:t>在</w:t>
      </w:r>
      <w:r>
        <w:rPr>
          <w:rFonts w:hint="eastAsia" w:ascii="Times New Roman" w:hAnsi="Times New Roman" w:eastAsia="仿宋_GB2312" w:cs="仿宋_GB2312"/>
          <w:color w:val="auto"/>
          <w:sz w:val="32"/>
          <w:szCs w:val="32"/>
        </w:rPr>
        <w:t>条垛式、槽式好氧堆肥</w:t>
      </w:r>
      <w:r>
        <w:rPr>
          <w:rFonts w:hint="eastAsia" w:ascii="Times New Roman" w:hAnsi="Times New Roman" w:eastAsia="仿宋_GB2312" w:cs="仿宋_GB2312"/>
          <w:color w:val="auto"/>
          <w:sz w:val="32"/>
          <w:szCs w:val="32"/>
          <w:lang w:eastAsia="zh-CN"/>
        </w:rPr>
        <w:t>密闭</w:t>
      </w:r>
      <w:r>
        <w:rPr>
          <w:rFonts w:hint="eastAsia" w:ascii="Times New Roman" w:hAnsi="Times New Roman" w:eastAsia="仿宋_GB2312" w:cs="仿宋_GB2312"/>
          <w:color w:val="auto"/>
          <w:sz w:val="32"/>
          <w:szCs w:val="32"/>
        </w:rPr>
        <w:t>车间，通过排风风机</w:t>
      </w:r>
      <w:r>
        <w:rPr>
          <w:rFonts w:hint="eastAsia" w:ascii="Times New Roman" w:hAnsi="Times New Roman" w:eastAsia="仿宋_GB2312" w:cs="仿宋_GB2312"/>
          <w:color w:val="auto"/>
          <w:sz w:val="32"/>
          <w:szCs w:val="32"/>
          <w:lang w:eastAsia="zh-CN"/>
        </w:rPr>
        <w:t>将空气</w:t>
      </w:r>
      <w:r>
        <w:rPr>
          <w:rFonts w:hint="eastAsia" w:ascii="Times New Roman" w:hAnsi="Times New Roman" w:eastAsia="仿宋_GB2312" w:cs="仿宋_GB2312"/>
          <w:color w:val="auto"/>
          <w:sz w:val="32"/>
          <w:szCs w:val="32"/>
        </w:rPr>
        <w:t>送入生物基滤床底部，</w:t>
      </w:r>
      <w:r>
        <w:rPr>
          <w:rFonts w:hint="eastAsia" w:ascii="Times New Roman" w:hAnsi="Times New Roman" w:eastAsia="仿宋_GB2312" w:cs="仿宋_GB2312"/>
          <w:color w:val="auto"/>
          <w:sz w:val="32"/>
          <w:szCs w:val="32"/>
          <w:lang w:eastAsia="zh-CN"/>
        </w:rPr>
        <w:t>经过水分膜吸收以及微生物作用等过程实现</w:t>
      </w:r>
      <w:r>
        <w:rPr>
          <w:rFonts w:hint="eastAsia" w:ascii="Times New Roman" w:hAnsi="Times New Roman" w:eastAsia="仿宋_GB2312" w:cs="仿宋_GB2312"/>
          <w:color w:val="auto"/>
          <w:sz w:val="32"/>
          <w:szCs w:val="32"/>
        </w:rPr>
        <w:t>排出空气净化。生物基滤床一般采用堆肥</w:t>
      </w:r>
      <w:r>
        <w:rPr>
          <w:rFonts w:hint="eastAsia" w:ascii="Times New Roman" w:hAnsi="Times New Roman" w:eastAsia="仿宋_GB2312" w:cs="仿宋_GB2312"/>
          <w:color w:val="auto"/>
          <w:sz w:val="32"/>
          <w:szCs w:val="32"/>
          <w:lang w:eastAsia="zh-CN"/>
        </w:rPr>
        <w:t>腐熟</w:t>
      </w:r>
      <w:r>
        <w:rPr>
          <w:rFonts w:hint="eastAsia" w:ascii="Times New Roman" w:hAnsi="Times New Roman" w:eastAsia="仿宋_GB2312" w:cs="仿宋_GB2312"/>
          <w:color w:val="auto"/>
          <w:sz w:val="32"/>
          <w:szCs w:val="32"/>
        </w:rPr>
        <w:t>产品和木屑等生物质材料</w:t>
      </w:r>
      <w:r>
        <w:rPr>
          <w:rFonts w:hint="eastAsia" w:ascii="Times New Roman" w:hAnsi="Times New Roman" w:eastAsia="仿宋_GB2312" w:cs="仿宋_GB2312"/>
          <w:color w:val="auto"/>
          <w:sz w:val="32"/>
          <w:szCs w:val="32"/>
          <w:lang w:eastAsia="zh-CN"/>
        </w:rPr>
        <w:t>制成</w:t>
      </w:r>
      <w:r>
        <w:rPr>
          <w:rFonts w:hint="eastAsia" w:ascii="Times New Roman" w:hAnsi="Times New Roman" w:eastAsia="仿宋_GB2312" w:cs="仿宋_GB2312"/>
          <w:color w:val="auto"/>
          <w:sz w:val="32"/>
          <w:szCs w:val="32"/>
        </w:rPr>
        <w:t>，</w:t>
      </w:r>
      <w:r>
        <w:rPr>
          <w:rFonts w:hint="eastAsia" w:ascii="Times New Roman" w:hAnsi="Times New Roman" w:eastAsia="仿宋_GB2312" w:cs="仿宋_GB2312"/>
          <w:color w:val="auto"/>
          <w:sz w:val="32"/>
          <w:szCs w:val="32"/>
          <w:lang w:eastAsia="zh-CN"/>
        </w:rPr>
        <w:t>含水量</w:t>
      </w:r>
      <w:r>
        <w:rPr>
          <w:rFonts w:hint="eastAsia" w:ascii="Times New Roman" w:hAnsi="Times New Roman" w:eastAsia="仿宋_GB2312" w:cs="仿宋_GB2312"/>
          <w:color w:val="auto"/>
          <w:sz w:val="32"/>
          <w:szCs w:val="32"/>
          <w:lang w:val="en-US" w:eastAsia="zh-CN"/>
        </w:rPr>
        <w:t>50%-65%，</w:t>
      </w:r>
      <w:r>
        <w:rPr>
          <w:rFonts w:hint="eastAsia" w:ascii="Times New Roman" w:hAnsi="Times New Roman" w:eastAsia="仿宋_GB2312" w:cs="仿宋_GB2312"/>
          <w:color w:val="auto"/>
          <w:sz w:val="32"/>
          <w:szCs w:val="32"/>
        </w:rPr>
        <w:t>在</w:t>
      </w:r>
      <w:r>
        <w:rPr>
          <w:rFonts w:hint="eastAsia" w:ascii="Times New Roman" w:hAnsi="Times New Roman" w:eastAsia="仿宋_GB2312" w:cs="仿宋_GB2312"/>
          <w:color w:val="auto"/>
          <w:sz w:val="32"/>
          <w:szCs w:val="32"/>
          <w:lang w:eastAsia="zh-CN"/>
        </w:rPr>
        <w:t>净化空气</w:t>
      </w:r>
      <w:r>
        <w:rPr>
          <w:rFonts w:hint="eastAsia" w:ascii="Times New Roman" w:hAnsi="Times New Roman" w:eastAsia="仿宋_GB2312" w:cs="仿宋_GB2312"/>
          <w:color w:val="auto"/>
          <w:sz w:val="32"/>
          <w:szCs w:val="32"/>
        </w:rPr>
        <w:t>的同时实现</w:t>
      </w:r>
      <w:r>
        <w:rPr>
          <w:rFonts w:hint="eastAsia" w:ascii="Times New Roman" w:hAnsi="Times New Roman" w:eastAsia="仿宋_GB2312" w:cs="仿宋_GB2312"/>
          <w:color w:val="auto"/>
          <w:sz w:val="32"/>
          <w:szCs w:val="32"/>
          <w:lang w:eastAsia="zh-CN"/>
        </w:rPr>
        <w:t>氮素</w:t>
      </w:r>
      <w:r>
        <w:rPr>
          <w:rFonts w:hint="eastAsia" w:ascii="Times New Roman" w:hAnsi="Times New Roman" w:eastAsia="仿宋_GB2312" w:cs="仿宋_GB2312"/>
          <w:color w:val="auto"/>
          <w:sz w:val="32"/>
          <w:szCs w:val="32"/>
        </w:rPr>
        <w:t>回收</w:t>
      </w: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仿宋_GB2312"/>
          <w:color w:val="auto"/>
          <w:sz w:val="32"/>
          <w:szCs w:val="32"/>
        </w:rPr>
        <w:t>现有研究表明</w:t>
      </w: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仿宋_GB2312"/>
          <w:color w:val="auto"/>
          <w:sz w:val="32"/>
          <w:szCs w:val="32"/>
        </w:rPr>
        <w:t>该技术</w:t>
      </w:r>
      <w:r>
        <w:rPr>
          <w:rFonts w:hint="eastAsia" w:ascii="Times New Roman" w:hAnsi="Times New Roman" w:eastAsia="仿宋_GB2312" w:cs="仿宋_GB2312"/>
          <w:color w:val="auto"/>
          <w:sz w:val="32"/>
          <w:szCs w:val="32"/>
          <w:lang w:eastAsia="zh-CN"/>
        </w:rPr>
        <w:t>可</w:t>
      </w:r>
      <w:r>
        <w:rPr>
          <w:rFonts w:hint="eastAsia" w:ascii="Times New Roman" w:hAnsi="Times New Roman" w:eastAsia="仿宋_GB2312" w:cs="仿宋_GB2312"/>
          <w:color w:val="auto"/>
          <w:sz w:val="32"/>
          <w:szCs w:val="32"/>
        </w:rPr>
        <w:t>降低臭气</w:t>
      </w:r>
      <w:r>
        <w:rPr>
          <w:rFonts w:hint="eastAsia" w:ascii="Times New Roman" w:hAnsi="Times New Roman" w:eastAsia="仿宋_GB2312" w:cs="仿宋_GB2312"/>
          <w:color w:val="auto"/>
          <w:sz w:val="32"/>
          <w:szCs w:val="32"/>
          <w:lang w:eastAsia="zh-CN"/>
        </w:rPr>
        <w:t>排放</w:t>
      </w:r>
      <w:r>
        <w:rPr>
          <w:rFonts w:hint="eastAsia" w:ascii="Times New Roman" w:hAnsi="Times New Roman" w:eastAsia="仿宋_GB2312" w:cs="仿宋_GB2312"/>
          <w:color w:val="auto"/>
          <w:sz w:val="32"/>
          <w:szCs w:val="32"/>
        </w:rPr>
        <w:t>强度90%以上。</w:t>
      </w:r>
    </w:p>
    <w:p>
      <w:pPr>
        <w:pStyle w:val="13"/>
        <w:ind w:left="0" w:leftChars="0" w:firstLine="643" w:firstLineChars="200"/>
        <w:rPr>
          <w:color w:val="auto"/>
        </w:rPr>
      </w:pPr>
      <w:r>
        <w:rPr>
          <w:rFonts w:hint="eastAsia" w:ascii="Times New Roman" w:hAnsi="Times New Roman" w:eastAsia="仿宋_GB2312" w:cs="仿宋_GB2312"/>
          <w:b/>
          <w:color w:val="auto"/>
          <w:sz w:val="32"/>
          <w:szCs w:val="32"/>
        </w:rPr>
        <w:t>10.液体粪肥覆盖式施用技术。</w:t>
      </w:r>
      <w:r>
        <w:rPr>
          <w:rFonts w:hint="eastAsia" w:ascii="Times New Roman" w:hAnsi="Times New Roman" w:eastAsia="仿宋_GB2312" w:cs="仿宋_GB2312"/>
          <w:color w:val="auto"/>
          <w:sz w:val="32"/>
          <w:szCs w:val="32"/>
          <w:lang w:eastAsia="zh-CN"/>
        </w:rPr>
        <w:t>采用喷施、浇施、冲施、淋施、条施、滴灌施等方式，将液体粪肥施用于土壤表面后，宜及时翻耕入土，减少粪肥在土壤表面停留时间，减小与空气接触面积。还可通过注射式等施肥方式，将液体粪肥施用于土壤表面以下</w:t>
      </w:r>
      <w:r>
        <w:rPr>
          <w:rFonts w:hint="eastAsia" w:ascii="Times New Roman" w:hAnsi="Times New Roman" w:eastAsia="仿宋_GB2312" w:cs="仿宋_GB2312"/>
          <w:color w:val="auto"/>
          <w:sz w:val="32"/>
          <w:szCs w:val="32"/>
          <w:highlight w:val="none"/>
          <w:lang w:eastAsia="zh-CN"/>
        </w:rPr>
        <w:t>3</w:t>
      </w:r>
      <w:r>
        <w:rPr>
          <w:rFonts w:hint="eastAsia" w:ascii="宋体" w:hAnsi="宋体" w:eastAsia="宋体" w:cs="宋体"/>
          <w:color w:val="auto"/>
          <w:sz w:val="32"/>
          <w:szCs w:val="32"/>
          <w:lang w:val="en-US" w:eastAsia="zh-CN"/>
        </w:rPr>
        <w:t>-</w:t>
      </w:r>
      <w:r>
        <w:rPr>
          <w:rFonts w:hint="eastAsia" w:ascii="Times New Roman" w:hAnsi="Times New Roman" w:eastAsia="仿宋_GB2312" w:cs="仿宋_GB2312"/>
          <w:color w:val="auto"/>
          <w:sz w:val="32"/>
          <w:szCs w:val="32"/>
          <w:lang w:val="en-US" w:eastAsia="zh-CN"/>
        </w:rPr>
        <w:t>3</w:t>
      </w:r>
      <w:r>
        <w:rPr>
          <w:rFonts w:hint="eastAsia" w:ascii="Times New Roman" w:hAnsi="Times New Roman" w:eastAsia="仿宋_GB2312" w:cs="仿宋_GB2312"/>
          <w:color w:val="auto"/>
          <w:sz w:val="32"/>
          <w:szCs w:val="32"/>
          <w:highlight w:val="none"/>
          <w:lang w:val="en-US" w:eastAsia="zh-CN"/>
        </w:rPr>
        <w:t>5</w:t>
      </w:r>
      <w:r>
        <w:rPr>
          <w:rFonts w:hint="eastAsia" w:ascii="Times New Roman" w:hAnsi="Times New Roman" w:eastAsia="仿宋_GB2312" w:cs="仿宋_GB2312"/>
          <w:color w:val="auto"/>
          <w:sz w:val="32"/>
          <w:szCs w:val="32"/>
          <w:lang w:eastAsia="zh-CN"/>
        </w:rPr>
        <w:t>厘米。</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color w:val="auto"/>
          <w:lang w:val="en-US" w:eastAsia="zh-CN"/>
        </w:rPr>
      </w:pPr>
      <w:bookmarkStart w:id="97" w:name="_Toc5006"/>
      <w:r>
        <w:rPr>
          <w:rFonts w:hint="eastAsia"/>
          <w:color w:val="auto"/>
          <w:lang w:val="en-US" w:eastAsia="zh-CN"/>
        </w:rPr>
        <w:t>4.2.3</w:t>
      </w:r>
      <w:bookmarkEnd w:id="97"/>
      <w:r>
        <w:rPr>
          <w:rFonts w:hint="eastAsia"/>
          <w:color w:val="auto"/>
          <w:lang w:val="en-US" w:eastAsia="zh-CN"/>
        </w:rPr>
        <w:t>加强宣传引导，推广粪污资源化利用新技术新模式</w:t>
      </w:r>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仿宋_GB2312" w:cs="仿宋_GB2312"/>
          <w:color w:val="auto"/>
          <w:sz w:val="32"/>
          <w:szCs w:val="32"/>
          <w:lang w:eastAsia="zh-CN"/>
        </w:rPr>
      </w:pPr>
      <w:r>
        <w:rPr>
          <w:rFonts w:hint="eastAsia" w:ascii="Times New Roman" w:hAnsi="Times New Roman" w:eastAsia="仿宋"/>
          <w:color w:val="auto"/>
          <w:kern w:val="0"/>
          <w:sz w:val="32"/>
          <w:szCs w:val="32"/>
          <w:lang w:eastAsia="zh-CN"/>
        </w:rPr>
        <w:t>县畜牧兽医技术推广中心和各乡镇畜牧水产站不定期组织技术人员，采用展板、明白纸、条幅、网络等多种形式，结合“三下乡活动”、“科技活动周”、“安全生产宣传日”、“全国科普日”、</w:t>
      </w:r>
      <w:r>
        <w:rPr>
          <w:rFonts w:hint="eastAsia" w:ascii="Times New Roman" w:hAnsi="Times New Roman" w:eastAsia="仿宋"/>
          <w:color w:val="5B9BD5" w:themeColor="accent1"/>
          <w:kern w:val="0"/>
          <w:sz w:val="32"/>
          <w:szCs w:val="32"/>
          <w:lang w:eastAsia="zh-CN"/>
          <w14:textFill>
            <w14:solidFill>
              <w14:schemeClr w14:val="accent1"/>
            </w14:solidFill>
          </w14:textFill>
        </w:rPr>
        <w:t>“12.4宪法宣传周”</w:t>
      </w:r>
      <w:r>
        <w:rPr>
          <w:rFonts w:hint="eastAsia" w:ascii="Times New Roman" w:hAnsi="Times New Roman" w:eastAsia="仿宋"/>
          <w:color w:val="auto"/>
          <w:kern w:val="0"/>
          <w:sz w:val="32"/>
          <w:szCs w:val="32"/>
          <w:lang w:eastAsia="zh-CN"/>
        </w:rPr>
        <w:t>、“6·5环境保护日”宣传活动和畜禽污染专项整治行动等活动，在农民职业培训、专业技术培训课程中开设粪污资源化利用技术专场，让广大养殖户深入学习畜禽粪污处理利用技术以及养殖污染所要承担的相关法律责任，从而树立生态、健康的养殖意识，主动维护良好的生产经营秩序</w:t>
      </w:r>
      <w:r>
        <w:rPr>
          <w:rFonts w:hint="eastAsia" w:ascii="Times New Roman" w:hAnsi="Times New Roman" w:eastAsia="仿宋_GB2312" w:cs="仿宋_GB2312"/>
          <w:color w:val="auto"/>
          <w:sz w:val="32"/>
          <w:szCs w:val="32"/>
          <w:lang w:eastAsia="zh-CN"/>
        </w:rPr>
        <w:t>。</w:t>
      </w:r>
    </w:p>
    <w:bookmarkEnd w:id="94"/>
    <w:p>
      <w:pPr>
        <w:pStyle w:val="5"/>
        <w:rPr>
          <w:color w:val="auto"/>
        </w:rPr>
      </w:pPr>
      <w:bookmarkStart w:id="98" w:name="_Toc24121"/>
      <w:bookmarkStart w:id="99" w:name="_Toc23860"/>
      <w:bookmarkStart w:id="100" w:name="_Toc32114"/>
      <w:r>
        <w:rPr>
          <w:color w:val="auto"/>
        </w:rPr>
        <w:t>4.3</w:t>
      </w:r>
      <w:r>
        <w:rPr>
          <w:rFonts w:hint="eastAsia" w:cs="仿宋"/>
          <w:color w:val="auto"/>
        </w:rPr>
        <w:t>完善粪污处理利用设施</w:t>
      </w:r>
      <w:bookmarkEnd w:id="98"/>
      <w:bookmarkEnd w:id="99"/>
      <w:bookmarkEnd w:id="100"/>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color w:val="auto"/>
          <w:lang w:val="en-US" w:eastAsia="zh-CN"/>
        </w:rPr>
      </w:pPr>
      <w:bookmarkStart w:id="101" w:name="_Toc25067"/>
      <w:bookmarkStart w:id="102" w:name="_Toc20325"/>
      <w:bookmarkStart w:id="103" w:name="_Toc31586"/>
      <w:bookmarkStart w:id="104" w:name="_Hlk79405666"/>
      <w:r>
        <w:rPr>
          <w:rFonts w:hint="eastAsia"/>
          <w:color w:val="auto"/>
          <w:lang w:val="en-US" w:eastAsia="zh-CN"/>
        </w:rPr>
        <w:t>4.3.1</w:t>
      </w:r>
      <w:bookmarkEnd w:id="101"/>
      <w:bookmarkEnd w:id="102"/>
      <w:r>
        <w:rPr>
          <w:rFonts w:hint="eastAsia"/>
          <w:color w:val="auto"/>
          <w:lang w:val="en-US" w:eastAsia="zh-CN"/>
        </w:rPr>
        <w:t>畜禽规模养殖场清洁生产设施建设</w:t>
      </w:r>
      <w:bookmarkEnd w:id="103"/>
    </w:p>
    <w:p>
      <w:pPr>
        <w:numPr>
          <w:ilvl w:val="-1"/>
          <w:numId w:val="0"/>
        </w:numPr>
        <w:spacing w:line="600" w:lineRule="exact"/>
        <w:ind w:firstLine="640" w:firstLineChars="200"/>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sz w:val="32"/>
          <w:szCs w:val="32"/>
          <w:lang w:eastAsia="zh-CN"/>
        </w:rPr>
        <w:t>畜禽养殖场环境质量及卫生控制应符合NY/T1167的有关要求。畜禽养殖业污染治理应从源头控制，支持现有养殖场（户）圈舍及粪污贮存设施进行雨污分流改造，新建养殖场执行雨污分离。支持规模场更新设施设备和标准化改造栏舍，配备自动喂料、自动饮水、自动清粪等设施装备。优化饲料配方、提高饲养技术、管理水平。改善畜舍结构和通风供暖工艺，养殖栏舍配备通风排气装置、气体收集处理后排放等臭气和温室气体减控设施等。</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color w:val="auto"/>
          <w:lang w:val="en-US" w:eastAsia="zh-CN"/>
        </w:rPr>
      </w:pPr>
      <w:bookmarkStart w:id="105" w:name="_Toc27501"/>
      <w:r>
        <w:rPr>
          <w:rFonts w:hint="eastAsia"/>
          <w:color w:val="auto"/>
          <w:lang w:val="en-US" w:eastAsia="zh-CN"/>
        </w:rPr>
        <w:t>4.3.2畜禽规模养殖场粪污处理利用设施建设</w:t>
      </w:r>
      <w:bookmarkEnd w:id="105"/>
    </w:p>
    <w:p>
      <w:pPr>
        <w:numPr>
          <w:ilvl w:val="-1"/>
          <w:numId w:val="0"/>
        </w:numPr>
        <w:spacing w:line="600" w:lineRule="exact"/>
        <w:ind w:firstLine="640" w:firstLineChars="200"/>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sz w:val="32"/>
          <w:szCs w:val="32"/>
          <w:lang w:eastAsia="zh-CN"/>
        </w:rPr>
        <w:t>按照《畜禽规模养殖污染防治条例》，</w:t>
      </w:r>
      <w:bookmarkStart w:id="106" w:name="_Hlk83804681"/>
      <w:r>
        <w:rPr>
          <w:rFonts w:hint="eastAsia" w:ascii="Times New Roman" w:hAnsi="Times New Roman" w:eastAsia="仿宋_GB2312" w:cs="仿宋_GB2312"/>
          <w:color w:val="auto"/>
          <w:sz w:val="32"/>
          <w:szCs w:val="32"/>
          <w:lang w:eastAsia="zh-CN"/>
        </w:rPr>
        <w:t>对畜禽养殖场的污染防治设施的建设、验收和运行实行“三同时”制度。</w:t>
      </w:r>
      <w:bookmarkEnd w:id="106"/>
    </w:p>
    <w:p>
      <w:pPr>
        <w:numPr>
          <w:ilvl w:val="-1"/>
          <w:numId w:val="0"/>
        </w:numPr>
        <w:spacing w:line="600" w:lineRule="exact"/>
        <w:ind w:firstLine="640" w:firstLineChars="200"/>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sz w:val="32"/>
          <w:szCs w:val="32"/>
          <w:lang w:eastAsia="zh-CN"/>
        </w:rPr>
        <w:t>采用生产有机肥方式的养殖场，有机肥加工设施建设按具备相应规模工程设计资质单位的设计方案执行，产品应达到《有机肥料》（NY 525）、《有机-无机复混肥料》（GB 18877）等要求后作为商品有机肥出售。采用沼气发酵的养殖场，建设厌氧消化反应器、沼气收集和处置系统、沼液沼渣分离和贮存系统，实现资源化产品的安全处置、妥善贮存和综合利用，做好冬季保温。采用堆肥发酵工艺的养殖场，应建设储存、发酵等场地（至少可暂存180天粪污），配备翻抛设备。委托第三方处理的养殖场，应与第三方签订粪污处理与利用合同。</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color w:val="auto"/>
          <w:lang w:val="en-US" w:eastAsia="zh-CN"/>
        </w:rPr>
      </w:pPr>
      <w:bookmarkStart w:id="107" w:name="_Toc18364"/>
      <w:r>
        <w:rPr>
          <w:rFonts w:hint="eastAsia"/>
          <w:color w:val="auto"/>
          <w:lang w:val="en-US" w:eastAsia="zh-CN"/>
        </w:rPr>
        <w:t>4.3.3规模以下养殖户清洁生产设施建设</w:t>
      </w:r>
      <w:bookmarkEnd w:id="107"/>
    </w:p>
    <w:p>
      <w:pPr>
        <w:numPr>
          <w:ilvl w:val="-1"/>
          <w:numId w:val="0"/>
        </w:numPr>
        <w:spacing w:line="600" w:lineRule="exact"/>
        <w:ind w:firstLine="640" w:firstLineChars="200"/>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sz w:val="32"/>
          <w:szCs w:val="32"/>
          <w:lang w:eastAsia="zh-CN"/>
        </w:rPr>
        <w:t>新建畜禽养殖圈舍及粪污贮存设施应进行雨污分流。推荐采用干清粪、机械清粪工艺，现有养殖户逐步淘汰全程水冲粪清粪方式，实现废水源头减量。按照畜禽养殖污染治理疏堵结合、种养平衡、资源利用的原则，通过减少排污量、废弃物资源化利用等方式，大力推进养殖户污染治理工作。</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color w:val="auto"/>
          <w:lang w:val="en-US" w:eastAsia="zh-CN"/>
        </w:rPr>
      </w:pPr>
      <w:bookmarkStart w:id="108" w:name="_Toc18669"/>
      <w:r>
        <w:rPr>
          <w:rFonts w:hint="eastAsia"/>
          <w:color w:val="auto"/>
          <w:lang w:val="en-US" w:eastAsia="zh-CN"/>
        </w:rPr>
        <w:t>4.3.4畜禽养殖户粪污处理利用设施建设</w:t>
      </w:r>
      <w:bookmarkEnd w:id="108"/>
    </w:p>
    <w:p>
      <w:pPr>
        <w:numPr>
          <w:ilvl w:val="-1"/>
          <w:numId w:val="0"/>
        </w:numPr>
        <w:spacing w:line="360" w:lineRule="auto"/>
        <w:ind w:firstLine="640" w:firstLineChars="200"/>
        <w:rPr>
          <w:rFonts w:hint="eastAsia" w:ascii="Times New Roman" w:hAnsi="Times New Roman" w:eastAsia="仿宋_GB2312" w:cs="仿宋_GB2312"/>
          <w:color w:val="auto"/>
          <w:sz w:val="32"/>
          <w:szCs w:val="32"/>
          <w:lang w:eastAsia="zh-CN"/>
        </w:rPr>
      </w:pPr>
      <w:bookmarkStart w:id="109" w:name="_Hlk83805257"/>
      <w:r>
        <w:rPr>
          <w:rFonts w:hint="eastAsia" w:ascii="Times New Roman" w:hAnsi="Times New Roman" w:eastAsia="仿宋_GB2312" w:cs="仿宋_GB2312"/>
          <w:color w:val="auto"/>
          <w:sz w:val="32"/>
          <w:szCs w:val="32"/>
          <w:lang w:eastAsia="zh-CN"/>
        </w:rPr>
        <w:t>按照“谁污染、谁治理”原则，</w:t>
      </w:r>
      <w:bookmarkStart w:id="110" w:name="_Hlk90561194"/>
      <w:r>
        <w:rPr>
          <w:rFonts w:hint="eastAsia" w:ascii="Times New Roman" w:hAnsi="Times New Roman" w:eastAsia="仿宋_GB2312" w:cs="仿宋_GB2312"/>
          <w:color w:val="auto"/>
          <w:sz w:val="32"/>
          <w:szCs w:val="32"/>
          <w:lang w:eastAsia="zh-CN"/>
        </w:rPr>
        <w:t>采用畜禽粪污资源化利用模式的畜禽养殖户，应配套建设畜禽粪污资源化利用相关设施，做到防渗、防雨、防溢流，不得对周边环境造成污染</w:t>
      </w:r>
      <w:bookmarkEnd w:id="109"/>
      <w:r>
        <w:rPr>
          <w:rFonts w:hint="eastAsia" w:ascii="Times New Roman" w:hAnsi="Times New Roman" w:eastAsia="仿宋_GB2312" w:cs="仿宋_GB2312"/>
          <w:color w:val="auto"/>
          <w:sz w:val="32"/>
          <w:szCs w:val="32"/>
          <w:lang w:eastAsia="zh-CN"/>
        </w:rPr>
        <w:t>。</w:t>
      </w:r>
      <w:bookmarkEnd w:id="110"/>
      <w:r>
        <w:rPr>
          <w:rFonts w:hint="eastAsia" w:ascii="Times New Roman" w:hAnsi="Times New Roman" w:eastAsia="仿宋_GB2312" w:cs="仿宋_GB2312"/>
          <w:color w:val="auto"/>
          <w:sz w:val="32"/>
          <w:szCs w:val="32"/>
          <w:lang w:eastAsia="zh-CN"/>
        </w:rPr>
        <w:t>建设标准参照</w:t>
      </w:r>
      <w:bookmarkStart w:id="111" w:name="_Hlk90552990"/>
      <w:bookmarkStart w:id="112" w:name="_Hlk76371410"/>
      <w:r>
        <w:rPr>
          <w:rFonts w:hint="eastAsia" w:ascii="Times New Roman" w:hAnsi="Times New Roman" w:eastAsia="仿宋_GB2312" w:cs="仿宋_GB2312"/>
          <w:color w:val="auto"/>
          <w:sz w:val="32"/>
          <w:szCs w:val="32"/>
          <w:lang w:eastAsia="zh-CN"/>
        </w:rPr>
        <w:t>《辽宁省畜禽养殖粪便贮存设施建设标准（试行）》</w:t>
      </w:r>
      <w:bookmarkEnd w:id="111"/>
      <w:r>
        <w:rPr>
          <w:rFonts w:hint="eastAsia" w:ascii="Times New Roman" w:hAnsi="Times New Roman" w:eastAsia="仿宋_GB2312" w:cs="仿宋_GB2312"/>
          <w:color w:val="auto"/>
          <w:sz w:val="32"/>
          <w:szCs w:val="32"/>
          <w:lang w:eastAsia="zh-CN"/>
        </w:rPr>
        <w:t>、《畜禽养殖污水贮存设施设计要求》或按具备相应设计规模工程设计资质单位的设计方案执行</w:t>
      </w:r>
      <w:bookmarkEnd w:id="112"/>
      <w:r>
        <w:rPr>
          <w:rFonts w:hint="eastAsia" w:ascii="Times New Roman" w:hAnsi="Times New Roman" w:eastAsia="仿宋_GB2312" w:cs="仿宋_GB2312"/>
          <w:color w:val="auto"/>
          <w:sz w:val="32"/>
          <w:szCs w:val="32"/>
          <w:lang w:eastAsia="zh-CN"/>
        </w:rPr>
        <w:t>。</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color w:val="auto"/>
          <w:lang w:val="en-US" w:eastAsia="zh-CN"/>
        </w:rPr>
      </w:pPr>
      <w:bookmarkStart w:id="113" w:name="_Toc28845"/>
      <w:r>
        <w:rPr>
          <w:rFonts w:hint="eastAsia"/>
          <w:color w:val="auto"/>
          <w:lang w:val="en-US" w:eastAsia="zh-CN"/>
        </w:rPr>
        <w:t>4.3.5田间配套设施建设</w:t>
      </w:r>
      <w:bookmarkEnd w:id="113"/>
    </w:p>
    <w:p>
      <w:pPr>
        <w:numPr>
          <w:ilvl w:val="-1"/>
          <w:numId w:val="0"/>
        </w:numPr>
        <w:spacing w:line="600" w:lineRule="exact"/>
        <w:ind w:firstLine="640" w:firstLineChars="200"/>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sz w:val="32"/>
          <w:szCs w:val="32"/>
          <w:lang w:eastAsia="zh-CN"/>
        </w:rPr>
        <w:t>推进田间配套设施建设工作，建设田间粪污暂存设施，根据试点村粪污产量、经济情况等，</w:t>
      </w:r>
      <w:bookmarkStart w:id="114" w:name="_Hlk78388443"/>
      <w:r>
        <w:rPr>
          <w:rFonts w:hint="eastAsia" w:ascii="Times New Roman" w:hAnsi="Times New Roman" w:eastAsia="仿宋_GB2312" w:cs="仿宋_GB2312"/>
          <w:color w:val="auto"/>
          <w:sz w:val="32"/>
          <w:szCs w:val="32"/>
          <w:lang w:eastAsia="zh-CN"/>
        </w:rPr>
        <w:t>合理选择粪肥还田输送管道、配置运输罐车、固态肥抛撒机、液态粪肥撒施机、沼液沼渣抽排机、远距离施肥泵粪肥机械化还田作业设施。施肥过程应采用深施、埋施等减排措施。</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仿宋_GB2312" w:cs="仿宋_GB2312"/>
          <w:color w:val="auto"/>
          <w:sz w:val="32"/>
          <w:szCs w:val="32"/>
          <w:lang w:val="en-US" w:eastAsia="zh-CN"/>
        </w:rPr>
      </w:pPr>
      <w:r>
        <w:rPr>
          <w:rFonts w:hint="eastAsia"/>
          <w:color w:val="auto"/>
          <w:lang w:val="en-US" w:eastAsia="zh-CN"/>
        </w:rPr>
        <w:t>4.3.6畜禽规模养殖场防渗要求</w:t>
      </w:r>
    </w:p>
    <w:p>
      <w:pPr>
        <w:numPr>
          <w:ilvl w:val="-1"/>
          <w:numId w:val="0"/>
        </w:numPr>
        <w:spacing w:line="600" w:lineRule="exact"/>
        <w:ind w:firstLine="640" w:firstLineChars="200"/>
        <w:rPr>
          <w:rFonts w:hint="default"/>
          <w:color w:val="auto"/>
          <w:lang w:val="en-US" w:eastAsia="zh-CN"/>
        </w:rPr>
      </w:pPr>
      <w:r>
        <w:rPr>
          <w:rFonts w:hint="eastAsia" w:ascii="Times New Roman" w:hAnsi="Times New Roman" w:eastAsia="仿宋_GB2312" w:cs="仿宋_GB2312"/>
          <w:color w:val="auto"/>
          <w:sz w:val="32"/>
          <w:szCs w:val="32"/>
          <w:lang w:val="en-US" w:eastAsia="zh-CN"/>
        </w:rPr>
        <w:t>畜禽规模养殖场应建设雨污分离设施，污水宜采用暗沟或管道输送。</w:t>
      </w:r>
      <w:r>
        <w:rPr>
          <w:rFonts w:hint="default" w:ascii="Times New Roman" w:hAnsi="Times New Roman" w:eastAsia="仿宋_GB2312" w:cs="仿宋_GB2312"/>
          <w:color w:val="auto"/>
          <w:sz w:val="32"/>
          <w:szCs w:val="32"/>
          <w:lang w:val="en-US" w:eastAsia="zh-CN"/>
        </w:rPr>
        <w:t>畜禽规模养殖场应及时对粪污进行收集、贮存，粪污暂存池（场）应满足防渗、防雨、防溢流等要求。固体粪便暂存池（场）的设计按照 GB/T 27622 执行。污水暂存池的设计按照 GB/T 26624 执行</w:t>
      </w:r>
      <w:r>
        <w:rPr>
          <w:rFonts w:hint="eastAsia" w:ascii="Times New Roman" w:hAnsi="Times New Roman" w:eastAsia="仿宋_GB2312" w:cs="仿宋_GB2312"/>
          <w:color w:val="auto"/>
          <w:sz w:val="32"/>
          <w:szCs w:val="32"/>
          <w:lang w:val="en-US" w:eastAsia="zh-CN"/>
        </w:rPr>
        <w:t>。</w:t>
      </w:r>
    </w:p>
    <w:bookmarkEnd w:id="104"/>
    <w:bookmarkEnd w:id="114"/>
    <w:p>
      <w:pPr>
        <w:pStyle w:val="5"/>
        <w:rPr>
          <w:color w:val="auto"/>
        </w:rPr>
      </w:pPr>
      <w:bookmarkStart w:id="115" w:name="_Toc32332"/>
      <w:bookmarkStart w:id="116" w:name="_Toc28265"/>
      <w:bookmarkStart w:id="117" w:name="_Toc31061"/>
      <w:r>
        <w:rPr>
          <w:color w:val="auto"/>
        </w:rPr>
        <w:t xml:space="preserve">4.4 </w:t>
      </w:r>
      <w:r>
        <w:rPr>
          <w:rFonts w:hint="eastAsia" w:cs="仿宋"/>
          <w:color w:val="auto"/>
        </w:rPr>
        <w:t>完善台账管理制度</w:t>
      </w:r>
      <w:bookmarkEnd w:id="115"/>
      <w:bookmarkEnd w:id="116"/>
      <w:bookmarkEnd w:id="117"/>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color w:val="auto"/>
          <w:lang w:val="en-US" w:eastAsia="zh-CN"/>
        </w:rPr>
      </w:pPr>
      <w:bookmarkStart w:id="118" w:name="_Toc29036"/>
      <w:r>
        <w:rPr>
          <w:rFonts w:hint="eastAsia"/>
          <w:color w:val="auto"/>
          <w:lang w:val="en-US" w:eastAsia="zh-CN"/>
        </w:rPr>
        <w:t>4.4.1</w:t>
      </w:r>
      <w:bookmarkStart w:id="119" w:name="_Hlk79405403"/>
      <w:r>
        <w:rPr>
          <w:rFonts w:hint="eastAsia"/>
          <w:color w:val="auto"/>
          <w:lang w:val="en-US" w:eastAsia="zh-CN"/>
        </w:rPr>
        <w:t>加强宣传服务，逐步推进粪肥利用台账制度实施</w:t>
      </w:r>
      <w:bookmarkEnd w:id="118"/>
    </w:p>
    <w:p>
      <w:pPr>
        <w:numPr>
          <w:ilvl w:val="-1"/>
          <w:numId w:val="0"/>
        </w:numPr>
        <w:spacing w:line="600" w:lineRule="exact"/>
        <w:ind w:firstLine="640" w:firstLineChars="200"/>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sz w:val="32"/>
          <w:szCs w:val="32"/>
          <w:lang w:eastAsia="zh-CN"/>
        </w:rPr>
        <w:t>加强相关法律法规以及粪污资源化利用有关政策要求的宣传，</w:t>
      </w:r>
      <w:bookmarkStart w:id="120" w:name="_Hlk89874667"/>
      <w:r>
        <w:rPr>
          <w:rFonts w:hint="eastAsia" w:ascii="Times New Roman" w:hAnsi="Times New Roman" w:eastAsia="仿宋_GB2312" w:cs="仿宋_GB2312"/>
          <w:color w:val="auto"/>
          <w:sz w:val="32"/>
          <w:szCs w:val="32"/>
          <w:lang w:eastAsia="zh-CN"/>
        </w:rPr>
        <w:t>让规模养殖场（畜禽养殖户）知悉主体责任，树立粪肥台账记录的自觉性</w:t>
      </w:r>
      <w:bookmarkEnd w:id="120"/>
      <w:r>
        <w:rPr>
          <w:rFonts w:hint="eastAsia" w:ascii="Times New Roman" w:hAnsi="Times New Roman" w:eastAsia="仿宋_GB2312" w:cs="仿宋_GB2312"/>
          <w:color w:val="auto"/>
          <w:sz w:val="32"/>
          <w:szCs w:val="32"/>
          <w:lang w:eastAsia="zh-CN"/>
        </w:rPr>
        <w:t>，提高填报信息的准确性、及时性。</w:t>
      </w:r>
      <w:bookmarkStart w:id="121" w:name="_Hlk89874684"/>
      <w:r>
        <w:rPr>
          <w:rFonts w:hint="eastAsia" w:ascii="Times New Roman" w:hAnsi="Times New Roman" w:eastAsia="仿宋_GB2312" w:cs="仿宋_GB2312"/>
          <w:color w:val="auto"/>
          <w:sz w:val="32"/>
          <w:szCs w:val="32"/>
          <w:lang w:eastAsia="zh-CN"/>
        </w:rPr>
        <w:t>以大型规模养殖场、规模养殖场为重点，大力推进粪肥利用台账制度，鼓励有条件的畜禽养殖场户填报，逐步完善粪肥利用台帐。</w:t>
      </w:r>
      <w:bookmarkEnd w:id="121"/>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color w:val="auto"/>
          <w:lang w:val="en-US" w:eastAsia="zh-CN"/>
        </w:rPr>
      </w:pPr>
      <w:bookmarkStart w:id="122" w:name="_Toc8745"/>
      <w:r>
        <w:rPr>
          <w:rFonts w:hint="eastAsia"/>
          <w:color w:val="auto"/>
          <w:lang w:val="en-US" w:eastAsia="zh-CN"/>
        </w:rPr>
        <w:t>4.4.2落实责任，做好台账记录</w:t>
      </w:r>
      <w:bookmarkEnd w:id="122"/>
    </w:p>
    <w:p>
      <w:pPr>
        <w:numPr>
          <w:ilvl w:val="-1"/>
          <w:numId w:val="0"/>
        </w:numPr>
        <w:spacing w:line="600" w:lineRule="exact"/>
        <w:ind w:firstLine="640" w:firstLineChars="200"/>
        <w:rPr>
          <w:rFonts w:hint="eastAsia" w:ascii="Times New Roman" w:hAnsi="Times New Roman" w:eastAsia="仿宋_GB2312" w:cs="仿宋_GB2312"/>
          <w:color w:val="auto"/>
          <w:sz w:val="32"/>
          <w:szCs w:val="32"/>
          <w:lang w:eastAsia="zh-CN"/>
        </w:rPr>
      </w:pPr>
      <w:bookmarkStart w:id="123" w:name="_Hlk89874702"/>
      <w:r>
        <w:rPr>
          <w:rFonts w:hint="eastAsia" w:ascii="Times New Roman" w:hAnsi="Times New Roman" w:eastAsia="仿宋_GB2312" w:cs="仿宋_GB2312"/>
          <w:color w:val="auto"/>
          <w:sz w:val="32"/>
          <w:szCs w:val="32"/>
          <w:lang w:eastAsia="zh-CN"/>
        </w:rPr>
        <w:t>按照适用、方便的原则，探索建立符合养殖场养殖畜禽种类实际以及粪污处理利用现状的台账格式。养殖场是台帐填报主体，需按照要求记录粪污资源化利用的管理台账，</w:t>
      </w:r>
      <w:bookmarkStart w:id="124" w:name="_Hlk83805514"/>
      <w:r>
        <w:rPr>
          <w:rFonts w:hint="eastAsia" w:ascii="Times New Roman" w:hAnsi="Times New Roman" w:eastAsia="仿宋_GB2312" w:cs="仿宋_GB2312"/>
          <w:color w:val="auto"/>
          <w:sz w:val="32"/>
          <w:szCs w:val="32"/>
          <w:lang w:eastAsia="zh-CN"/>
        </w:rPr>
        <w:t>台账应至少保留2年以上</w:t>
      </w:r>
      <w:bookmarkEnd w:id="124"/>
      <w:r>
        <w:rPr>
          <w:rFonts w:hint="eastAsia" w:ascii="Times New Roman" w:hAnsi="Times New Roman" w:eastAsia="仿宋_GB2312" w:cs="仿宋_GB2312"/>
          <w:color w:val="auto"/>
          <w:sz w:val="32"/>
          <w:szCs w:val="32"/>
          <w:lang w:eastAsia="zh-CN"/>
        </w:rPr>
        <w:t>。</w:t>
      </w:r>
      <w:bookmarkEnd w:id="123"/>
    </w:p>
    <w:bookmarkEnd w:id="119"/>
    <w:p>
      <w:pPr>
        <w:pStyle w:val="5"/>
        <w:rPr>
          <w:color w:val="auto"/>
        </w:rPr>
      </w:pPr>
      <w:bookmarkStart w:id="125" w:name="_Toc5971"/>
      <w:bookmarkStart w:id="126" w:name="_Toc31746"/>
      <w:bookmarkStart w:id="127" w:name="_Toc4955"/>
      <w:r>
        <w:rPr>
          <w:color w:val="auto"/>
        </w:rPr>
        <w:t>4.5</w:t>
      </w:r>
      <w:r>
        <w:rPr>
          <w:rFonts w:hint="eastAsia" w:cs="仿宋"/>
          <w:color w:val="auto"/>
        </w:rPr>
        <w:t>强化环境监管</w:t>
      </w:r>
      <w:bookmarkEnd w:id="125"/>
      <w:bookmarkEnd w:id="126"/>
      <w:bookmarkEnd w:id="127"/>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color w:val="auto"/>
          <w:lang w:val="en-US" w:eastAsia="zh-CN"/>
        </w:rPr>
      </w:pPr>
      <w:bookmarkStart w:id="128" w:name="_Toc17317"/>
      <w:r>
        <w:rPr>
          <w:rFonts w:hint="eastAsia"/>
          <w:color w:val="auto"/>
          <w:lang w:val="en-US" w:eastAsia="zh-CN"/>
        </w:rPr>
        <w:t>4.5.1</w:t>
      </w:r>
      <w:r>
        <w:rPr>
          <w:rFonts w:hint="eastAsia" w:ascii="Times New Roman" w:hAnsi="Times New Roman" w:eastAsia="仿宋_GB2312" w:cs="仿宋_GB2312"/>
          <w:color w:val="auto"/>
          <w:sz w:val="32"/>
          <w:szCs w:val="32"/>
          <w:lang w:eastAsia="zh-CN"/>
        </w:rPr>
        <w:t>严格行政审批，规范养殖准入门槛</w:t>
      </w:r>
      <w:bookmarkEnd w:id="128"/>
    </w:p>
    <w:p>
      <w:pPr>
        <w:ind w:firstLine="640" w:firstLineChars="200"/>
        <w:rPr>
          <w:color w:val="auto"/>
        </w:rPr>
      </w:pPr>
      <w:r>
        <w:rPr>
          <w:rFonts w:hint="eastAsia" w:ascii="Times New Roman" w:hAnsi="Times New Roman" w:eastAsia="仿宋_GB2312" w:cs="仿宋_GB2312"/>
          <w:color w:val="auto"/>
          <w:sz w:val="32"/>
          <w:szCs w:val="32"/>
          <w:lang w:eastAsia="zh-CN"/>
        </w:rPr>
        <w:t>规模化以下小型养殖场就近合并，提</w:t>
      </w:r>
      <w:r>
        <w:rPr>
          <w:rFonts w:hint="eastAsia" w:ascii="Times New Roman" w:hAnsi="Times New Roman" w:eastAsia="仿宋_GB2312" w:cs="仿宋_GB2312"/>
          <w:color w:val="auto"/>
          <w:sz w:val="32"/>
          <w:szCs w:val="32"/>
          <w:lang w:val="en-US" w:eastAsia="zh-CN"/>
        </w:rPr>
        <w:t>高</w:t>
      </w:r>
      <w:r>
        <w:rPr>
          <w:rFonts w:hint="eastAsia" w:ascii="Times New Roman" w:hAnsi="Times New Roman" w:eastAsia="仿宋_GB2312" w:cs="仿宋_GB2312"/>
          <w:color w:val="auto"/>
          <w:sz w:val="32"/>
          <w:szCs w:val="32"/>
          <w:lang w:eastAsia="zh-CN"/>
        </w:rPr>
        <w:t>猪、牛、羊等规模化养殖</w:t>
      </w:r>
      <w:r>
        <w:rPr>
          <w:rFonts w:hint="eastAsia" w:ascii="Times New Roman" w:hAnsi="Times New Roman" w:eastAsia="仿宋_GB2312" w:cs="仿宋_GB2312"/>
          <w:color w:val="auto"/>
          <w:sz w:val="32"/>
          <w:szCs w:val="32"/>
          <w:lang w:val="en-US" w:eastAsia="zh-CN"/>
        </w:rPr>
        <w:t>占比，</w:t>
      </w:r>
      <w:r>
        <w:rPr>
          <w:rFonts w:hint="eastAsia" w:ascii="Times New Roman" w:hAnsi="Times New Roman" w:eastAsia="仿宋_GB2312" w:cs="仿宋_GB2312"/>
          <w:color w:val="auto"/>
          <w:sz w:val="32"/>
          <w:szCs w:val="32"/>
          <w:lang w:eastAsia="zh-CN"/>
        </w:rPr>
        <w:t xml:space="preserve">凡是新建规模养殖场必须从选址、设计、建设充分考虑环境承载能力，严格执行环评“三同时”制度，配套建设相应的粪污收集处理设施和消纳用地，符合粪污资源化利用相关要求后，准予办理《动物防疫条件合格证》。 </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color w:val="auto"/>
          <w:lang w:val="en-US" w:eastAsia="zh-CN"/>
        </w:rPr>
      </w:pPr>
      <w:bookmarkStart w:id="129" w:name="_Toc30061"/>
      <w:r>
        <w:rPr>
          <w:rFonts w:hint="eastAsia"/>
          <w:color w:val="auto"/>
          <w:lang w:val="en-US" w:eastAsia="zh-CN"/>
        </w:rPr>
        <w:t>4.5.2落实养殖场户主体责任</w:t>
      </w:r>
      <w:bookmarkEnd w:id="129"/>
    </w:p>
    <w:p>
      <w:pPr>
        <w:keepNext/>
        <w:keepLines/>
        <w:pageBreakBefore w:val="0"/>
        <w:widowControl w:val="0"/>
        <w:kinsoku/>
        <w:wordWrap/>
        <w:overflowPunct/>
        <w:topLinePunct w:val="0"/>
        <w:autoSpaceDE/>
        <w:autoSpaceDN/>
        <w:bidi w:val="0"/>
        <w:adjustRightInd/>
        <w:snapToGrid/>
        <w:spacing w:line="413" w:lineRule="auto"/>
        <w:ind w:firstLine="640" w:firstLineChars="200"/>
        <w:textAlignment w:val="auto"/>
        <w:outlineLvl w:val="9"/>
        <w:rPr>
          <w:b w:val="0"/>
          <w:bCs/>
          <w:color w:val="auto"/>
        </w:rPr>
      </w:pPr>
      <w:r>
        <w:rPr>
          <w:rFonts w:hint="eastAsia" w:ascii="Times New Roman" w:hAnsi="Times New Roman" w:eastAsia="仿宋_GB2312" w:cs="仿宋_GB2312"/>
          <w:b w:val="0"/>
          <w:bCs/>
          <w:color w:val="auto"/>
          <w:sz w:val="32"/>
          <w:szCs w:val="32"/>
          <w:lang w:eastAsia="zh-CN"/>
        </w:rPr>
        <w:t>县生态环境、农业农村部门要加强宣传引导，督促规模养殖场（畜禽养殖户）落实主体责任。规模养殖场投入使用前，建设完成相应的污水与雨水分流设施，畜禽粪便、污水的贮存处理设施等综合利用和畜禽尸体无害化处理设施。粪污采用还田利用的应符合相关标准。</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color w:val="auto"/>
          <w:lang w:val="en-US" w:eastAsia="zh-CN"/>
        </w:rPr>
      </w:pPr>
      <w:bookmarkStart w:id="130" w:name="_Toc27981"/>
      <w:r>
        <w:rPr>
          <w:rFonts w:hint="eastAsia"/>
          <w:color w:val="auto"/>
          <w:lang w:val="en-US" w:eastAsia="zh-CN"/>
        </w:rPr>
        <w:t>4.5.</w:t>
      </w:r>
      <w:bookmarkStart w:id="131" w:name="_Hlk83805726"/>
      <w:r>
        <w:rPr>
          <w:rFonts w:hint="eastAsia"/>
          <w:color w:val="auto"/>
          <w:lang w:val="en-US" w:eastAsia="zh-CN"/>
        </w:rPr>
        <w:t>3提升畜禽养殖环境管理智慧水平</w:t>
      </w:r>
      <w:bookmarkEnd w:id="130"/>
    </w:p>
    <w:bookmarkEnd w:id="131"/>
    <w:p>
      <w:pPr>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outlineLvl w:val="9"/>
        <w:rPr>
          <w:rFonts w:hint="eastAsia" w:ascii="Times New Roman" w:hAnsi="Times New Roman" w:eastAsia="仿宋_GB2312" w:cs="仿宋_GB2312"/>
          <w:b w:val="0"/>
          <w:bCs/>
          <w:color w:val="auto"/>
          <w:sz w:val="32"/>
          <w:szCs w:val="32"/>
          <w:lang w:eastAsia="zh-CN"/>
        </w:rPr>
      </w:pPr>
      <w:r>
        <w:rPr>
          <w:rFonts w:hint="eastAsia" w:ascii="Times New Roman" w:hAnsi="Times New Roman" w:eastAsia="仿宋_GB2312" w:cs="仿宋_GB2312"/>
          <w:b w:val="0"/>
          <w:bCs/>
          <w:color w:val="auto"/>
          <w:sz w:val="32"/>
          <w:szCs w:val="32"/>
          <w:lang w:eastAsia="zh-CN"/>
        </w:rPr>
        <w:t>完善</w:t>
      </w:r>
      <w:r>
        <w:rPr>
          <w:rFonts w:hint="eastAsia" w:eastAsia="仿宋_GB2312"/>
          <w:color w:val="auto"/>
          <w:kern w:val="0"/>
          <w:sz w:val="30"/>
          <w:szCs w:val="30"/>
          <w:lang w:val="en-US" w:eastAsia="zh-CN"/>
        </w:rPr>
        <w:t>固镇</w:t>
      </w:r>
      <w:r>
        <w:rPr>
          <w:rFonts w:hint="eastAsia" w:eastAsia="仿宋_GB2312"/>
          <w:color w:val="auto"/>
          <w:kern w:val="0"/>
          <w:sz w:val="30"/>
          <w:szCs w:val="30"/>
          <w:lang w:val="zh-CN" w:eastAsia="zh-CN"/>
        </w:rPr>
        <w:t>县</w:t>
      </w:r>
      <w:r>
        <w:rPr>
          <w:rFonts w:hint="eastAsia" w:ascii="Times New Roman" w:hAnsi="Times New Roman" w:eastAsia="仿宋_GB2312" w:cs="仿宋_GB2312"/>
          <w:b w:val="0"/>
          <w:bCs/>
          <w:color w:val="auto"/>
          <w:sz w:val="32"/>
          <w:szCs w:val="32"/>
          <w:lang w:eastAsia="zh-CN"/>
        </w:rPr>
        <w:t>畜禽养殖环境管理信息系统。借用互联网、物联网、大数据技术，探索养殖企业管理数据与行政管理平台的数字化对接，动态掌握</w:t>
      </w:r>
      <w:r>
        <w:rPr>
          <w:rFonts w:hint="eastAsia" w:eastAsia="仿宋_GB2312"/>
          <w:color w:val="auto"/>
          <w:kern w:val="0"/>
          <w:sz w:val="30"/>
          <w:szCs w:val="30"/>
          <w:lang w:val="en-US" w:eastAsia="zh-CN"/>
        </w:rPr>
        <w:t>固镇</w:t>
      </w:r>
      <w:r>
        <w:rPr>
          <w:rFonts w:hint="eastAsia" w:eastAsia="仿宋_GB2312"/>
          <w:color w:val="auto"/>
          <w:kern w:val="0"/>
          <w:sz w:val="30"/>
          <w:szCs w:val="30"/>
          <w:lang w:val="zh-CN" w:eastAsia="zh-CN"/>
        </w:rPr>
        <w:t>县</w:t>
      </w:r>
      <w:r>
        <w:rPr>
          <w:rFonts w:hint="eastAsia" w:ascii="Times New Roman" w:hAnsi="Times New Roman" w:eastAsia="仿宋_GB2312" w:cs="仿宋_GB2312"/>
          <w:b w:val="0"/>
          <w:bCs/>
          <w:color w:val="auto"/>
          <w:sz w:val="32"/>
          <w:szCs w:val="32"/>
          <w:lang w:eastAsia="zh-CN"/>
        </w:rPr>
        <w:t>规模养殖场、辖区养殖规模、废弃物综合利用、污染防治设施建设等情况，实现畜禽养殖业数字化和智能化</w:t>
      </w:r>
      <w:bookmarkStart w:id="132" w:name="_Hlk83805789"/>
      <w:r>
        <w:rPr>
          <w:rFonts w:hint="eastAsia" w:ascii="Times New Roman" w:hAnsi="Times New Roman" w:eastAsia="仿宋_GB2312" w:cs="仿宋_GB2312"/>
          <w:b w:val="0"/>
          <w:bCs/>
          <w:color w:val="auto"/>
          <w:sz w:val="32"/>
          <w:szCs w:val="32"/>
          <w:lang w:eastAsia="zh-CN"/>
        </w:rPr>
        <w:t>，加强粪污处理监管，推进</w:t>
      </w:r>
      <w:r>
        <w:rPr>
          <w:rFonts w:hint="eastAsia" w:eastAsia="仿宋_GB2312"/>
          <w:color w:val="auto"/>
          <w:kern w:val="0"/>
          <w:sz w:val="30"/>
          <w:szCs w:val="30"/>
          <w:lang w:val="en-US" w:eastAsia="zh-CN"/>
        </w:rPr>
        <w:t>固镇</w:t>
      </w:r>
      <w:r>
        <w:rPr>
          <w:rFonts w:hint="eastAsia" w:eastAsia="仿宋_GB2312"/>
          <w:color w:val="auto"/>
          <w:kern w:val="0"/>
          <w:sz w:val="30"/>
          <w:szCs w:val="30"/>
          <w:lang w:val="zh-CN" w:eastAsia="zh-CN"/>
        </w:rPr>
        <w:t>县</w:t>
      </w:r>
      <w:r>
        <w:rPr>
          <w:rFonts w:hint="eastAsia" w:ascii="Times New Roman" w:hAnsi="Times New Roman" w:eastAsia="仿宋_GB2312" w:cs="仿宋_GB2312"/>
          <w:b w:val="0"/>
          <w:bCs/>
          <w:color w:val="auto"/>
          <w:sz w:val="32"/>
          <w:szCs w:val="32"/>
          <w:lang w:eastAsia="zh-CN"/>
        </w:rPr>
        <w:t>规模养殖场智慧管控</w:t>
      </w:r>
      <w:bookmarkEnd w:id="132"/>
      <w:r>
        <w:rPr>
          <w:rFonts w:hint="eastAsia" w:ascii="Times New Roman" w:hAnsi="Times New Roman" w:eastAsia="仿宋_GB2312" w:cs="仿宋_GB2312"/>
          <w:b w:val="0"/>
          <w:bCs/>
          <w:color w:val="auto"/>
          <w:sz w:val="32"/>
          <w:szCs w:val="32"/>
          <w:lang w:eastAsia="zh-CN"/>
        </w:rPr>
        <w:t>。</w:t>
      </w:r>
    </w:p>
    <w:p>
      <w:pPr>
        <w:pStyle w:val="6"/>
        <w:keepNext/>
        <w:keepLines/>
        <w:pageBreakBefore w:val="0"/>
        <w:widowControl w:val="0"/>
        <w:kinsoku/>
        <w:wordWrap/>
        <w:overflowPunct/>
        <w:topLinePunct w:val="0"/>
        <w:autoSpaceDE/>
        <w:autoSpaceDN/>
        <w:bidi w:val="0"/>
        <w:adjustRightInd/>
        <w:snapToGrid/>
        <w:spacing w:line="413" w:lineRule="auto"/>
        <w:textAlignment w:val="auto"/>
        <w:outlineLvl w:val="2"/>
        <w:rPr>
          <w:rFonts w:hint="default"/>
          <w:color w:val="auto"/>
          <w:lang w:val="en-US" w:eastAsia="zh-CN"/>
        </w:rPr>
      </w:pPr>
      <w:r>
        <w:rPr>
          <w:rFonts w:hint="eastAsia"/>
          <w:color w:val="auto"/>
          <w:lang w:val="en-US" w:eastAsia="zh-CN"/>
        </w:rPr>
        <w:t>4.5.4畜禽养殖选址要求</w:t>
      </w:r>
    </w:p>
    <w:p>
      <w:pPr>
        <w:pStyle w:val="2"/>
        <w:ind w:firstLine="640" w:firstLineChars="200"/>
        <w:rPr>
          <w:rFonts w:hint="eastAsia"/>
          <w:color w:val="auto"/>
          <w:lang w:eastAsia="zh-CN"/>
        </w:rPr>
      </w:pPr>
      <w:r>
        <w:rPr>
          <w:rFonts w:hint="eastAsia" w:ascii="Times New Roman" w:hAnsi="Times New Roman" w:eastAsia="仿宋_GB2312" w:cs="仿宋_GB2312"/>
          <w:b w:val="0"/>
          <w:bCs/>
          <w:color w:val="auto"/>
          <w:sz w:val="32"/>
          <w:szCs w:val="32"/>
          <w:lang w:eastAsia="zh-CN"/>
        </w:rPr>
        <w:t>根据《畜禽养殖业污染防治技术规范》（HJ/T81-2001）畜禽养殖场选址应设在禁建区域常年主导风向的下风向或侧风向处。</w:t>
      </w:r>
      <w:r>
        <w:rPr>
          <w:rFonts w:hint="eastAsia" w:ascii="Times New Roman" w:hAnsi="Times New Roman" w:eastAsia="仿宋_GB2312" w:cs="仿宋_GB2312"/>
          <w:b w:val="0"/>
          <w:bCs/>
          <w:color w:val="auto"/>
          <w:sz w:val="32"/>
          <w:szCs w:val="32"/>
          <w:lang w:val="en-US" w:eastAsia="zh-CN"/>
        </w:rPr>
        <w:t>综合固镇县畜禽养殖现状，本次规划提出</w:t>
      </w:r>
      <w:r>
        <w:rPr>
          <w:rFonts w:hint="eastAsia" w:ascii="Times New Roman" w:eastAsia="仿宋_GB2312" w:cs="仿宋_GB2312"/>
          <w:b w:val="0"/>
          <w:bCs/>
          <w:color w:val="auto"/>
          <w:sz w:val="32"/>
          <w:szCs w:val="32"/>
          <w:lang w:val="en-US" w:eastAsia="zh-CN"/>
        </w:rPr>
        <w:t>新建</w:t>
      </w:r>
      <w:r>
        <w:rPr>
          <w:rFonts w:hint="eastAsia" w:ascii="Times New Roman" w:hAnsi="Times New Roman" w:eastAsia="仿宋_GB2312" w:cs="仿宋_GB2312"/>
          <w:b w:val="0"/>
          <w:bCs/>
          <w:color w:val="auto"/>
          <w:sz w:val="32"/>
          <w:szCs w:val="32"/>
          <w:lang w:eastAsia="zh-CN"/>
        </w:rPr>
        <w:t>畜禽养殖场场界与禁建区域边界的距离不得小于</w:t>
      </w:r>
      <w:r>
        <w:rPr>
          <w:rFonts w:hint="eastAsia" w:ascii="Times New Roman" w:hAnsi="Times New Roman" w:eastAsia="仿宋_GB2312" w:cs="仿宋_GB2312"/>
          <w:b w:val="0"/>
          <w:bCs/>
          <w:color w:val="auto"/>
          <w:sz w:val="32"/>
          <w:szCs w:val="32"/>
          <w:lang w:val="en-US" w:eastAsia="zh-CN"/>
        </w:rPr>
        <w:t>3</w:t>
      </w:r>
      <w:r>
        <w:rPr>
          <w:rFonts w:hint="eastAsia" w:ascii="Times New Roman" w:hAnsi="Times New Roman" w:eastAsia="仿宋_GB2312" w:cs="仿宋_GB2312"/>
          <w:b w:val="0"/>
          <w:bCs/>
          <w:color w:val="auto"/>
          <w:sz w:val="32"/>
          <w:szCs w:val="32"/>
          <w:lang w:eastAsia="zh-CN"/>
        </w:rPr>
        <w:t>00m。禁建区</w:t>
      </w:r>
      <w:r>
        <w:rPr>
          <w:rFonts w:hint="eastAsia" w:ascii="Times New Roman" w:hAnsi="Times New Roman" w:eastAsia="仿宋_GB2312" w:cs="仿宋_GB2312"/>
          <w:b w:val="0"/>
          <w:bCs/>
          <w:color w:val="auto"/>
          <w:sz w:val="32"/>
          <w:szCs w:val="32"/>
          <w:lang w:val="en-US" w:eastAsia="zh-CN"/>
        </w:rPr>
        <w:t>主要为</w:t>
      </w:r>
      <w:r>
        <w:rPr>
          <w:rFonts w:hint="eastAsia" w:eastAsia="仿宋_GB2312"/>
          <w:color w:val="auto"/>
          <w:kern w:val="0"/>
          <w:sz w:val="30"/>
          <w:szCs w:val="30"/>
          <w:lang w:val="en-US" w:eastAsia="zh-CN"/>
        </w:rPr>
        <w:t>居民集中区、自然保护区、生态红线、地表水及饮用水源保护区等。</w:t>
      </w:r>
    </w:p>
    <w:p>
      <w:pPr>
        <w:pStyle w:val="6"/>
        <w:keepNext/>
        <w:keepLines/>
        <w:pageBreakBefore w:val="0"/>
        <w:widowControl w:val="0"/>
        <w:kinsoku/>
        <w:wordWrap/>
        <w:overflowPunct/>
        <w:topLinePunct w:val="0"/>
        <w:autoSpaceDE/>
        <w:autoSpaceDN/>
        <w:bidi w:val="0"/>
        <w:adjustRightInd/>
        <w:snapToGrid/>
        <w:spacing w:line="413" w:lineRule="auto"/>
        <w:textAlignment w:val="auto"/>
        <w:outlineLvl w:val="2"/>
        <w:rPr>
          <w:rFonts w:hint="default"/>
          <w:color w:val="auto"/>
          <w:lang w:val="en-US" w:eastAsia="zh-CN"/>
        </w:rPr>
      </w:pPr>
      <w:r>
        <w:rPr>
          <w:rFonts w:hint="eastAsia"/>
          <w:color w:val="auto"/>
          <w:lang w:val="en-US" w:eastAsia="zh-CN"/>
        </w:rPr>
        <w:t>4.5.5加强养殖场户监管</w:t>
      </w:r>
    </w:p>
    <w:p>
      <w:pPr>
        <w:pStyle w:val="2"/>
        <w:ind w:firstLine="640" w:firstLineChars="200"/>
        <w:rPr>
          <w:rFonts w:hint="default"/>
          <w:color w:val="auto"/>
          <w:lang w:val="en-US" w:eastAsia="zh-CN"/>
        </w:rPr>
      </w:pPr>
      <w:r>
        <w:rPr>
          <w:rFonts w:hint="eastAsia" w:ascii="Times New Roman" w:eastAsia="仿宋_GB2312" w:cs="仿宋_GB2312"/>
          <w:b w:val="0"/>
          <w:bCs/>
          <w:color w:val="auto"/>
          <w:sz w:val="32"/>
          <w:szCs w:val="32"/>
          <w:lang w:val="en-US" w:eastAsia="zh-CN"/>
        </w:rPr>
        <w:t>根据《畜禽养殖污染防治管理办法》，畜禽养殖污染防治实行综合利用优先，资源化、无害化和减量化的原则；县级以上人民政府环境保护行政主管部门有权对本辖区范围内的畜禽养殖场的环境保护工作进行现场检查，索取资料，采集样品、监测分析。被检查单位和个人必须如实反映情况，提供必要资料；畜禽养殖企业禁止向水体倾倒畜禽废渣。针对场界与禁建区域边界距离不满足相关法律法规要求的畜禽养殖场提出搬迁要求。</w:t>
      </w:r>
    </w:p>
    <w:p>
      <w:pPr>
        <w:pStyle w:val="3"/>
        <w:rPr>
          <w:rFonts w:hint="eastAsia"/>
          <w:color w:val="auto"/>
          <w:lang w:eastAsia="zh-CN"/>
        </w:rPr>
      </w:pPr>
    </w:p>
    <w:p>
      <w:pPr>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color w:val="auto"/>
        </w:rPr>
      </w:pPr>
      <w:r>
        <w:rPr>
          <w:color w:val="auto"/>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color w:val="auto"/>
        </w:rPr>
      </w:pPr>
      <w:bookmarkStart w:id="133" w:name="_Toc2487"/>
      <w:bookmarkStart w:id="134" w:name="_Toc15403"/>
      <w:bookmarkStart w:id="135" w:name="_Toc32065"/>
      <w:r>
        <w:rPr>
          <w:color w:val="auto"/>
        </w:rPr>
        <w:t>5</w:t>
      </w:r>
      <w:r>
        <w:rPr>
          <w:rFonts w:hint="eastAsia"/>
          <w:color w:val="auto"/>
          <w:lang w:eastAsia="zh-CN"/>
        </w:rPr>
        <w:t>、</w:t>
      </w:r>
      <w:r>
        <w:rPr>
          <w:rFonts w:hint="eastAsia"/>
          <w:color w:val="auto"/>
        </w:rPr>
        <w:t>重点工程</w:t>
      </w:r>
      <w:bookmarkEnd w:id="133"/>
      <w:bookmarkEnd w:id="134"/>
      <w:bookmarkEnd w:id="135"/>
    </w:p>
    <w:p>
      <w:pPr>
        <w:ind w:firstLine="600" w:firstLineChars="200"/>
        <w:rPr>
          <w:rFonts w:hint="eastAsia" w:eastAsia="仿宋_GB2312"/>
          <w:color w:val="auto"/>
          <w:kern w:val="0"/>
          <w:sz w:val="30"/>
          <w:szCs w:val="30"/>
          <w:lang w:val="en-US" w:eastAsia="zh-CN"/>
        </w:rPr>
      </w:pPr>
      <w:bookmarkStart w:id="136" w:name="_Hlk83805964"/>
      <w:r>
        <w:rPr>
          <w:rFonts w:hint="eastAsia" w:eastAsia="仿宋_GB2312"/>
          <w:color w:val="auto"/>
          <w:kern w:val="0"/>
          <w:sz w:val="30"/>
          <w:szCs w:val="30"/>
          <w:lang w:val="en-US" w:eastAsia="zh-CN"/>
        </w:rPr>
        <w:t>为实现“十四五”期间，固镇县畜禽养殖污染防治目标，开展粪污处理设施建设、畜禽粪污资源化利用提升工程、畜禽粪污转运及集中处理中心建设工程、田间配套设施建设、病死畜禽无害化设施建设工程，提升固镇县畜禽粪污收集、处理、利用效率。开展病死畜禽无害化设施建设工程，确保病死畜禽得要有效无害化处理。完善监管体系建设工程，提升畜禽养殖污染防治监管能力。</w:t>
      </w:r>
      <w:bookmarkEnd w:id="136"/>
    </w:p>
    <w:p>
      <w:pPr>
        <w:ind w:firstLine="600" w:firstLineChars="200"/>
        <w:rPr>
          <w:rFonts w:hint="eastAsia" w:eastAsia="仿宋_GB2312"/>
          <w:color w:val="auto"/>
          <w:kern w:val="0"/>
          <w:sz w:val="30"/>
          <w:szCs w:val="30"/>
          <w:lang w:val="en-US" w:eastAsia="zh-CN"/>
        </w:rPr>
        <w:sectPr>
          <w:footerReference r:id="rId6" w:type="default"/>
          <w:pgSz w:w="11906" w:h="16838"/>
          <w:pgMar w:top="1440" w:right="1800" w:bottom="1440" w:left="1800" w:header="851" w:footer="992" w:gutter="0"/>
          <w:pgNumType w:fmt="decimal"/>
          <w:cols w:space="425" w:num="1"/>
          <w:docGrid w:type="lines" w:linePitch="312" w:charSpace="0"/>
        </w:sectPr>
      </w:pPr>
      <w:r>
        <w:rPr>
          <w:rFonts w:hint="eastAsia" w:eastAsia="仿宋_GB2312"/>
          <w:color w:val="auto"/>
          <w:kern w:val="0"/>
          <w:sz w:val="30"/>
          <w:szCs w:val="30"/>
          <w:lang w:val="en-US" w:eastAsia="zh-CN"/>
        </w:rPr>
        <w:t>县“十四五”规划重大工程项目汇总表如下：</w:t>
      </w:r>
    </w:p>
    <w:p>
      <w:pPr>
        <w:rPr>
          <w:rFonts w:hint="eastAsia"/>
          <w:color w:val="auto"/>
          <w:lang w:val="zh-CN" w:eastAsia="zh-CN"/>
        </w:rPr>
      </w:pPr>
    </w:p>
    <w:p>
      <w:pPr>
        <w:pStyle w:val="13"/>
        <w:jc w:val="center"/>
        <w:rPr>
          <w:rFonts w:hint="eastAsia" w:eastAsia="仿宋_GB2312" w:asciiTheme="minorHAnsi" w:hAnsiTheme="minorHAnsi" w:cstheme="minorBidi"/>
          <w:b/>
          <w:bCs/>
          <w:color w:val="auto"/>
          <w:kern w:val="0"/>
          <w:sz w:val="24"/>
          <w:szCs w:val="24"/>
          <w:lang w:val="en-US" w:eastAsia="zh-CN" w:bidi="ar-SA"/>
        </w:rPr>
      </w:pPr>
      <w:r>
        <w:rPr>
          <w:rFonts w:hint="eastAsia" w:eastAsia="仿宋_GB2312" w:asciiTheme="minorHAnsi" w:hAnsiTheme="minorHAnsi" w:cstheme="minorBidi"/>
          <w:b/>
          <w:bCs/>
          <w:color w:val="auto"/>
          <w:kern w:val="0"/>
          <w:sz w:val="24"/>
          <w:szCs w:val="24"/>
          <w:lang w:val="zh-CN" w:eastAsia="zh-CN" w:bidi="ar-SA"/>
        </w:rPr>
        <w:t>表</w:t>
      </w:r>
      <w:r>
        <w:rPr>
          <w:rFonts w:hint="eastAsia" w:eastAsia="仿宋_GB2312" w:asciiTheme="minorHAnsi" w:hAnsiTheme="minorHAnsi" w:cstheme="minorBidi"/>
          <w:b/>
          <w:bCs/>
          <w:color w:val="auto"/>
          <w:kern w:val="0"/>
          <w:sz w:val="24"/>
          <w:szCs w:val="24"/>
          <w:lang w:val="en-US" w:eastAsia="zh-CN" w:bidi="ar-SA"/>
        </w:rPr>
        <w:t>5-1 固镇县“十四五”规划重大工程项目汇总表</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23"/>
        <w:gridCol w:w="1721"/>
        <w:gridCol w:w="1823"/>
        <w:gridCol w:w="4711"/>
        <w:gridCol w:w="1599"/>
        <w:gridCol w:w="1585"/>
        <w:gridCol w:w="2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60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项目类型</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项目名称</w:t>
            </w:r>
          </w:p>
        </w:tc>
        <w:tc>
          <w:tcPr>
            <w:tcW w:w="1662"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建设规模和主要建设内容</w:t>
            </w:r>
          </w:p>
        </w:tc>
        <w:tc>
          <w:tcPr>
            <w:tcW w:w="56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目前进展</w:t>
            </w:r>
          </w:p>
        </w:tc>
        <w:tc>
          <w:tcPr>
            <w:tcW w:w="55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建设地点</w:t>
            </w:r>
          </w:p>
        </w:tc>
        <w:tc>
          <w:tcPr>
            <w:tcW w:w="74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建设起止年限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0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粪污处理设施建设</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固镇县畜禽粪污资源化利用整县推进项目</w:t>
            </w:r>
          </w:p>
        </w:tc>
        <w:tc>
          <w:tcPr>
            <w:tcW w:w="1662"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升级改造228个规模养殖场粪污处理设施，并支持建设了2个第三方畜禽粪污收集处理中心和1个肥水一体化示范场，共升级改造雨污分流管线、饮污分流管网、肥水输送管网共计15.2千米，堆肥发酵槽垛7.48万平方米，污水密闭发酵、存储池等5.84万立方米，改装节水型饮水器14080个，购置自动集粪设备、粪水运输车、铲粪车、翻抛机等收集处理利用机械设备2371台（辆、套）</w:t>
            </w:r>
          </w:p>
        </w:tc>
        <w:tc>
          <w:tcPr>
            <w:tcW w:w="56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已完工</w:t>
            </w:r>
          </w:p>
        </w:tc>
        <w:tc>
          <w:tcPr>
            <w:tcW w:w="55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各乡镇</w:t>
            </w:r>
          </w:p>
        </w:tc>
        <w:tc>
          <w:tcPr>
            <w:tcW w:w="74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2020.5-2021.9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20" w:type="pct"/>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607" w:type="pct"/>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畜禽粪污资源化利用提升工程</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国能固镇生物发电有限公司供热工程项目</w:t>
            </w:r>
          </w:p>
        </w:tc>
        <w:tc>
          <w:tcPr>
            <w:tcW w:w="1662"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75T/h低温低压生物质供热</w:t>
            </w:r>
          </w:p>
        </w:tc>
        <w:tc>
          <w:tcPr>
            <w:tcW w:w="564" w:type="pct"/>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未开工</w:t>
            </w:r>
          </w:p>
        </w:tc>
        <w:tc>
          <w:tcPr>
            <w:tcW w:w="55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开发区</w:t>
            </w:r>
          </w:p>
        </w:tc>
        <w:tc>
          <w:tcPr>
            <w:tcW w:w="74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2023.10-2024.4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20" w:type="pct"/>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w:t>
            </w:r>
          </w:p>
        </w:tc>
        <w:tc>
          <w:tcPr>
            <w:tcW w:w="607" w:type="pct"/>
            <w:vMerge w:val="continue"/>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安徽丰原生物有机肥有限公司年加工20万吨生物有机肥二期扩建项目</w:t>
            </w:r>
          </w:p>
        </w:tc>
        <w:tc>
          <w:tcPr>
            <w:tcW w:w="1662"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在一期加工10万吨生产能力的基础上，二期新建8条有机肥生产线和1条液肥生产线，形成年加工20万吨有机肥生产能力</w:t>
            </w:r>
          </w:p>
        </w:tc>
        <w:tc>
          <w:tcPr>
            <w:tcW w:w="564" w:type="pct"/>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已开工</w:t>
            </w:r>
          </w:p>
        </w:tc>
        <w:tc>
          <w:tcPr>
            <w:tcW w:w="55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杨庙镇</w:t>
            </w:r>
          </w:p>
        </w:tc>
        <w:tc>
          <w:tcPr>
            <w:tcW w:w="74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2022.4-2023.4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07" w:type="pct"/>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畜禽粪污转运及集中处理中心建设工程</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谷阳镇收储中心（整县推进项目子项目）</w:t>
            </w:r>
          </w:p>
        </w:tc>
        <w:tc>
          <w:tcPr>
            <w:tcW w:w="166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1、土建工程：新建有机肥原料生产车间1652m2，有机肥原料发酵车间1200m2，道路硬化、安全防护、设备配套等基础设施。</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2、仪器设备：生物发酵设备、烘干设备、除臭设备、运输装卸设备及相关配套仪器设备。</w:t>
            </w:r>
          </w:p>
        </w:tc>
        <w:tc>
          <w:tcPr>
            <w:tcW w:w="56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已完工</w:t>
            </w:r>
          </w:p>
        </w:tc>
        <w:tc>
          <w:tcPr>
            <w:tcW w:w="55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w:t>
            </w:r>
          </w:p>
        </w:tc>
        <w:tc>
          <w:tcPr>
            <w:tcW w:w="74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2021.4-2021.9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20" w:type="pct"/>
            <w:shd w:val="clear" w:color="auto" w:fill="auto"/>
            <w:vAlign w:val="center"/>
          </w:tcPr>
          <w:p>
            <w:pPr>
              <w:spacing w:line="240" w:lineRule="auto"/>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5</w:t>
            </w:r>
          </w:p>
        </w:tc>
        <w:tc>
          <w:tcPr>
            <w:tcW w:w="607" w:type="pct"/>
            <w:vMerge w:val="continue"/>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新马桥收储中心（整县推进项目子项目）</w:t>
            </w:r>
          </w:p>
        </w:tc>
        <w:tc>
          <w:tcPr>
            <w:tcW w:w="166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1、预处理车间1200m2、辅料仓库、陈化车间2592m2、有机肥加工包装车间。</w:t>
            </w:r>
          </w:p>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2、购置翻抛机、纳米膜发酵设备、运肥车、有机肥设备等。</w:t>
            </w:r>
          </w:p>
          <w:p>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3、配套建设道路、地面硬化、变配电等辅助工程。</w:t>
            </w:r>
          </w:p>
        </w:tc>
        <w:tc>
          <w:tcPr>
            <w:tcW w:w="56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已完工</w:t>
            </w:r>
          </w:p>
        </w:tc>
        <w:tc>
          <w:tcPr>
            <w:tcW w:w="55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w:t>
            </w:r>
          </w:p>
        </w:tc>
        <w:tc>
          <w:tcPr>
            <w:tcW w:w="74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2020.9-2021.05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6</w:t>
            </w:r>
          </w:p>
        </w:tc>
        <w:tc>
          <w:tcPr>
            <w:tcW w:w="607" w:type="pct"/>
            <w:vMerge w:val="continue"/>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固镇县畜禽粪污资源化集中处置项目</w:t>
            </w:r>
          </w:p>
        </w:tc>
        <w:tc>
          <w:tcPr>
            <w:tcW w:w="1662" w:type="pct"/>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计划对鸡粪等其他有机废弃物进行资源化利用，项目（含一二期）鸡粪预计处置规模为29.2万吨/年，预计可年产（含一二期）标准有机肥10.4万吨 。</w:t>
            </w:r>
          </w:p>
        </w:tc>
        <w:tc>
          <w:tcPr>
            <w:tcW w:w="56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正在洽谈投资协议，寻找合适的建设用地</w:t>
            </w:r>
          </w:p>
        </w:tc>
        <w:tc>
          <w:tcPr>
            <w:tcW w:w="55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固镇县</w:t>
            </w:r>
          </w:p>
        </w:tc>
        <w:tc>
          <w:tcPr>
            <w:tcW w:w="74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2024.6-2025.6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20"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7</w:t>
            </w:r>
          </w:p>
        </w:tc>
        <w:tc>
          <w:tcPr>
            <w:tcW w:w="60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田间配套设施建设</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高标准农田建设项目</w:t>
            </w:r>
          </w:p>
        </w:tc>
        <w:tc>
          <w:tcPr>
            <w:tcW w:w="1662"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新建及维修田间道路、桥梁、机井、清淤沟渠</w:t>
            </w:r>
          </w:p>
        </w:tc>
        <w:tc>
          <w:tcPr>
            <w:tcW w:w="56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2020年、2021年已完工，2022年已开工</w:t>
            </w:r>
          </w:p>
        </w:tc>
        <w:tc>
          <w:tcPr>
            <w:tcW w:w="55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w:t>
            </w:r>
          </w:p>
        </w:tc>
        <w:tc>
          <w:tcPr>
            <w:tcW w:w="74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2019.10-2026.4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20" w:type="pct"/>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w:t>
            </w:r>
          </w:p>
        </w:tc>
        <w:tc>
          <w:tcPr>
            <w:tcW w:w="60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病死畜禽无害化设施建设工程</w:t>
            </w:r>
          </w:p>
        </w:tc>
        <w:tc>
          <w:tcPr>
            <w:tcW w:w="64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固镇县病死畜禽无害化收集处理场建设项目</w:t>
            </w:r>
          </w:p>
        </w:tc>
        <w:tc>
          <w:tcPr>
            <w:tcW w:w="1662"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建设消毒车间170㎡、烘干车间200㎡、冷库用房300㎡、场区水电1项。购置相关设备9台/套。</w:t>
            </w:r>
          </w:p>
        </w:tc>
        <w:tc>
          <w:tcPr>
            <w:tcW w:w="564"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正在建设</w:t>
            </w:r>
          </w:p>
        </w:tc>
        <w:tc>
          <w:tcPr>
            <w:tcW w:w="559"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w:t>
            </w:r>
          </w:p>
        </w:tc>
        <w:tc>
          <w:tcPr>
            <w:tcW w:w="74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2022.8-2023.8</w:t>
            </w:r>
          </w:p>
        </w:tc>
      </w:tr>
    </w:tbl>
    <w:p>
      <w:pPr>
        <w:rPr>
          <w:rFonts w:hint="default"/>
          <w:color w:val="auto"/>
          <w:lang w:val="en-US" w:eastAsia="zh-CN"/>
        </w:rPr>
      </w:pP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jc w:val="center"/>
        <w:textAlignment w:val="auto"/>
        <w:rPr>
          <w:rFonts w:hint="eastAsia" w:ascii="Calibri" w:hAnsi="Calibri" w:eastAsia="仿宋_GB2312" w:cs="Times New Roman"/>
          <w:b w:val="0"/>
          <w:color w:val="auto"/>
          <w:kern w:val="0"/>
          <w:sz w:val="30"/>
          <w:szCs w:val="30"/>
          <w:lang w:val="en-US" w:eastAsia="zh-CN" w:bidi="ar-SA"/>
        </w:rPr>
      </w:pPr>
      <w:r>
        <w:rPr>
          <w:rFonts w:hint="eastAsia" w:ascii="宋体" w:hAnsi="宋体" w:eastAsia="宋体" w:cs="宋体"/>
          <w:b w:val="0"/>
          <w:i w:val="0"/>
          <w:iCs w:val="0"/>
          <w:color w:val="auto"/>
          <w:kern w:val="0"/>
          <w:sz w:val="22"/>
          <w:szCs w:val="22"/>
          <w:u w:val="none"/>
          <w:lang w:val="en-US" w:eastAsia="zh-CN" w:bidi="ar"/>
        </w:rPr>
        <w:t>（谷阳镇原名城关镇、杨庙镇原名杨庙乡）</w:t>
      </w:r>
    </w:p>
    <w:p>
      <w:pPr>
        <w:rPr>
          <w:rFonts w:hint="eastAsia"/>
          <w:b/>
          <w:bCs/>
          <w:color w:val="auto"/>
          <w:lang w:val="zh-CN" w:eastAsia="zh-CN"/>
        </w:rPr>
        <w:sectPr>
          <w:pgSz w:w="16838" w:h="11906" w:orient="landscape"/>
          <w:pgMar w:top="1800" w:right="1440" w:bottom="1800" w:left="1440" w:header="851" w:footer="992" w:gutter="0"/>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color w:val="auto"/>
          <w:lang w:val="zh-CN" w:eastAsia="zh-CN"/>
        </w:rPr>
      </w:pPr>
      <w:bookmarkStart w:id="137" w:name="_Toc22738"/>
      <w:bookmarkStart w:id="138" w:name="_Toc29248"/>
      <w:bookmarkStart w:id="139" w:name="_Toc25929"/>
      <w:r>
        <w:rPr>
          <w:rFonts w:hint="eastAsia"/>
          <w:color w:val="auto"/>
          <w:lang w:val="en-US" w:eastAsia="zh-CN"/>
        </w:rPr>
        <w:t>6、工程投资估算</w:t>
      </w:r>
      <w:r>
        <w:rPr>
          <w:color w:val="auto"/>
          <w:lang w:val="zh-CN" w:eastAsia="zh-CN"/>
        </w:rPr>
        <w:t>与资金筹措</w:t>
      </w:r>
      <w:bookmarkEnd w:id="137"/>
      <w:bookmarkEnd w:id="138"/>
      <w:bookmarkEnd w:id="139"/>
    </w:p>
    <w:p>
      <w:pPr>
        <w:pStyle w:val="5"/>
        <w:rPr>
          <w:color w:val="auto"/>
          <w:lang w:val="zh-CN" w:eastAsia="zh-CN"/>
        </w:rPr>
      </w:pPr>
      <w:bookmarkStart w:id="140" w:name="_Toc18768"/>
      <w:bookmarkStart w:id="141" w:name="_Toc31974"/>
      <w:bookmarkStart w:id="142" w:name="_Toc16098"/>
      <w:r>
        <w:rPr>
          <w:rFonts w:hint="eastAsia"/>
          <w:color w:val="auto"/>
          <w:lang w:val="en-US" w:eastAsia="zh-CN"/>
        </w:rPr>
        <w:t>6.1</w:t>
      </w:r>
      <w:r>
        <w:rPr>
          <w:color w:val="auto"/>
          <w:lang w:val="zh-CN" w:eastAsia="zh-CN"/>
        </w:rPr>
        <w:t>投资估算</w:t>
      </w:r>
      <w:bookmarkEnd w:id="140"/>
      <w:bookmarkEnd w:id="141"/>
      <w:bookmarkEnd w:id="142"/>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十四五期间，</w:t>
      </w:r>
      <w:r>
        <w:rPr>
          <w:rFonts w:hint="eastAsia" w:eastAsia="仿宋_GB2312"/>
          <w:color w:val="auto"/>
          <w:kern w:val="0"/>
          <w:sz w:val="30"/>
          <w:szCs w:val="30"/>
          <w:lang w:val="en-US" w:eastAsia="zh-CN"/>
        </w:rPr>
        <w:t>固镇</w:t>
      </w:r>
      <w:r>
        <w:rPr>
          <w:rFonts w:hint="eastAsia" w:eastAsia="仿宋_GB2312"/>
          <w:color w:val="auto"/>
          <w:kern w:val="0"/>
          <w:sz w:val="30"/>
          <w:szCs w:val="30"/>
          <w:lang w:val="zh-CN" w:eastAsia="zh-CN"/>
        </w:rPr>
        <w:t>县畜禽养殖污染防治重点工程投资合计</w:t>
      </w:r>
      <w:r>
        <w:rPr>
          <w:rFonts w:hint="eastAsia" w:eastAsia="仿宋_GB2312"/>
          <w:color w:val="auto"/>
          <w:kern w:val="0"/>
          <w:sz w:val="30"/>
          <w:szCs w:val="30"/>
          <w:lang w:val="en-US" w:eastAsia="zh-CN"/>
        </w:rPr>
        <w:t>156816万</w:t>
      </w:r>
      <w:r>
        <w:rPr>
          <w:rFonts w:hint="eastAsia" w:eastAsia="仿宋_GB2312"/>
          <w:color w:val="auto"/>
          <w:kern w:val="0"/>
          <w:sz w:val="30"/>
          <w:szCs w:val="30"/>
          <w:lang w:val="zh-CN" w:eastAsia="zh-CN"/>
        </w:rPr>
        <w:t>元。详见表6-1。建设费用均由相应建设单位自行承担。</w:t>
      </w:r>
    </w:p>
    <w:p>
      <w:pPr>
        <w:pStyle w:val="13"/>
        <w:jc w:val="center"/>
        <w:rPr>
          <w:rFonts w:hint="eastAsia" w:eastAsia="仿宋_GB2312" w:asciiTheme="minorHAnsi" w:hAnsiTheme="minorHAnsi" w:cstheme="minorBidi"/>
          <w:b/>
          <w:bCs/>
          <w:color w:val="auto"/>
          <w:kern w:val="0"/>
          <w:sz w:val="24"/>
          <w:szCs w:val="24"/>
          <w:lang w:val="zh-CN" w:eastAsia="zh-CN" w:bidi="ar-SA"/>
        </w:rPr>
      </w:pPr>
      <w:bookmarkStart w:id="143" w:name="_Hlk83806129"/>
      <w:bookmarkStart w:id="144" w:name="_Toc23921"/>
      <w:bookmarkStart w:id="145" w:name="_Toc11842"/>
      <w:r>
        <w:rPr>
          <w:rFonts w:hint="eastAsia" w:eastAsia="仿宋_GB2312" w:asciiTheme="minorHAnsi" w:hAnsiTheme="minorHAnsi" w:cstheme="minorBidi"/>
          <w:b/>
          <w:bCs/>
          <w:color w:val="auto"/>
          <w:kern w:val="0"/>
          <w:sz w:val="24"/>
          <w:szCs w:val="24"/>
          <w:lang w:val="zh-CN" w:eastAsia="zh-CN" w:bidi="ar-SA"/>
        </w:rPr>
        <w:t>表6-1 畜禽养殖污染防治工程投资估算表（单位：万元）</w:t>
      </w:r>
    </w:p>
    <w:bookmarkEnd w:id="143"/>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83"/>
        <w:gridCol w:w="2047"/>
        <w:gridCol w:w="2653"/>
        <w:gridCol w:w="1171"/>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120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项目类型</w:t>
            </w:r>
          </w:p>
        </w:tc>
        <w:tc>
          <w:tcPr>
            <w:tcW w:w="15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项目名称</w:t>
            </w:r>
          </w:p>
        </w:tc>
        <w:tc>
          <w:tcPr>
            <w:tcW w:w="68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投资估算</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投资方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20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粪污处理设施建设</w:t>
            </w:r>
          </w:p>
        </w:tc>
        <w:tc>
          <w:tcPr>
            <w:tcW w:w="15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固镇县畜禽粪污资源化利用整县推进项目</w:t>
            </w:r>
          </w:p>
        </w:tc>
        <w:tc>
          <w:tcPr>
            <w:tcW w:w="68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9325</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中央资金3500万元</w:t>
            </w:r>
          </w:p>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县级配套1000万元</w:t>
            </w:r>
          </w:p>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企业自筹4825万元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1201" w:type="pct"/>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畜禽粪污资源化利用提升工程</w:t>
            </w:r>
          </w:p>
        </w:tc>
        <w:tc>
          <w:tcPr>
            <w:tcW w:w="15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国能固镇生物发电有限公司供热工程项目</w:t>
            </w:r>
          </w:p>
        </w:tc>
        <w:tc>
          <w:tcPr>
            <w:tcW w:w="68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8000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国能固镇生物发电有限公司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1" w:type="pct"/>
            <w:shd w:val="clear" w:color="auto" w:fill="auto"/>
            <w:vAlign w:val="center"/>
          </w:tcPr>
          <w:p>
            <w:pPr>
              <w:spacing w:line="240" w:lineRule="auto"/>
              <w:jc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3</w:t>
            </w:r>
          </w:p>
        </w:tc>
        <w:tc>
          <w:tcPr>
            <w:tcW w:w="1201" w:type="pct"/>
            <w:vMerge w:val="continue"/>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15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安徽丰原生物有机肥有限公司年加工20万吨生物有机肥二期扩建项目</w:t>
            </w:r>
          </w:p>
        </w:tc>
        <w:tc>
          <w:tcPr>
            <w:tcW w:w="687" w:type="pct"/>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14100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安徽丰原生物有机肥有限公司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1201" w:type="pct"/>
            <w:vMerge w:val="restar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畜禽粪污转运及集中处理中心建设工程</w:t>
            </w:r>
          </w:p>
        </w:tc>
        <w:tc>
          <w:tcPr>
            <w:tcW w:w="15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谷阳镇收储中心（整县推进项目子项目）</w:t>
            </w:r>
          </w:p>
        </w:tc>
        <w:tc>
          <w:tcPr>
            <w:tcW w:w="68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721</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安徽佳乐丰生物科技有限公司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1201" w:type="pct"/>
            <w:vMerge w:val="continue"/>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15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固镇县畜禽粪污资源化集中处置项目</w:t>
            </w:r>
          </w:p>
        </w:tc>
        <w:tc>
          <w:tcPr>
            <w:tcW w:w="687" w:type="pct"/>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20000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中国光大水务管理有限公司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1" w:type="pct"/>
            <w:shd w:val="clear" w:color="auto" w:fill="auto"/>
            <w:vAlign w:val="center"/>
          </w:tcPr>
          <w:p>
            <w:pPr>
              <w:spacing w:line="240" w:lineRule="auto"/>
              <w:jc w:val="center"/>
              <w:rPr>
                <w:rFonts w:hint="default"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w:t>
            </w:r>
          </w:p>
        </w:tc>
        <w:tc>
          <w:tcPr>
            <w:tcW w:w="120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畜禽粪污转运及集中处理中心建设工程</w:t>
            </w:r>
          </w:p>
        </w:tc>
        <w:tc>
          <w:tcPr>
            <w:tcW w:w="15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新马桥收储中心（整县推进项目子项目）</w:t>
            </w:r>
          </w:p>
        </w:tc>
        <w:tc>
          <w:tcPr>
            <w:tcW w:w="68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1120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固镇华地农牧有限公司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7</w:t>
            </w:r>
          </w:p>
        </w:tc>
        <w:tc>
          <w:tcPr>
            <w:tcW w:w="120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田间配套设施建设</w:t>
            </w:r>
          </w:p>
        </w:tc>
        <w:tc>
          <w:tcPr>
            <w:tcW w:w="15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高标准农田建设项目</w:t>
            </w:r>
          </w:p>
        </w:tc>
        <w:tc>
          <w:tcPr>
            <w:tcW w:w="68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103050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财政配套资金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w:t>
            </w:r>
          </w:p>
        </w:tc>
        <w:tc>
          <w:tcPr>
            <w:tcW w:w="1201"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病死畜禽无害化设施建设工程</w:t>
            </w:r>
          </w:p>
        </w:tc>
        <w:tc>
          <w:tcPr>
            <w:tcW w:w="1556"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固镇县病死畜禽无害化收集处理场建设项目</w:t>
            </w:r>
          </w:p>
        </w:tc>
        <w:tc>
          <w:tcPr>
            <w:tcW w:w="687"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1153" w:type="pct"/>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安徽佳乐丰生物科技有限公司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159" w:type="pct"/>
            <w:gridSpan w:val="3"/>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合计</w:t>
            </w:r>
          </w:p>
        </w:tc>
        <w:tc>
          <w:tcPr>
            <w:tcW w:w="687" w:type="pct"/>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156816</w:t>
            </w:r>
          </w:p>
        </w:tc>
        <w:tc>
          <w:tcPr>
            <w:tcW w:w="1153" w:type="pct"/>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w:t>
            </w:r>
          </w:p>
        </w:tc>
      </w:tr>
    </w:tbl>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jc w:val="center"/>
        <w:textAlignment w:val="auto"/>
        <w:rPr>
          <w:rFonts w:hint="eastAsia" w:ascii="Calibri" w:hAnsi="Calibri" w:eastAsia="仿宋_GB2312" w:cs="Times New Roman"/>
          <w:b w:val="0"/>
          <w:color w:val="auto"/>
          <w:kern w:val="0"/>
          <w:sz w:val="30"/>
          <w:szCs w:val="30"/>
          <w:lang w:val="en-US" w:eastAsia="zh-CN" w:bidi="ar-SA"/>
        </w:rPr>
      </w:pPr>
      <w:bookmarkStart w:id="146" w:name="_Toc19211"/>
      <w:r>
        <w:rPr>
          <w:rFonts w:hint="eastAsia" w:ascii="宋体" w:hAnsi="宋体" w:eastAsia="宋体" w:cs="宋体"/>
          <w:b w:val="0"/>
          <w:i w:val="0"/>
          <w:iCs w:val="0"/>
          <w:color w:val="auto"/>
          <w:kern w:val="0"/>
          <w:sz w:val="22"/>
          <w:szCs w:val="22"/>
          <w:u w:val="none"/>
          <w:lang w:val="en-US" w:eastAsia="zh-CN" w:bidi="ar"/>
        </w:rPr>
        <w:t>（谷阳镇原名城关镇）</w:t>
      </w:r>
    </w:p>
    <w:p>
      <w:pPr>
        <w:pStyle w:val="5"/>
        <w:rPr>
          <w:rFonts w:hint="eastAsia"/>
          <w:color w:val="auto"/>
          <w:lang w:val="en-US" w:eastAsia="zh-CN"/>
        </w:rPr>
      </w:pPr>
      <w:r>
        <w:rPr>
          <w:rFonts w:hint="eastAsia"/>
          <w:color w:val="auto"/>
          <w:lang w:val="en-US" w:eastAsia="zh-CN"/>
        </w:rPr>
        <w:t>6.2效益分析</w:t>
      </w:r>
      <w:bookmarkEnd w:id="144"/>
      <w:bookmarkEnd w:id="145"/>
      <w:bookmarkEnd w:id="146"/>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推进污染物总量减排。通过实施规模养殖场（畜禽养殖户）养殖废弃物综合利用和污染治理设施建设进程。各类政策补贴和技术示范工程将继续发挥积极的引导、带动和辐射作用，提高养殖企业和养殖户自发治污减排的积极性，促进畜禽养殖业污染减排工作持续深入开展，巩固减排工作成效。</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改善区域和农村生态环境质量。通过统筹安排、合理布局畜禽养殖废弃物综合利用和污染治理项目，能够在全县水污染防治重点流域和区域有效缓解农业面源污染、改善区域环境质量。通过依法划定禁养区并强化污染防治，对饮用水水源地等环境敏感区域进行重点整治，将有效提升农村饮用水安全保障水平，农村居民健康得到保障。</w:t>
      </w:r>
    </w:p>
    <w:p>
      <w:pPr>
        <w:ind w:firstLine="600" w:firstLineChars="200"/>
        <w:rPr>
          <w:rFonts w:hint="eastAsia" w:ascii="Times New Roman" w:hAnsi="微软雅黑" w:eastAsia="Times New Roman" w:cs="微软雅黑"/>
          <w:b/>
          <w:bCs/>
          <w:color w:val="auto"/>
          <w:sz w:val="44"/>
          <w:szCs w:val="44"/>
          <w:lang w:val="en-US" w:eastAsia="zh-CN" w:bidi="zh-CN"/>
        </w:rPr>
      </w:pPr>
      <w:r>
        <w:rPr>
          <w:rFonts w:hint="eastAsia" w:eastAsia="仿宋_GB2312"/>
          <w:color w:val="auto"/>
          <w:kern w:val="0"/>
          <w:sz w:val="30"/>
          <w:szCs w:val="30"/>
          <w:lang w:val="zh-CN" w:eastAsia="zh-CN"/>
        </w:rPr>
        <w:t>促进产业发展和农民增收。通过落实严格环境准入、强化污染源头管控、加强技术引导示范、推行清洁养殖方式等措施，将促进畜禽养殖业的结构调整和布局优化，引导产业生态化、规模化、集约化转型，增强可持续发展能力。有机肥生产、沼气能源工程建设，将促进废弃物综合利用和产业链有效延伸，提高农产品品质和价值，提升产业综合效益，拓宽农民创收渠道，增加农民收入。</w:t>
      </w:r>
      <w:r>
        <w:rPr>
          <w:rFonts w:hint="eastAsia" w:ascii="Times New Roman" w:hAnsi="微软雅黑" w:eastAsia="Times New Roman" w:cs="微软雅黑"/>
          <w:b/>
          <w:bCs/>
          <w:color w:val="auto"/>
          <w:sz w:val="44"/>
          <w:szCs w:val="44"/>
          <w:lang w:val="en-US" w:eastAsia="zh-CN" w:bidi="zh-CN"/>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lang w:val="en-US" w:eastAsia="zh-CN"/>
        </w:rPr>
      </w:pPr>
      <w:bookmarkStart w:id="147" w:name="_Toc15251"/>
      <w:bookmarkStart w:id="148" w:name="_Toc21584"/>
      <w:bookmarkStart w:id="149" w:name="_Toc13089"/>
      <w:r>
        <w:rPr>
          <w:rFonts w:hint="eastAsia"/>
          <w:color w:val="auto"/>
          <w:lang w:val="en-US" w:eastAsia="zh-CN"/>
        </w:rPr>
        <w:t>7、保障措施</w:t>
      </w:r>
      <w:bookmarkEnd w:id="147"/>
      <w:bookmarkEnd w:id="148"/>
      <w:bookmarkEnd w:id="149"/>
    </w:p>
    <w:p>
      <w:pPr>
        <w:pStyle w:val="5"/>
        <w:rPr>
          <w:color w:val="auto"/>
        </w:rPr>
      </w:pPr>
      <w:bookmarkStart w:id="150" w:name="_Toc17357"/>
      <w:bookmarkStart w:id="151" w:name="_Toc25460"/>
      <w:bookmarkStart w:id="152" w:name="_Toc226"/>
      <w:r>
        <w:rPr>
          <w:color w:val="auto"/>
        </w:rPr>
        <w:t>7.1</w:t>
      </w:r>
      <w:r>
        <w:rPr>
          <w:rFonts w:hint="eastAsia" w:cs="仿宋"/>
          <w:color w:val="auto"/>
        </w:rPr>
        <w:t>加强领导，严格目标考核</w:t>
      </w:r>
      <w:bookmarkEnd w:id="150"/>
      <w:bookmarkEnd w:id="151"/>
      <w:bookmarkEnd w:id="152"/>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县政府要进一步加强对畜禽养殖污染防治工作的组织领导，加强污染防治工作协调，建立有效的部门沟通协作机制，按照部门职责分工，分解落实畜禽养殖污染防治任务，实现资源和信息共享，形成部门合力。将畜禽养殖污染防治任务完成情况作为政府年度目标责任考核的重要内容，层层明确目标任务，落实防治工作责任，并根据目标任务完成情况采取相应的奖惩措施。</w:t>
      </w:r>
    </w:p>
    <w:p>
      <w:pPr>
        <w:pStyle w:val="5"/>
        <w:rPr>
          <w:color w:val="auto"/>
        </w:rPr>
      </w:pPr>
      <w:bookmarkStart w:id="153" w:name="_Toc22688"/>
      <w:bookmarkStart w:id="154" w:name="_Toc17602"/>
      <w:bookmarkStart w:id="155" w:name="_Toc13543"/>
      <w:r>
        <w:rPr>
          <w:color w:val="auto"/>
        </w:rPr>
        <w:t>7.2</w:t>
      </w:r>
      <w:r>
        <w:rPr>
          <w:rFonts w:hint="eastAsia" w:cs="仿宋"/>
          <w:color w:val="auto"/>
        </w:rPr>
        <w:t>明确重点，细化措施落实</w:t>
      </w:r>
      <w:bookmarkEnd w:id="153"/>
      <w:bookmarkEnd w:id="154"/>
      <w:bookmarkEnd w:id="155"/>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县政府要突出重点，明确治理任务及进度，加强对重点地区的监督指导和政策扶持。通过多部门联合监督、专项监督和日常性监督等多种监管方式加大畜禽养殖污染日常监督和执法管理，加快各地畜禽养殖污染治理设施建设。加强对畜禽养殖业污染减排项目的督查和调度，确保完成减排目标任务。采取多种检查方式，重点加强对已完成治理的规模畜禽养殖场以及畜禽粪便收集处理设施的现场监督，对偷排、漏排、直排等违法行为依法严厉查处。将畜禽养殖污染治理与生态创建、各类农业财政扶持资格、各类生态环保评优等挂钩，不断加大综合整治力度。</w:t>
      </w:r>
    </w:p>
    <w:p>
      <w:pPr>
        <w:pStyle w:val="5"/>
        <w:rPr>
          <w:color w:val="auto"/>
        </w:rPr>
      </w:pPr>
      <w:bookmarkStart w:id="156" w:name="_Toc12387"/>
      <w:bookmarkStart w:id="157" w:name="_Toc26368"/>
      <w:bookmarkStart w:id="158" w:name="_Toc27119"/>
      <w:r>
        <w:rPr>
          <w:color w:val="auto"/>
        </w:rPr>
        <w:t>7.3</w:t>
      </w:r>
      <w:r>
        <w:rPr>
          <w:rFonts w:hint="eastAsia" w:cs="仿宋"/>
          <w:color w:val="auto"/>
        </w:rPr>
        <w:t>增加投入，加大政策扶持</w:t>
      </w:r>
      <w:bookmarkEnd w:id="156"/>
      <w:bookmarkEnd w:id="157"/>
      <w:bookmarkEnd w:id="158"/>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逐步加大对畜禽养殖污染防治工作的资金投入，加大对生态畜牧业建设的政策扶持，研究畜禽污染治理贷补贴政策，对有机肥产品生产、经营、沼液收集处理等畜禽养殖废弃物综合利用及无害化处置等活动享受税收优惠政策。优先制定和实施针对畜禽养殖废弃物减量化、沼气工程和有机肥生产使用等废弃物资源化利用、污染治理设施建设和运营等优惠和扶持措施。鼓励养殖企业与高校、科研院所合作，通过技术研发和生产实践，创新畜禽养殖污染防治的新方法、新途径。</w:t>
      </w:r>
    </w:p>
    <w:p>
      <w:pPr>
        <w:pStyle w:val="5"/>
        <w:rPr>
          <w:color w:val="auto"/>
        </w:rPr>
      </w:pPr>
      <w:bookmarkStart w:id="159" w:name="_Toc19378"/>
      <w:bookmarkStart w:id="160" w:name="_Toc12584"/>
      <w:bookmarkStart w:id="161" w:name="_Toc189"/>
      <w:r>
        <w:rPr>
          <w:color w:val="auto"/>
        </w:rPr>
        <w:t>7.4</w:t>
      </w:r>
      <w:r>
        <w:rPr>
          <w:rFonts w:hint="eastAsia" w:cs="仿宋"/>
          <w:color w:val="auto"/>
        </w:rPr>
        <w:t>加大宣传，营造治理气氛</w:t>
      </w:r>
      <w:bookmarkEnd w:id="159"/>
      <w:bookmarkEnd w:id="160"/>
      <w:bookmarkEnd w:id="161"/>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积极开展畜禽养殖污染防治工作的宣传教育，营造良好的舆论氛围。通过广播、电视、报刊、网络、微博、微信等不同媒介，开展畜禽养殖污染防治的舆论宣传，切实提高规模养殖场（畜禽养殖户）和广大群众的环保意识。对治理不力、严重污染水环境的生产主体进行曝光，赢得舆论宣传工作的主动权。积极鼓励村民自治组织和畜禽养殖协会制定相关规程，规范畜禽养殖行为，进一步提高广大养殖户和人民群众的责任意识和主人翁意识，形成群防群治畜禽养殖污染的良好氛围。</w:t>
      </w:r>
    </w:p>
    <w:p>
      <w:pPr>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br w:type="page"/>
      </w:r>
    </w:p>
    <w:p>
      <w:pPr>
        <w:keepNext w:val="0"/>
        <w:keepLines w:val="0"/>
        <w:pageBreakBefore w:val="0"/>
        <w:widowControl w:val="0"/>
        <w:kinsoku/>
        <w:wordWrap/>
        <w:overflowPunct/>
        <w:topLinePunct w:val="0"/>
        <w:autoSpaceDE/>
        <w:autoSpaceDN/>
        <w:bidi w:val="0"/>
        <w:adjustRightInd/>
        <w:snapToGrid/>
        <w:jc w:val="left"/>
        <w:textAlignment w:val="auto"/>
        <w:outlineLvl w:val="0"/>
        <w:rPr>
          <w:rFonts w:hint="eastAsia"/>
          <w:b/>
          <w:bCs/>
          <w:color w:val="auto"/>
          <w:sz w:val="28"/>
          <w:szCs w:val="28"/>
          <w:lang w:val="en-US" w:eastAsia="zh-CN"/>
        </w:rPr>
      </w:pPr>
      <w:bookmarkStart w:id="162" w:name="_Toc30219"/>
      <w:r>
        <w:rPr>
          <w:rFonts w:hint="eastAsia"/>
          <w:b/>
          <w:bCs/>
          <w:color w:val="auto"/>
          <w:sz w:val="28"/>
          <w:szCs w:val="28"/>
          <w:lang w:val="zh-CN" w:eastAsia="zh-CN"/>
        </w:rPr>
        <w:t>附件</w:t>
      </w:r>
      <w:r>
        <w:rPr>
          <w:rFonts w:hint="eastAsia"/>
          <w:b/>
          <w:bCs/>
          <w:color w:val="auto"/>
          <w:sz w:val="28"/>
          <w:szCs w:val="28"/>
          <w:lang w:val="en-US" w:eastAsia="zh-CN"/>
        </w:rPr>
        <w:t>1 《固镇县“十四五”畜禽养殖污染防治规划》编制说明</w:t>
      </w:r>
      <w:bookmarkEnd w:id="162"/>
    </w:p>
    <w:p>
      <w:pPr>
        <w:pStyle w:val="13"/>
        <w:rPr>
          <w:rFonts w:hint="default"/>
          <w:color w:val="auto"/>
          <w:lang w:val="en-US" w:eastAsia="zh-CN"/>
        </w:rPr>
      </w:pPr>
    </w:p>
    <w:p>
      <w:pPr>
        <w:rPr>
          <w:rFonts w:hint="eastAsia"/>
          <w:b/>
          <w:bCs/>
          <w:color w:val="auto"/>
          <w:sz w:val="28"/>
          <w:szCs w:val="28"/>
          <w:lang w:val="zh-CN" w:eastAsia="zh-CN"/>
        </w:rPr>
      </w:pPr>
      <w:r>
        <w:rPr>
          <w:rFonts w:hint="eastAsia"/>
          <w:b/>
          <w:bCs/>
          <w:color w:val="auto"/>
          <w:sz w:val="28"/>
          <w:szCs w:val="28"/>
          <w:lang w:val="zh-CN" w:eastAsia="zh-CN"/>
        </w:rPr>
        <w:t>一、《规划》编制背景</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2022年2月25日，国家生态环境部办公厅发布《关于进一步加快推进畜禽养殖污染防治规划编制的通知》，2022年3月19日，安徽省生态环境厅发布《安徽省生态环境厅 安徽省农业农村厅 关于进一步加快推进畜禽养殖污染防治规划编制的通知》，要求畜牧大县在2022年底完成规划编制工作。</w:t>
      </w:r>
      <w:r>
        <w:rPr>
          <w:rFonts w:hint="eastAsia" w:eastAsia="仿宋_GB2312"/>
          <w:color w:val="auto"/>
          <w:kern w:val="0"/>
          <w:sz w:val="30"/>
          <w:szCs w:val="30"/>
          <w:lang w:val="en-US" w:eastAsia="zh-CN"/>
        </w:rPr>
        <w:t>2022年3月29日，蚌埠市生态环境局发布《蚌埠市生态环境局 蚌埠市农业农村局 关于进一步加快推进畜禽养殖污染防治规划编制的通知》（便函〔2022〕157号），要求固镇县要在2022年底前完成规划编制工作。</w:t>
      </w:r>
    </w:p>
    <w:p>
      <w:pPr>
        <w:rPr>
          <w:rFonts w:hint="eastAsia"/>
          <w:b/>
          <w:bCs/>
          <w:color w:val="auto"/>
          <w:sz w:val="28"/>
          <w:szCs w:val="28"/>
          <w:lang w:val="zh-CN" w:eastAsia="zh-CN"/>
        </w:rPr>
      </w:pPr>
      <w:r>
        <w:rPr>
          <w:rFonts w:hint="eastAsia"/>
          <w:b/>
          <w:bCs/>
          <w:color w:val="auto"/>
          <w:sz w:val="28"/>
          <w:szCs w:val="28"/>
          <w:lang w:val="zh-CN" w:eastAsia="zh-CN"/>
        </w:rPr>
        <w:t>二、《规划》目标分析</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en-US" w:eastAsia="zh-CN"/>
        </w:rPr>
        <w:t>加快发展畜产品加工业，健全集良种繁育、规模化养殖、屠宰、加工、冷链运输、销售为一体的产业化链条，大力发展牛羊工厂化屠宰及产品精深加工业，延长产业链，做大做强肉类精深加工产业。根据</w:t>
      </w:r>
      <w:r>
        <w:rPr>
          <w:rFonts w:hint="default" w:ascii="Times New Roman" w:hAnsi="Times New Roman" w:eastAsia="仿宋_GB2312" w:cs="Times New Roman"/>
          <w:color w:val="auto"/>
          <w:kern w:val="0"/>
          <w:sz w:val="28"/>
          <w:szCs w:val="28"/>
          <w:lang w:val="zh-CN" w:eastAsia="zh-CN"/>
        </w:rPr>
        <w:t>《固镇县“十四五”现代农业发展规划（2021-2025）》</w:t>
      </w:r>
      <w:r>
        <w:rPr>
          <w:rFonts w:hint="eastAsia" w:eastAsia="仿宋_GB2312"/>
          <w:color w:val="auto"/>
          <w:kern w:val="0"/>
          <w:sz w:val="30"/>
          <w:szCs w:val="30"/>
          <w:lang w:val="en-US" w:eastAsia="zh-CN"/>
        </w:rPr>
        <w:t>、《固镇县国民经济和社会发展第十四个五年规划和2035年远景目标纲要》，结合固镇县畜禽养殖现状，提出本次规划的目标为：到2025年，规模畜禽养殖场粪污资源化利用率达90%以上。围绕猪肉、禽肉、禽蛋、牛羊肉、乳制品等主要畜禽产品，培育在区域有影响力的现代畜牧业品牌</w:t>
      </w:r>
      <w:r>
        <w:rPr>
          <w:rFonts w:hint="eastAsia" w:eastAsia="仿宋_GB2312"/>
          <w:color w:val="auto"/>
          <w:kern w:val="0"/>
          <w:sz w:val="30"/>
          <w:szCs w:val="30"/>
          <w:lang w:val="zh-CN" w:eastAsia="zh-CN"/>
        </w:rPr>
        <w:t>。</w:t>
      </w:r>
    </w:p>
    <w:p>
      <w:pPr>
        <w:rPr>
          <w:rFonts w:hint="eastAsia"/>
          <w:b/>
          <w:bCs/>
          <w:color w:val="auto"/>
          <w:sz w:val="28"/>
          <w:szCs w:val="28"/>
          <w:lang w:val="zh-CN" w:eastAsia="zh-CN"/>
        </w:rPr>
      </w:pPr>
      <w:r>
        <w:rPr>
          <w:rFonts w:hint="eastAsia"/>
          <w:b/>
          <w:bCs/>
          <w:color w:val="auto"/>
          <w:sz w:val="28"/>
          <w:szCs w:val="28"/>
          <w:lang w:val="zh-CN" w:eastAsia="zh-CN"/>
        </w:rPr>
        <w:t>三、与相关规划的衔接情况</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依据区域生态环境功能定位、环境承载能力、禁养区划定情况、“三线一单”管控要求等实际情况，合理确定养殖总量、品种和规模化水平、养殖选址等，并配套建设污染防治设施，确保完成污染物总量控制和排放标准要求，推动养殖产能向粮食主产区等粪肥消纳量大的区域调整转移。</w:t>
      </w:r>
    </w:p>
    <w:p>
      <w:pPr>
        <w:rPr>
          <w:rFonts w:hint="eastAsia"/>
          <w:b/>
          <w:bCs/>
          <w:color w:val="auto"/>
          <w:sz w:val="28"/>
          <w:szCs w:val="28"/>
          <w:lang w:val="zh-CN" w:eastAsia="zh-CN"/>
        </w:rPr>
      </w:pPr>
      <w:r>
        <w:rPr>
          <w:rFonts w:hint="eastAsia"/>
          <w:b/>
          <w:bCs/>
          <w:color w:val="auto"/>
          <w:sz w:val="28"/>
          <w:szCs w:val="28"/>
          <w:lang w:val="zh-CN" w:eastAsia="zh-CN"/>
        </w:rPr>
        <w:t>四、畜禽养殖污染防治现状调查评估</w:t>
      </w:r>
    </w:p>
    <w:p>
      <w:pPr>
        <w:widowControl/>
        <w:shd w:val="clear" w:color="auto" w:fill="FFFFFF"/>
        <w:adjustRightInd w:val="0"/>
        <w:snapToGrid w:val="0"/>
        <w:spacing w:line="360" w:lineRule="auto"/>
        <w:ind w:firstLine="600" w:firstLineChars="200"/>
        <w:rPr>
          <w:rFonts w:eastAsia="仿宋_GB2312"/>
          <w:color w:val="auto"/>
          <w:kern w:val="0"/>
          <w:sz w:val="30"/>
          <w:szCs w:val="30"/>
        </w:rPr>
      </w:pPr>
      <w:r>
        <w:rPr>
          <w:rFonts w:hint="eastAsia" w:eastAsia="仿宋_GB2312"/>
          <w:color w:val="auto"/>
          <w:kern w:val="0"/>
          <w:sz w:val="30"/>
          <w:szCs w:val="30"/>
          <w:lang w:val="zh-CN" w:eastAsia="zh-CN"/>
        </w:rPr>
        <w:t>202</w:t>
      </w:r>
      <w:r>
        <w:rPr>
          <w:rFonts w:hint="eastAsia" w:eastAsia="仿宋_GB2312"/>
          <w:color w:val="auto"/>
          <w:kern w:val="0"/>
          <w:sz w:val="30"/>
          <w:szCs w:val="30"/>
          <w:lang w:val="en-US" w:eastAsia="zh-CN"/>
        </w:rPr>
        <w:t>0</w:t>
      </w:r>
      <w:r>
        <w:rPr>
          <w:rFonts w:hint="eastAsia" w:eastAsia="仿宋_GB2312"/>
          <w:color w:val="auto"/>
          <w:kern w:val="0"/>
          <w:sz w:val="30"/>
          <w:szCs w:val="30"/>
          <w:lang w:val="zh-CN" w:eastAsia="zh-CN"/>
        </w:rPr>
        <w:t>年</w:t>
      </w:r>
      <w:r>
        <w:rPr>
          <w:rFonts w:hint="eastAsia" w:eastAsia="仿宋_GB2312"/>
          <w:color w:val="auto"/>
          <w:kern w:val="0"/>
          <w:sz w:val="30"/>
          <w:szCs w:val="30"/>
          <w:lang w:val="en-US" w:eastAsia="zh-CN"/>
        </w:rPr>
        <w:t>，</w:t>
      </w:r>
      <w:r>
        <w:rPr>
          <w:rFonts w:hint="eastAsia" w:eastAsia="仿宋_GB2312"/>
          <w:color w:val="auto"/>
          <w:kern w:val="0"/>
          <w:sz w:val="30"/>
          <w:szCs w:val="30"/>
          <w:lang w:val="zh-CN" w:eastAsia="zh-CN"/>
        </w:rPr>
        <w:t>全县共有畜禽养殖场</w:t>
      </w:r>
      <w:r>
        <w:rPr>
          <w:rFonts w:hint="eastAsia" w:eastAsia="仿宋_GB2312"/>
          <w:color w:val="auto"/>
          <w:kern w:val="0"/>
          <w:sz w:val="30"/>
          <w:szCs w:val="30"/>
          <w:lang w:val="en-US" w:eastAsia="zh-CN"/>
        </w:rPr>
        <w:t>743</w:t>
      </w:r>
      <w:r>
        <w:rPr>
          <w:rFonts w:hint="eastAsia" w:eastAsia="仿宋_GB2312"/>
          <w:color w:val="auto"/>
          <w:kern w:val="0"/>
          <w:sz w:val="30"/>
          <w:szCs w:val="30"/>
          <w:lang w:val="zh-CN" w:eastAsia="zh-CN"/>
        </w:rPr>
        <w:t>个，粪污处理设施设备配套率已达到</w:t>
      </w:r>
      <w:r>
        <w:rPr>
          <w:rFonts w:hint="eastAsia" w:eastAsia="仿宋_GB2312"/>
          <w:color w:val="auto"/>
          <w:kern w:val="0"/>
          <w:sz w:val="30"/>
          <w:szCs w:val="30"/>
          <w:lang w:val="en-US" w:eastAsia="zh-CN"/>
        </w:rPr>
        <w:t>90</w:t>
      </w:r>
      <w:r>
        <w:rPr>
          <w:rFonts w:hint="eastAsia" w:eastAsia="仿宋_GB2312"/>
          <w:color w:val="auto"/>
          <w:kern w:val="0"/>
          <w:sz w:val="30"/>
          <w:szCs w:val="30"/>
          <w:lang w:val="zh-CN" w:eastAsia="zh-CN"/>
        </w:rPr>
        <w:t>%，其中规模化养殖场约394个，规模养殖场粪污处理设施装备配套率</w:t>
      </w:r>
      <w:r>
        <w:rPr>
          <w:rFonts w:hint="eastAsia" w:eastAsia="仿宋_GB2312"/>
          <w:color w:val="auto"/>
          <w:kern w:val="0"/>
          <w:sz w:val="30"/>
          <w:szCs w:val="30"/>
          <w:lang w:val="en-US" w:eastAsia="zh-CN"/>
        </w:rPr>
        <w:t>达到</w:t>
      </w:r>
      <w:r>
        <w:rPr>
          <w:rFonts w:hint="eastAsia" w:eastAsia="仿宋_GB2312"/>
          <w:color w:val="auto"/>
          <w:kern w:val="0"/>
          <w:sz w:val="30"/>
          <w:szCs w:val="30"/>
          <w:lang w:val="zh-CN" w:eastAsia="zh-CN"/>
        </w:rPr>
        <w:t>100%；</w:t>
      </w:r>
      <w:r>
        <w:rPr>
          <w:rFonts w:hint="eastAsia" w:eastAsia="仿宋_GB2312"/>
          <w:color w:val="auto"/>
          <w:kern w:val="0"/>
          <w:sz w:val="30"/>
          <w:szCs w:val="30"/>
        </w:rPr>
        <w:t>全县大型规模养殖企业</w:t>
      </w:r>
      <w:r>
        <w:rPr>
          <w:rFonts w:hint="eastAsia" w:eastAsia="仿宋_GB2312"/>
          <w:color w:val="auto"/>
          <w:kern w:val="0"/>
          <w:sz w:val="30"/>
          <w:szCs w:val="30"/>
          <w:lang w:val="en-US" w:eastAsia="zh-CN"/>
        </w:rPr>
        <w:t>78</w:t>
      </w:r>
      <w:r>
        <w:rPr>
          <w:rFonts w:hint="eastAsia" w:eastAsia="仿宋_GB2312"/>
          <w:color w:val="auto"/>
          <w:kern w:val="0"/>
          <w:sz w:val="30"/>
          <w:szCs w:val="30"/>
        </w:rPr>
        <w:t>个，</w:t>
      </w:r>
      <w:r>
        <w:rPr>
          <w:rFonts w:eastAsia="仿宋_GB2312"/>
          <w:color w:val="auto"/>
          <w:kern w:val="0"/>
          <w:sz w:val="30"/>
          <w:szCs w:val="30"/>
        </w:rPr>
        <w:t>粪污处理设施设备运行的有</w:t>
      </w:r>
      <w:r>
        <w:rPr>
          <w:rFonts w:hint="eastAsia" w:eastAsia="仿宋_GB2312"/>
          <w:color w:val="auto"/>
          <w:kern w:val="0"/>
          <w:sz w:val="30"/>
          <w:szCs w:val="30"/>
          <w:lang w:val="en-US" w:eastAsia="zh-CN"/>
        </w:rPr>
        <w:t>78</w:t>
      </w:r>
      <w:r>
        <w:rPr>
          <w:rFonts w:eastAsia="仿宋_GB2312"/>
          <w:color w:val="auto"/>
          <w:kern w:val="0"/>
          <w:sz w:val="30"/>
          <w:szCs w:val="30"/>
        </w:rPr>
        <w:t>个，设施设备配套率达到</w:t>
      </w:r>
      <w:r>
        <w:rPr>
          <w:rFonts w:hint="eastAsia" w:eastAsia="仿宋_GB2312"/>
          <w:color w:val="auto"/>
          <w:kern w:val="0"/>
          <w:sz w:val="30"/>
          <w:szCs w:val="30"/>
          <w:lang w:val="en-US" w:eastAsia="zh-CN"/>
        </w:rPr>
        <w:t>100</w:t>
      </w:r>
      <w:r>
        <w:rPr>
          <w:rFonts w:eastAsia="仿宋_GB2312"/>
          <w:color w:val="auto"/>
          <w:kern w:val="0"/>
          <w:sz w:val="30"/>
          <w:szCs w:val="30"/>
        </w:rPr>
        <w:t>%。</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生猪养殖场和肉牛养殖场采用堆肥棚和厌氧发酵池，肉羊养殖场和肉鸡养殖场均采用堆肥棚；</w:t>
      </w:r>
      <w:r>
        <w:rPr>
          <w:rFonts w:hint="eastAsia" w:eastAsia="仿宋_GB2312"/>
          <w:color w:val="auto"/>
          <w:kern w:val="0"/>
          <w:sz w:val="30"/>
          <w:szCs w:val="30"/>
          <w:lang w:val="en-US" w:eastAsia="zh-CN"/>
        </w:rPr>
        <w:t>2020年</w:t>
      </w:r>
      <w:r>
        <w:rPr>
          <w:rFonts w:hint="eastAsia" w:eastAsia="仿宋_GB2312"/>
          <w:color w:val="auto"/>
          <w:kern w:val="0"/>
          <w:sz w:val="30"/>
          <w:szCs w:val="30"/>
          <w:lang w:val="zh-CN" w:eastAsia="zh-CN"/>
        </w:rPr>
        <w:t>全县粪污资源化利用率达到</w:t>
      </w:r>
      <w:r>
        <w:rPr>
          <w:rFonts w:hint="eastAsia" w:eastAsia="仿宋_GB2312"/>
          <w:color w:val="auto"/>
          <w:kern w:val="0"/>
          <w:sz w:val="30"/>
          <w:szCs w:val="30"/>
          <w:lang w:val="en-US" w:eastAsia="zh-CN"/>
        </w:rPr>
        <w:t>89.85%。</w:t>
      </w:r>
    </w:p>
    <w:p>
      <w:pPr>
        <w:rPr>
          <w:rFonts w:hint="eastAsia"/>
          <w:b/>
          <w:bCs/>
          <w:color w:val="auto"/>
          <w:sz w:val="28"/>
          <w:szCs w:val="28"/>
          <w:lang w:val="zh-CN" w:eastAsia="zh-CN"/>
        </w:rPr>
      </w:pPr>
      <w:r>
        <w:rPr>
          <w:rFonts w:hint="eastAsia"/>
          <w:b/>
          <w:bCs/>
          <w:color w:val="auto"/>
          <w:sz w:val="28"/>
          <w:szCs w:val="28"/>
          <w:lang w:val="zh-CN" w:eastAsia="zh-CN"/>
        </w:rPr>
        <w:t>五、《规划》主要内容和成果说明</w:t>
      </w:r>
    </w:p>
    <w:p>
      <w:pPr>
        <w:rPr>
          <w:rFonts w:hint="eastAsia"/>
          <w:color w:val="auto"/>
          <w:lang w:val="zh-CN" w:eastAsia="zh-CN"/>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600" w:firstLineChars="200"/>
        <w:textAlignment w:val="auto"/>
        <w:outlineLvl w:val="9"/>
        <w:rPr>
          <w:rFonts w:hint="eastAsia" w:eastAsia="仿宋_GB2312"/>
          <w:color w:val="auto"/>
          <w:kern w:val="0"/>
          <w:sz w:val="30"/>
          <w:szCs w:val="30"/>
          <w:lang w:val="zh-CN" w:eastAsia="zh-CN"/>
        </w:rPr>
        <w:sectPr>
          <w:pgSz w:w="11906" w:h="16838"/>
          <w:pgMar w:top="1440" w:right="1800" w:bottom="1440" w:left="1800" w:header="851" w:footer="992" w:gutter="0"/>
          <w:pgNumType w:fmt="decimal"/>
          <w:cols w:space="425" w:num="1"/>
          <w:docGrid w:type="lines" w:linePitch="312" w:charSpace="0"/>
        </w:sectPr>
      </w:pPr>
      <w:r>
        <w:rPr>
          <w:rFonts w:hint="eastAsia" w:eastAsia="仿宋_GB2312"/>
          <w:color w:val="auto"/>
          <w:kern w:val="0"/>
          <w:sz w:val="30"/>
          <w:szCs w:val="30"/>
          <w:lang w:val="zh-CN" w:eastAsia="zh-CN"/>
        </w:rPr>
        <w:t>本次规划内容主要包含总则、编制依据、区域概况、</w:t>
      </w:r>
      <w:r>
        <w:rPr>
          <w:rFonts w:hint="eastAsia" w:eastAsia="仿宋_GB2312"/>
          <w:color w:val="auto"/>
          <w:kern w:val="0"/>
          <w:sz w:val="30"/>
          <w:szCs w:val="30"/>
          <w:lang w:val="en-US" w:eastAsia="zh-CN"/>
        </w:rPr>
        <w:t>固镇</w:t>
      </w:r>
      <w:r>
        <w:rPr>
          <w:rFonts w:hint="eastAsia" w:eastAsia="仿宋_GB2312"/>
          <w:color w:val="auto"/>
          <w:kern w:val="0"/>
          <w:sz w:val="30"/>
          <w:szCs w:val="30"/>
          <w:lang w:val="zh-CN" w:eastAsia="zh-CN"/>
        </w:rPr>
        <w:t>县畜禽养殖现状说明、畜禽养殖主要任务、重点工程、投资估算等内容，编制完成了《固镇县“十四五”畜禽养殖污染防治规划》文本、编制说明和附表、图件等。</w:t>
      </w:r>
    </w:p>
    <w:p>
      <w:pPr>
        <w:keepNext w:val="0"/>
        <w:keepLines w:val="0"/>
        <w:pageBreakBefore w:val="0"/>
        <w:widowControl w:val="0"/>
        <w:kinsoku/>
        <w:wordWrap/>
        <w:overflowPunct/>
        <w:topLinePunct w:val="0"/>
        <w:autoSpaceDE/>
        <w:autoSpaceDN/>
        <w:bidi w:val="0"/>
        <w:adjustRightInd/>
        <w:snapToGrid/>
        <w:jc w:val="left"/>
        <w:textAlignment w:val="auto"/>
        <w:outlineLvl w:val="0"/>
        <w:rPr>
          <w:rFonts w:hint="eastAsia"/>
          <w:b/>
          <w:bCs/>
          <w:color w:val="auto"/>
          <w:sz w:val="28"/>
          <w:szCs w:val="28"/>
          <w:lang w:val="en-US" w:eastAsia="zh-CN"/>
        </w:rPr>
      </w:pPr>
      <w:bookmarkStart w:id="163" w:name="_Toc8729"/>
      <w:bookmarkStart w:id="164" w:name="_Toc29634"/>
      <w:r>
        <w:rPr>
          <w:rFonts w:hint="eastAsia"/>
          <w:b/>
          <w:bCs/>
          <w:color w:val="auto"/>
          <w:sz w:val="28"/>
          <w:szCs w:val="28"/>
          <w:lang w:val="en-US" w:eastAsia="zh-CN"/>
        </w:rPr>
        <w:t>附件2  2021年固镇县</w:t>
      </w:r>
      <w:bookmarkEnd w:id="163"/>
      <w:r>
        <w:rPr>
          <w:rFonts w:hint="eastAsia"/>
          <w:b/>
          <w:bCs/>
          <w:color w:val="auto"/>
          <w:sz w:val="28"/>
          <w:szCs w:val="28"/>
          <w:lang w:val="en-US" w:eastAsia="zh-CN"/>
        </w:rPr>
        <w:t>畜禽规模养殖场（小区）粪污资源化利用情况表</w:t>
      </w:r>
      <w:bookmarkEnd w:id="164"/>
    </w:p>
    <w:tbl>
      <w:tblPr>
        <w:tblStyle w:val="20"/>
        <w:tblW w:w="5014" w:type="pct"/>
        <w:tblInd w:w="-7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4"/>
        <w:gridCol w:w="1514"/>
        <w:gridCol w:w="1618"/>
        <w:gridCol w:w="782"/>
        <w:gridCol w:w="913"/>
        <w:gridCol w:w="849"/>
        <w:gridCol w:w="940"/>
        <w:gridCol w:w="1073"/>
        <w:gridCol w:w="960"/>
        <w:gridCol w:w="1260"/>
        <w:gridCol w:w="880"/>
        <w:gridCol w:w="1490"/>
        <w:gridCol w:w="1340"/>
        <w:gridCol w:w="750"/>
        <w:gridCol w:w="882"/>
        <w:gridCol w:w="675"/>
        <w:gridCol w:w="1015"/>
        <w:gridCol w:w="886"/>
        <w:gridCol w:w="719"/>
        <w:gridCol w:w="719"/>
        <w:gridCol w:w="723"/>
        <w:gridCol w:w="890"/>
        <w:gridCol w:w="11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3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畜禽养殖场（户）名称</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地址</w:t>
            </w:r>
          </w:p>
        </w:tc>
        <w:tc>
          <w:tcPr>
            <w:tcW w:w="172" w:type="pct"/>
            <w:vMerge w:val="restart"/>
            <w:tcBorders>
              <w:top w:val="single" w:color="000000" w:sz="4" w:space="0"/>
              <w:left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养殖种类</w:t>
            </w:r>
          </w:p>
        </w:tc>
        <w:tc>
          <w:tcPr>
            <w:tcW w:w="388" w:type="pct"/>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配套农田面积</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（亩）</w:t>
            </w:r>
          </w:p>
        </w:tc>
        <w:tc>
          <w:tcPr>
            <w:tcW w:w="2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粪污年产生量</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42"/>
                <w:color w:val="auto"/>
                <w:sz w:val="21"/>
                <w:szCs w:val="21"/>
                <w:lang w:val="en-US" w:eastAsia="zh-CN" w:bidi="ar"/>
              </w:rPr>
              <w:t>（吨）</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年深度处理量</w:t>
            </w:r>
            <w:r>
              <w:rPr>
                <w:rStyle w:val="42"/>
                <w:color w:val="auto"/>
                <w:sz w:val="21"/>
                <w:szCs w:val="21"/>
                <w:lang w:val="en-US" w:eastAsia="zh-CN" w:bidi="ar"/>
              </w:rPr>
              <w:t>（含达标排放、灌溉用水、场内回用等）（</w:t>
            </w:r>
            <w:r>
              <w:rPr>
                <w:rStyle w:val="42"/>
                <w:rFonts w:hint="eastAsia"/>
                <w:color w:val="auto"/>
                <w:sz w:val="21"/>
                <w:szCs w:val="21"/>
                <w:lang w:val="en-US" w:eastAsia="zh-CN" w:bidi="ar"/>
              </w:rPr>
              <w:t>m</w:t>
            </w:r>
            <w:r>
              <w:rPr>
                <w:rStyle w:val="42"/>
                <w:rFonts w:hint="eastAsia"/>
                <w:color w:val="auto"/>
                <w:sz w:val="21"/>
                <w:szCs w:val="21"/>
                <w:vertAlign w:val="superscript"/>
                <w:lang w:val="en-US" w:eastAsia="zh-CN" w:bidi="ar"/>
              </w:rPr>
              <w:t>3</w:t>
            </w:r>
            <w:r>
              <w:rPr>
                <w:rStyle w:val="42"/>
                <w:color w:val="auto"/>
                <w:sz w:val="21"/>
                <w:szCs w:val="21"/>
                <w:lang w:val="en-US" w:eastAsia="zh-CN" w:bidi="ar"/>
              </w:rPr>
              <w:t>）</w:t>
            </w:r>
          </w:p>
        </w:tc>
        <w:tc>
          <w:tcPr>
            <w:tcW w:w="101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粪肥年产生量</w:t>
            </w:r>
          </w:p>
        </w:tc>
        <w:tc>
          <w:tcPr>
            <w:tcW w:w="1224" w:type="pct"/>
            <w:gridSpan w:val="6"/>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粪肥就地就近还田利用情况</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（自用/部分自用）</w:t>
            </w:r>
          </w:p>
        </w:tc>
        <w:tc>
          <w:tcPr>
            <w:tcW w:w="93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粪肥（粪污）委托第三方处理或利用情况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3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72" w:type="pct"/>
            <w:vMerge w:val="continue"/>
            <w:tcBorders>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自有（含土地流转）耕地</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与种植户签订协议的土地</w:t>
            </w:r>
          </w:p>
        </w:tc>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固体粪肥</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42"/>
                <w:color w:val="auto"/>
                <w:sz w:val="21"/>
                <w:szCs w:val="21"/>
                <w:lang w:val="en-US" w:eastAsia="zh-CN" w:bidi="ar"/>
              </w:rPr>
              <w:t>（吨）</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固体粪肥利用形式</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液体粪肥</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42"/>
                <w:color w:val="auto"/>
                <w:sz w:val="21"/>
                <w:szCs w:val="21"/>
                <w:lang w:val="en-US" w:eastAsia="zh-CN" w:bidi="ar"/>
              </w:rPr>
              <w:t>（</w:t>
            </w:r>
            <w:r>
              <w:rPr>
                <w:rStyle w:val="42"/>
                <w:rFonts w:hint="eastAsia"/>
                <w:color w:val="auto"/>
                <w:sz w:val="21"/>
                <w:szCs w:val="21"/>
                <w:lang w:val="en-US" w:eastAsia="zh-CN" w:bidi="ar"/>
              </w:rPr>
              <w:t>m</w:t>
            </w:r>
            <w:r>
              <w:rPr>
                <w:rStyle w:val="42"/>
                <w:rFonts w:hint="eastAsia"/>
                <w:color w:val="auto"/>
                <w:sz w:val="21"/>
                <w:szCs w:val="21"/>
                <w:vertAlign w:val="superscript"/>
                <w:lang w:val="en-US" w:eastAsia="zh-CN" w:bidi="ar"/>
              </w:rPr>
              <w:t>3</w:t>
            </w:r>
            <w:r>
              <w:rPr>
                <w:rStyle w:val="42"/>
                <w:color w:val="auto"/>
                <w:sz w:val="21"/>
                <w:szCs w:val="21"/>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液体粪肥利用形式</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利用类型</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种植种类</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其他种植种类</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种植面积</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42"/>
                <w:color w:val="auto"/>
                <w:sz w:val="21"/>
                <w:szCs w:val="21"/>
                <w:lang w:val="en-US" w:eastAsia="zh-CN" w:bidi="ar"/>
              </w:rPr>
              <w:t>（亩）</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固体粪肥年度施用/供应量</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42"/>
                <w:color w:val="auto"/>
                <w:sz w:val="21"/>
                <w:szCs w:val="21"/>
                <w:lang w:val="en-US" w:eastAsia="zh-CN" w:bidi="ar"/>
              </w:rPr>
              <w:t>（吨）</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液体粪肥年度施用/供应量</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42"/>
                <w:color w:val="auto"/>
                <w:sz w:val="21"/>
                <w:szCs w:val="21"/>
                <w:lang w:val="en-US" w:eastAsia="zh-CN" w:bidi="ar"/>
              </w:rPr>
              <w:t>（</w:t>
            </w:r>
            <w:r>
              <w:rPr>
                <w:rStyle w:val="42"/>
                <w:rFonts w:hint="eastAsia"/>
                <w:color w:val="auto"/>
                <w:sz w:val="21"/>
                <w:szCs w:val="21"/>
                <w:lang w:val="en-US" w:eastAsia="zh-CN" w:bidi="ar"/>
              </w:rPr>
              <w:t>m</w:t>
            </w:r>
            <w:r>
              <w:rPr>
                <w:rStyle w:val="42"/>
                <w:rFonts w:hint="eastAsia"/>
                <w:color w:val="auto"/>
                <w:sz w:val="21"/>
                <w:szCs w:val="21"/>
                <w:vertAlign w:val="superscript"/>
                <w:lang w:val="en-US" w:eastAsia="zh-CN" w:bidi="ar"/>
              </w:rPr>
              <w:t>3</w:t>
            </w:r>
            <w:r>
              <w:rPr>
                <w:rStyle w:val="42"/>
                <w:color w:val="auto"/>
                <w:sz w:val="21"/>
                <w:szCs w:val="21"/>
                <w:lang w:val="en-US" w:eastAsia="zh-CN" w:bidi="ar"/>
              </w:rPr>
              <w:t>）</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合作对象</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类型</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合作对象名称</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利用形态</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年度供应量</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42"/>
                <w:color w:val="auto"/>
                <w:sz w:val="21"/>
                <w:szCs w:val="21"/>
                <w:lang w:val="en-US" w:eastAsia="zh-CN" w:bidi="ar"/>
              </w:rPr>
              <w:t>（</w:t>
            </w:r>
            <w:r>
              <w:rPr>
                <w:rStyle w:val="42"/>
                <w:rFonts w:hint="eastAsia"/>
                <w:color w:val="auto"/>
                <w:sz w:val="21"/>
                <w:szCs w:val="21"/>
                <w:lang w:val="en-US" w:eastAsia="zh-CN" w:bidi="ar"/>
              </w:rPr>
              <w:t>t</w:t>
            </w:r>
            <w:r>
              <w:rPr>
                <w:rStyle w:val="42"/>
                <w:color w:val="auto"/>
                <w:sz w:val="21"/>
                <w:szCs w:val="21"/>
                <w:lang w:val="en-US" w:eastAsia="zh-CN" w:bidi="ar"/>
              </w:rPr>
              <w:t>/</w:t>
            </w:r>
            <w:r>
              <w:rPr>
                <w:rStyle w:val="42"/>
                <w:rFonts w:hint="eastAsia"/>
                <w:color w:val="auto"/>
                <w:sz w:val="21"/>
                <w:szCs w:val="21"/>
                <w:lang w:val="en-US" w:eastAsia="zh-CN" w:bidi="ar"/>
              </w:rPr>
              <w:t>m</w:t>
            </w:r>
            <w:r>
              <w:rPr>
                <w:rStyle w:val="42"/>
                <w:rFonts w:hint="eastAsia"/>
                <w:color w:val="auto"/>
                <w:sz w:val="21"/>
                <w:szCs w:val="21"/>
                <w:vertAlign w:val="superscript"/>
                <w:lang w:val="en-US" w:eastAsia="zh-CN" w:bidi="ar"/>
              </w:rPr>
              <w:t>3</w:t>
            </w:r>
            <w:r>
              <w:rPr>
                <w:rStyle w:val="42"/>
                <w:color w:val="auto"/>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固镇县双宇养殖家庭农场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谷阳镇凓涧村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固镇县牧兴生态养猪场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谷阳镇凓涧村官庄组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3930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3130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3130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3100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有机肥厂</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固镇县金色农家种植合作社</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固镇县开封生猪养殖场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谷阳镇凓涧村宋北</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3585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2808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427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2808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种植户—合作社</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玉米、绿化树</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2750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固镇县其响家庭农场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谷阳镇溧涧村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8608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3854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1600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有机肥厂</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众兴菌业</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固镇县史明珠养殖场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谷阳镇龙滩村王桥</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702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固镇县城关镇龙滩种鸭场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谷阳镇龙滩村王桥</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1741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515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674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515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玉米、中药、蔬菜</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固镇县鑫盛养殖专业合作社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谷阳镇龙滩村委会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1350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固镇盛杰牧业有限公司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谷阳镇七里村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4198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2145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1129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2145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2100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有机肥厂</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迪宇食用菌</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吴太军养羊场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谷阳镇桥口村吴庄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山羊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王浩</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固镇县城关镇云侠养殖场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谷阳镇三里庄齐庄南</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886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717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717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710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固镇中房大龙种猪有限公司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谷阳镇唐南街道</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13609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11182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1335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11182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1310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11000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固镇县润程养殖专业合作社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谷阳镇唐南居委会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1693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829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475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829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820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有机肥厂</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兴旺生物科技</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固镇县阳光禽业专业合作社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谷阳镇田庄村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10760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4818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苗木、蔬菜</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4720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1960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固镇县联邦养殖家庭农场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谷阳镇团结村委会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1350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固镇县亥旺种猪场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谷阳镇团结村张庄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3406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2694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2694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2640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固镇县汤礼刚养猪专业合作社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谷阳镇王楼村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132</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1696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1383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1383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132</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1360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固镇县王楼生猪养殖专业合作社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谷阳镇王楼村委会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597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494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494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490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固镇县小蹄快跑家庭农场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谷阳镇五里井</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614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479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479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73</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固镇康成养殖有限公司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谷阳镇张桥村委会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10765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8432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1283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8432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种植户—企业</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1260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8300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固镇县濠城镇丁培宝生猪养殖场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濠城镇丁楼村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593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479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479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濠城镇丁培跃生猪养殖场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濠城镇丁楼村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固镇县濠城镇丁冬瑞生猪养殖场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濠城镇丁楼村前楼组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345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345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丁灿辉生猪养殖场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濠城镇丁楼村前楼组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500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406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406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402</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濠城镇刘安徽生猪养殖场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濠城镇丁楼村委会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295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295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固镇县濠城镇双辉养殖场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濠城镇丁楼村委会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固镇县濠城镇华宗勤肉牛养殖场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濠城镇丁楼村委会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339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339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固镇县濠城镇王兴丰养殖场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濠城镇丁楼村委会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498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固镇县濠城镇陈守德养殖场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濠城镇丁楼村委会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固镇县濠城镇陈辅堂养殖场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濠城镇丁楼村委会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96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96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94</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安徽省争华羊业集团有限公司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濠城镇东荀村委会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固镇县濠城镇邹玉侠蛋鸡场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濠城镇湖东村蒋元组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73</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濠城镇陈守坤生猪养殖场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濠城镇湖东村瓦东组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92</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521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426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426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92</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418</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华古响肉羊养殖场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濠城镇华巷村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固镇县濠城凯恒养殖场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濠城镇李甘村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622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固镇县濠城镇丁海湾养殖场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濠城镇刘祠村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186</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1215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621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327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621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186</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610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固镇县濠城镇刘航养猪场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濠城镇刘祠村后西组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309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309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固镇县濠城镇刘清生猪养殖场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濠城镇刘祠村刘逗组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618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497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497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487</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固镇县濠城镇陈磊生猪养殖场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濠城镇马田村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固镇县湖沟镇庆华家庭农场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湖沟镇陈海村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591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固镇县湖沟镇碧海养殖场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湖沟镇陈海村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1016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825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825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104</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820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湖沟镇红发养猪场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湖沟镇陈海村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1798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1440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1440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1415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杨德林肉牛养殖场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湖沟镇陈海村委会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固镇县湖沟镇王正凤肉鸭养殖场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湖沟镇大桥村委会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675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270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270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固镇县湖沟镇高廷华肉鸭养殖场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湖沟镇大桥村委会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630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207</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固镇县湖沟尚康力养殖场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湖沟镇大庄村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292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235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235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233</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顺隆肉鸡养殖合作社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湖沟镇单圩村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9684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4336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章立功</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固镇县湖沟镇单桂义肉羊场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湖沟镇浍光村委会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固镇县湖沟镇浍光倪南肉鸭养殖小区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湖沟镇浍光村委会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1350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贺扬</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固镇县湖沟镇浍光倪北肉鸭养殖小区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湖沟镇浍光村委会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1350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贺扬</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固镇县湖沟镇集贤肉鸭场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湖沟镇集贤村委会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900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297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贺扬</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董二斌肉鸡养殖场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湖沟镇兰石居委会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1076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固镇县湖沟镇兰石八里肉鸭场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湖沟镇兰石居委会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1800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720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594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720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贺扬</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固镇县湖沟镇兰石三里肉鸭养殖小区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湖沟镇兰石居委会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1350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贺扬</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张正平生猪养殖场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湖沟镇李楼村委会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371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固镇县湖沟镇李楼肉鸭养殖小区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湖沟镇李楼村委会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1294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518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427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518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贺扬</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固镇县湖沟镇李磊蛋鸡养殖场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湖沟镇马楼村委会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301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贺扬</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田大民养殖场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湖沟镇旗王村委会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固镇县湖沟镇田明道肉鸡场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湖沟镇旗王村委会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田大好养殖场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湖沟镇旗王村委会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323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144</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固镇县湖沟镇王思伍肉鸭场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湖沟镇十里村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1350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贺扬</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固镇县绿康源养殖有限公司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湖沟镇瓦疃居委会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1058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582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蒋总</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固体、液体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闲居雅仕肉鸭养殖场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湖沟镇瓦疃居委会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1350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贺扬</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蚌埠市固镇县一山生态农业有限公司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湖沟镇王洲村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822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84</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固镇县湖沟镇魏庙肉鸭养殖小区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湖沟镇位庙村委会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1350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贺扬</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固镇县湖沟镇富农牧业生猪养殖场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湖沟镇五里村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1607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1259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1259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1255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固镇县湖沟镇奇特牧业</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湖沟镇杨圩村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田永锋养鸡场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湖沟镇姚集村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2152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964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贺扬</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固镇县生态养殖场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湖沟镇姚集村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刘荣海</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固体、液体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固镇县湖沟镇伟业湖羊养殖场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湖沟镇姚集村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刘绪春</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固体、液体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固镇县湖沟镇富强湖羊养殖场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湖沟镇姚集村委会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刘绪春</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固体、液体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丁民肉羊养殖场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湖沟镇姚集村委会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刘绪春</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固体、液体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固镇县龙兴养殖场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湖沟镇姚集村委会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刘绪春</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固体、液体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田永峰肉鸭场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湖沟镇姚集村委会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1350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贺扬</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固镇县湖沟镇岳王村牧兴猪场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湖沟镇岳王村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420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356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356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352</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固镇县湖沟镇中龙猪场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湖沟镇岳王村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523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523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79</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固镇县湖沟镇芳芳蛋鸡养殖场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湖沟镇岳王村委会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119</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固镇县旭阳肉鸡养殖场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湖沟镇张湾村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8608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3854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贺扬</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束郭见生猪养殖场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湖沟镇张湾村委会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294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294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292</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固镇县湖沟镇王光跃肉羊场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湖沟镇张湾村委会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刘绪春</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固体、液体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固镇县为民养殖专业合作社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湖沟镇郑圩村委会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1125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固镇县湖沟镇展宏肉鸭养殖场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湖沟镇郑圩村委会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陈旋旋肉牛养殖场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湖沟镇周寨村委会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884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451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238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237</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固镇县连城镇郭行养殖场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773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620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620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固镇县连城镇勤磊家庭农场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连城镇浍南居委会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339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339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蚌埠大成食品有公司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连城镇经济开发区蚌固路西侧</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6456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2891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怀远县沃土有机肥有限公司</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徐家利养猪场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连城镇连城村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54</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54</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142</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固镇县连城镇华丰牛羊养殖基地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连城镇连城村街南组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69</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强行行养殖场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连城镇连城村街南组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177</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孟明辉养殖场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连城镇连城村连东组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437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362</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强非非养殖场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连城镇连城村连东组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270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固镇县连城镇丁丁蛋鸡养殖场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连城镇连城村委会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53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435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53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169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129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固镇县牛牛养殖有限公司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连城镇连城村委会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1038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357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390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固镇县连城镇顺丰养殖场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连城镇马铺村浍连组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213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150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固镇县连城镇忠印生态养殖家庭农场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连城镇马铺村四组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32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32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118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国镇县连城镇忠浩养殖场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连城镇马铺居委会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53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498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53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193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147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徐风养猪场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连城镇马殷陆村洪庄组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固镇县连城镇善水养猪场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连城镇孟城村徐庄组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56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710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573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573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56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75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573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固镇县连城镇立志养猪场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连城镇孟城村徐庄组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64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1310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1037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1037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64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150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1037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固镇县连城镇双峰养殖场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连城镇孟城村左安组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57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885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712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712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57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95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712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固镇县连城镇郭兆杰养殖场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连城镇澥河村陈郭组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27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27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158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固镇县金丰农牧有限公司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连城镇澥河村大圩田组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9146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4095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固镇县华地农牧粪污处理中心</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郭广云养殖场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连城镇澥河村小圩田庄西北侧</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796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637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637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88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637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固镇县锦业养殖家庭农场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连城镇澥河村小圩田组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667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10760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4818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怀远县燎原畜禽粪污处理厂</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固镇县连城镇张向林养殖场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连城镇澥河村张店组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684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74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550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固镇县丰安牧业有限公司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连城镇懈河村圩田组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443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443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443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固镇县迦南养鸡专业合作社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连城镇叶湖村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667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10760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4818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五河众兴菌业</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固镇县瑞杰养殖场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133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1248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133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484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368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固镇县金叶养殖家庭农场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连城镇殷陆村红庄组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667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10760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4818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怀远县燎原畜禽粪污处理厂</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志远养殖场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连城镇殷陆村洪庄组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1817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1490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1490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180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1490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叶贺养殖场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连城镇殷陆村黄湖组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52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892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714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714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52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98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714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固镇县连城镇陆兴亮养殖场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连城镇殷陆村陆湖</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460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379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固镇县连城镇陆兴波生猪养殖场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连城镇殷陆村陆湖</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固镇县连城镇叶元枫养殖场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连城镇殷陆村陆湖村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323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272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272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272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陆伟养殖场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连城镇殷陆村门南组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46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426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46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42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350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固镇县连城镇大桥生态家庭农场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连城镇殷陆村乔郢组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467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181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138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固镇县连城镇张强养殖场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连城镇殷陆村乔郢组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724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577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577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81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577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固镇县德发养殖家庭农场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333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6496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1240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2891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1240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金色农家种植合作社</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固镇县新胜养殖家庭农场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267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8608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3854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蚌埠高计强果农蔬菜专业合作社</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森泽肉牛养殖场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连城镇殷陆村小农场</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3316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1696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891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1696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891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1696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固镇县连城镇叶豹养猪场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连城镇殷陆村叶湖</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562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57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458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刘斌养殖场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连城镇殷陆村叶湖组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2473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1937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295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1937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295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1937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固镇县连城镇叶新华养殖场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连城镇殷陆村叶湖组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43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43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固镇县鸿运养猪场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连城镇殷陆村叶湖组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固镇县连城镇洪峰养殖场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连城镇殷陆村叶湖组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46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46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固镇县连城镇陆云飞养殖场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连城镇殷陆村殷陆组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622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505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505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64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505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固镇县连城镇禹庙村张敬军养猪场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连城镇禹庙村张庄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固镇县刘集镇刘兆来生猪养殖场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837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97</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固镇县刘集镇东楼养殖场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刘集镇东楼村圩北组80号</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933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276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276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272</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固镇县顺康养猪专业合作社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刘集镇董庙村22号</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465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465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460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固镇县张波养殖场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刘集镇董庙村瓦坊组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115</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629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513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513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62</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固镇县张敬彬养猪场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刘集镇董庙村瓦坊组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固镇县富兴生态养殖专业合作社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刘集镇渡口村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990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785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785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固镇县刘集镇厚旺养殖场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刘集镇谷堆湖农场</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498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固镇县刘集镇兴安养殖场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刘集镇谷堆湖农场</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819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固镇县张振蛋鸡养殖场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刘集镇谷堆湖农场</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638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517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517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蚌埠昌农农牧食品有限公司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刘集镇梁桥村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22718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17794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2708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17794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1600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有机肥厂</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蚌埠昌农</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固体、液体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固体1900吨液体16000吨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固镇县刘集镇梁福山蛋鸡养殖场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刘集镇梁桥村新良组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119</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固镇县刘集镇梁文波蛋鸡养殖场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刘集镇梁桥村新梁组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119</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固镇县刘田养殖场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刘集镇刘集</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1169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941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941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124</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940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固镇县刘集镇合信畜禽养殖场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刘集镇刘集</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1248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蔬菜</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固镇县殷现法养殖场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刘集镇刘圩村陈湖农场</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1872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726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蔬菜</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固镇县刘集镇杜学保养猪场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刘集镇邵桥村牌坊组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1932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1512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231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1512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固镇县恒牧养猪场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刘集镇邵桥村委会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655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63</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刘安仁蛋鸡养殖场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刘集镇田圩村张圩组47号</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498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固镇永诚肉鸡养殖专业合作社第一分社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刘集镇王李村委会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5380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2409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蔬菜</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2400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980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固镇永诚肉鸡养殖合作社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刘集镇王李村肖庄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8070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3614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蔬菜</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3600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固镇县兴牧种植家庭农场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刘集镇王李村肖庄组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115</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595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固镇县鑫磊家庭农场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刘集镇西湾村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62</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338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338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62</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固镇县徐从红养殖场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刘集镇杨湖村徐庄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固镇县明宇养殖场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刘集镇杨圩村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436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固镇县王二组生态农场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刘集镇杨圩村前陈组65号</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山羊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张敬习养猪场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刘集镇张蔡村五组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446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446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凌应山养殖场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刘集镇张凌村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固镇牧原农牧有限公司一分厂</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任桥镇沟南村委会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130326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107882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12344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107882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107882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固镇县任桥镇万福猪场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任桥镇李许村委会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1941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1520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231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1520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162</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固镇县古阳养殖有限公司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任桥镇马圩村委会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5970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4823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630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4823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707</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620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4820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固镇县绿圆养猪场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任桥镇苗卜窖场</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248</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823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661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248</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87</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张立学养猪场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任桥镇欧圩村陈圩组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749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613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613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610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安徽省荣财牛羊贸易有限公司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任桥镇欧圩村陈圩组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385</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2099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1072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565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1072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560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1070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固镇县朝海生猪养殖场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任桥镇欧圩村圩东组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871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699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699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162</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695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固镇县陈氏湖羊养殖专业合作社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任桥镇欧圩村委会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5037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2770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58" w:type="pct"/>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家庭农场</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企业</w:t>
            </w:r>
          </w:p>
        </w:tc>
        <w:tc>
          <w:tcPr>
            <w:tcW w:w="159" w:type="pct"/>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淮南田园梦家庭农场</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河南余氏庄园</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固镇县任桥镇尹涛养猪场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任桥镇桥东村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1145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小麦</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梨树</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920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王立聪生猪养殖场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任桥镇任桥村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49</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717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577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577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64</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570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固镇县任桥镇陈锋蛋鸭场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任桥镇任桥村街北组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624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固镇县任桥镇邹勇蛋鸭场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任桥镇任桥村委会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固镇县任桥镇张斌蛋鸭场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任桥镇任桥村委会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固镇县任桥镇张新军蛋鸭场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任桥镇任桥村委会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固镇县任桥镇星光养殖场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任桥镇任桥村邹王组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477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164</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398</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固镇县任桥镇张国锋养猪场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任桥镇任桥村邹王组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863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704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704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206</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86</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固镇县李光召养殖场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任桥镇宋庄村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123</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567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465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465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123</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462</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固镇县龙翔欣养殖场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任桥镇泰山村委会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83</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638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524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524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803</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63</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固镇县鑫龙养猪场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任桥镇五星村委会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172</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731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594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594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固镇县立鹏养殖合作社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任桥镇站北村委会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307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261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261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82</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固镇县荣达养殖专业合作社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石湖乡陈桥村委会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146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146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132</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144</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固镇县石湖乡麒麟生态养殖家庭农场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石湖乡陡沟村前陡沟组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366</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固镇县雨峰肉鸡养殖有限公司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石湖乡后马村委会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4304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1927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830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1880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固镇县玉琳养殖家庭农场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石湖乡后马村委会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211</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339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339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241</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174</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固镇县家旺养殖场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石湖乡康湖村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573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69</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固镇县兴嘉养殖有限公司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石湖乡刘元村华庄组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265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226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226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固镇县石湖乡杨恒彬肉牛场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石湖乡刘元村委会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77</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608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311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127</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159</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304</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固镇县张敏养殖场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石湖乡刘元村委会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477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固镇县常伟养殖专业合作社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石湖乡刘元村西杨组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固镇县飞阳养殖有限公司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石湖乡刘元村西杨组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77</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固镇县新明养殖有限公司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石湖乡石湖居委会小羊场组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14393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11847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1401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11847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1370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11610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固镇县石湖乡丁汉奎养殖场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石湖乡园林厂</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77</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固镇县汉邦牧业有限公司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石湖乡钟黄村熊湖组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奶牛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25840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15273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5812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15273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4910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14960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固镇县王安全生猪养殖场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王庄镇大蒋村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537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443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443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固镇县陈宝堂生猪养殖场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王庄镇大蒋村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501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411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固镇县王庄付宝成肉牛养殖场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王庄镇大蒋村委会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260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固镇县王庄镇合力养殖场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王庄镇丁陶刘村刘家组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609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固镇县王庄镇亮亮生猪养殖场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王庄镇丁陶刘村刘家组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470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386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386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安徽省蚌埠市固镇县王庄镇蓉康养殖场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王庄镇东南村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533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533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64</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固镇县王庄镇士好生猪养殖场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王庄镇东南村吕家组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342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570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朱言社养猪场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王庄镇五铺村后朱组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475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163</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固镇县王庄镇裕隆生态养殖场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王庄镇西南村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2821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2176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2176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760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固镇县王庄镇清兴莲宏养殖场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王庄镇新河村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278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231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231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96</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固镇县王庄镇川华养殖场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王庄镇新河村周家组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固镇县晓光生猪养殖场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王庄镇镇南居</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320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320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固镇县新马桥镇中路家庭农场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新马桥镇高光村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825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蔬菜</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周保圣</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新宇养殖合作社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新马桥镇濠铺村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5380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2409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735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2336</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970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张敬飞生猪养殖场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新马桥镇濠铺村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固镇县三胜牧业有限公司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新马桥镇黄庄村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9684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4336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小麦、水稻</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陈红军</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固镇县新马桥镇安士肉牛养殖场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新马桥镇黄庄村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608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311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蚯蚓、蔬菜</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固镇县新马桥镇朱冬夏生猪养殖场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新马桥镇梨园村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97</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420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98</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159</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302</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固镇县新马桥镇新诺养殖场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新马桥镇梨园村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蚯蚓、蔬菜</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至上绿源</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郭亚坤生猪养殖场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新马桥镇梨园村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64</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118</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新马桥镇鑫农猪场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新马桥镇卢渡村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96</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5380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2409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2336</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975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固镇县朝新家庭农场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新马桥镇卢渡村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10222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4577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有机肥厂</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华地农牧</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固镇县立业养殖专业合作社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新马桥镇卢渡村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94</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603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490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490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有机肥厂</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怀远燎原</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蚌埠市陈海双鹌鹑养殖有限公司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新马桥镇美城居委会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其他</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76</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4818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2650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水蜜桃、胡萝卜</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唐国春</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陶久刚生猪养殖场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新马桥镇磨盘张</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609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515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515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小麦、玉米</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陶华斌</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固镇县大龙养鸡专业合作社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新马桥镇磨盘张村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4304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1927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有机肥厂</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徐严严</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固镇县静心家庭农场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新马桥镇磨盘张村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陶凯养羊场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新马桥镇磨盘张村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固镇三禾顺生态农业有限公司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新马桥镇磨盘张村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255</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3903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3057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465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3057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620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2965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固镇县大龙家庭农场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新马桥镇磨盘张村委会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4364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860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1927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860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固镇县新马桥镇守芝生猪养殖场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新马桥镇南庙村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313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313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96</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303</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蚌埠明德生猪养殖有限公司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新马桥镇南庙村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1980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12769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10721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1126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10721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1095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10400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陈国友蛋鸡养殖场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新马桥镇南庙村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995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294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294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小麦、玉米</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王先利</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固镇县新马桥利军家庭农场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新马桥镇南庙村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固镇县兆峰肉鸡养殖专业合作社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新马桥镇水利村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62</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10760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4818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蘑菇</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众兴菌业</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固镇县新马桥镇佳盛家庭农场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新马桥镇水利村委会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67.5</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4922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980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2168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980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有机肥厂</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彭国玉</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李保生猪养殖场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新马桥镇苏湖村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2056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1582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261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1582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大葱</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1540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安徽徽牛牧业有限公司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新马桥镇苏湖村委会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安徽鑫牛农业科技有限公司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新马桥镇韦店村委会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奶牛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1250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15892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7634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4542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7634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1250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4410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7405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固镇县杨庙镇安兴旺生猪养殖场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杨庙镇安集村安西组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1198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938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938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144</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940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固镇县春林家庭农场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杨庙镇安圩村荒地组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4842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2168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吴建</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固镇县杨庙镇天顺养殖家庭农场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杨庙镇曹徐村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固镇县杨庙镇国侠蛋鸡养殖场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杨庙镇曹徐村东南组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622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固镇县严琴养殖有限公司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杨庙镇何集居委会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1244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乔现友</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固镇牧原农牧有限公司第二分场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杨庙镇蒋南</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88150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70838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9522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70838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70838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孟凡贡</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固镇县杨庙镇杨儒亮生猪养殖场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杨庙镇蒋南村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402</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固镇县杨庙镇杨楠生猪养殖场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杨庙镇蒋南前李组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904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708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708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708</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固镇县杨庙镇尹俊贤生猪养殖场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杨庙镇刘魏湖村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473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391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391</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固镇县互利生猪养殖场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杨庙镇楼上村瓦坊组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814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固镇县青草地家庭农场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杨庙镇陆郢村前东组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固镇县代怀山生猪养殖场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杨庙镇门东王村王庙组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349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349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固镇县杨庙镇赵氏黑猪养殖场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杨庙镇任湖村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843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660</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固镇县杨庙镇桑元金泰养殖场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杨庙镇任湖村高湖组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固镇县华成肉鸡养殖专业合作社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杨庙镇任湖村高湖组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10760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4818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滁州菌种厂</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固镇县杨庙镇吴建波生猪养殖场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杨庙镇桑元村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固镇县杨庙镇桑焱生猪养殖场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杨庙镇桑园村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531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432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432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432</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固镇县连众养殖有限公司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杨庙镇田湖村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8070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3614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粪污、粪肥</w:t>
            </w: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田朝心</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固镇县杨庙镇志平生猪养殖场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杨庙镇田湖村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104</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198</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固镇县杨庙镇孟鑫生态养殖家庭农场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杨庙镇田湖村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固镇牧原农牧有限公司第四分场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杨庙镇田湖村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49140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38490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5858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38490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种植户—散户</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38490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孟凡贡</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固镇县杨庙镇韦兴顺生猪养殖场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杨庙镇田湖村王湖组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142</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1453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1145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1145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142</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169</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1145</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固镇县杨庙镇华美生猪养殖场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杨庙镇姚王村沟南组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724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578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578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81</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578</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固镇县杨庙镇王玲生猪养殖场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杨庙镇姚王村姚中组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1026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859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859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92</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固镇县杨庙镇吴绪将生态养殖家庭农场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杨庙镇张巷村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149</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282</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华龙生态养殖家庭农场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杨庙镇张巷村委会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3657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2864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436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2864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436</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2864</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固镇县洪伟肉鸡养殖专业合作社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杨庙镇张巷村中郢组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11836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5300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社会化服务组织</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安徽佳乐丰生物科技有限公司</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固体</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固镇县杨庙镇张井军生猪养殖场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杨庙镇张庄村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304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256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256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256</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固镇县杨庙镇赵小麦生猪养殖场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杨庙镇赵湖村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118</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固镇县杨庙镇赵旋养殖场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杨庙镇赵湖村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82</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82</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固镇县杨庙镇陈学强养殖场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杨庙镇赵湖村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68</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68</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固镇县杨庙镇赵勇敢生猪养殖场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杨庙镇赵湖村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339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339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339</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固镇县杨庙镇石美华生猪养殖场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杨庙镇赵湖村石元组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142</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142</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158</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固镇县杨庙镇文武蛋鸡养殖场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杨庙镇种羊场</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622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全部自用还田</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全部自用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184</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241</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固镇县鹏飞生猪养殖场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仲兴镇陈圩村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242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26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1019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839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839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242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917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755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固镇县仲兴镇张永利养殖场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仲兴镇耿武村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99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652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527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527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99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587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474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固镇县顺源养殖专业合作社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仲兴镇耿武村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肉鸭</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1125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1013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405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蚌埠鹏睿农牧产业有限公司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仲兴镇耿武村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528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58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23363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17955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2974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17955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528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21027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16160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安徽省蚌埠市固镇县仲兴镇瑞丰猪厂</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仲兴镇红旗村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487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396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固镇县仲兴镇薛安元猪场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仲兴镇后楼村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132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1171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950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950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132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1054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855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固镇县兴宗牧业有限公司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仲兴镇孟庙村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99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1918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1502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1502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99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1726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1352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周坡蛋鸡场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仲兴镇孟庙村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336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99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固镇县欣兴养猪场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仲兴镇土楼村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869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681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681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782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613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安徽省蚌埠市固镇县仲兴镇同义蛋鸡养殖场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仲兴镇土楼村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73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435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73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392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116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固镇县仲兴镇徐振蛋鸡养殖场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仲兴镇余刘村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29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29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168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50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固镇县仲兴镇刘红玲养鸡场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仲兴镇余刘村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74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74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224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固镇县仲兴镇刘林养殖场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仲兴镇余刘村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152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106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固镇县仲兴镇刘强养猪场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仲兴镇余刘村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77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901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727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96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727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77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811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655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固镇县绿源生态养殖场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仲兴镇余刘村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88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563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88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506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412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安徽省蚌埠市固镇县仲兴镇刘锁蛋鸡养殖场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仲兴镇余刘村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51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51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280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83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安徽省蚌埠市固镇县仲兴镇刘玉冰蛋鸡养殖场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仲兴镇余刘村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蛋鸡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51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92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51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280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83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固镇县恒辉养殖家庭农场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仲兴镇余刘村委会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1614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723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1453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270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固镇县荣启养殖家庭农场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仲兴镇余刘村委会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1506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675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1356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252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固镇县牧丰养殖场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仲兴镇余桥村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132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132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202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142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固镇县仲兴镇刘公环养殖场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仲兴镇余桥村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101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71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固镇县仲兴镇秦长利养殖场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仲兴镇张秦村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132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132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152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106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固镇县仲兴镇王乐生猪养殖厂</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仲兴镇张秦村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51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固镇县旺旺养殖场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仲兴镇张巷村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2367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1853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1853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440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2130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1668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284</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固镇县利民羊业养殖有限公司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仲兴镇张巷村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367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579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319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367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521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固镇县鑫羊养殖专业合作社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仲兴镇张巷村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264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29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264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340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286</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固镇县兴顺生态牧业有限公司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仲兴镇张巷村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2640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288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14242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12036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1214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12036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2640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12818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10832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287</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富兴养殖场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仲兴镇中陈村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132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132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202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142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固镇县仲兴镇刘晓光养猪场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仲兴镇中陈村</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138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138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177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124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289</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固镇县陈氏湖羊养殖专业合作社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仲兴镇中陈村后陈庄</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389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42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5037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2770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389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4533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安徽省蚌埠市固镇县仲兴镇华扬畜牧养殖基地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仲兴镇仲兴居委会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生猪</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51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安徽省争华羊业集团有限公司</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仲兴镇仲兴居委会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绵羊</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733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80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1662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914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733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1496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固镇县仲兴镇林旺牧业黄牛养殖场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仲兴镇仲兴居委会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肉牛</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220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832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427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427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220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749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384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trPr>
        <w:tc>
          <w:tcPr>
            <w:tcW w:w="1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293</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固镇县方祥家庭农场</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仲兴镇仲兴居委会</w:t>
            </w:r>
          </w:p>
        </w:tc>
        <w:tc>
          <w:tcPr>
            <w:tcW w:w="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肉鸡</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73 </w:t>
            </w: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 </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1076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 </w:t>
            </w: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 </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部分自用还田、部分外供</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部分自用</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小麦</w:t>
            </w:r>
          </w:p>
        </w:tc>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玉米</w:t>
            </w:r>
          </w:p>
        </w:tc>
        <w:tc>
          <w:tcPr>
            <w:tcW w:w="1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73 </w:t>
            </w:r>
          </w:p>
        </w:tc>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968 </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180 </w:t>
            </w: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bl>
    <w:p>
      <w:pPr>
        <w:jc w:val="center"/>
        <w:rPr>
          <w:rFonts w:hint="eastAsia" w:ascii="Calibri" w:hAnsi="Calibri" w:eastAsia="仿宋_GB2312" w:cs="Times New Roman"/>
          <w:b w:val="0"/>
          <w:color w:val="auto"/>
          <w:kern w:val="0"/>
          <w:sz w:val="30"/>
          <w:szCs w:val="30"/>
          <w:lang w:val="en-US" w:eastAsia="zh-CN" w:bidi="ar-SA"/>
        </w:rPr>
      </w:pPr>
      <w:r>
        <w:rPr>
          <w:rFonts w:hint="eastAsia" w:ascii="宋体" w:hAnsi="宋体" w:eastAsia="宋体" w:cs="宋体"/>
          <w:b w:val="0"/>
          <w:i w:val="0"/>
          <w:iCs w:val="0"/>
          <w:color w:val="auto"/>
          <w:kern w:val="0"/>
          <w:sz w:val="22"/>
          <w:szCs w:val="22"/>
          <w:u w:val="none"/>
          <w:lang w:val="en-US" w:eastAsia="zh-CN" w:bidi="ar"/>
        </w:rPr>
        <w:t>（谷阳镇原名城关镇、杨庙镇原名杨庙乡、仲兴镇原名仲兴乡）</w:t>
      </w:r>
    </w:p>
    <w:p>
      <w:pPr>
        <w:rPr>
          <w:rFonts w:hint="eastAsia"/>
          <w:color w:val="auto"/>
          <w:lang w:val="en-US" w:eastAsia="zh-CN"/>
        </w:rPr>
        <w:sectPr>
          <w:pgSz w:w="23811" w:h="16838" w:orient="landscape"/>
          <w:pgMar w:top="720" w:right="720" w:bottom="720" w:left="72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left"/>
        <w:textAlignment w:val="auto"/>
        <w:outlineLvl w:val="0"/>
        <w:rPr>
          <w:rFonts w:hint="eastAsia"/>
          <w:b/>
          <w:bCs/>
          <w:color w:val="auto"/>
          <w:sz w:val="28"/>
          <w:szCs w:val="28"/>
          <w:lang w:val="en-US" w:eastAsia="zh-CN"/>
        </w:rPr>
      </w:pPr>
      <w:bookmarkStart w:id="165" w:name="_Toc90558558"/>
      <w:bookmarkStart w:id="166" w:name="_Toc12847"/>
      <w:bookmarkStart w:id="167" w:name="_Toc82435207"/>
      <w:r>
        <w:rPr>
          <w:rFonts w:hint="eastAsia"/>
          <w:b/>
          <w:bCs/>
          <w:color w:val="auto"/>
          <w:sz w:val="28"/>
          <w:szCs w:val="28"/>
          <w:lang w:val="en-US" w:eastAsia="zh-CN"/>
        </w:rPr>
        <w:t>附件3  粪便、污水储池设计要求以及运营费用</w:t>
      </w:r>
      <w:bookmarkEnd w:id="165"/>
      <w:bookmarkEnd w:id="166"/>
      <w:bookmarkEnd w:id="167"/>
    </w:p>
    <w:p>
      <w:pPr>
        <w:rPr>
          <w:rFonts w:hint="eastAsia" w:eastAsia="仿宋_GB2312"/>
          <w:color w:val="auto"/>
          <w:kern w:val="0"/>
          <w:sz w:val="30"/>
          <w:szCs w:val="30"/>
          <w:lang w:val="zh-CN" w:eastAsia="zh-CN"/>
        </w:rPr>
      </w:pPr>
      <w:r>
        <w:rPr>
          <w:rFonts w:hint="eastAsia" w:cs="仿宋"/>
          <w:b/>
          <w:bCs/>
          <w:color w:val="auto"/>
        </w:rPr>
        <w:t>（</w:t>
      </w:r>
      <w:r>
        <w:rPr>
          <w:b/>
          <w:bCs/>
          <w:color w:val="auto"/>
        </w:rPr>
        <w:t>1</w:t>
      </w:r>
      <w:r>
        <w:rPr>
          <w:rFonts w:hint="eastAsia" w:cs="仿宋"/>
          <w:b/>
          <w:bCs/>
          <w:color w:val="auto"/>
        </w:rPr>
        <w:t>）</w:t>
      </w:r>
      <w:r>
        <w:rPr>
          <w:rFonts w:hint="eastAsia" w:eastAsia="仿宋_GB2312"/>
          <w:color w:val="auto"/>
          <w:kern w:val="0"/>
          <w:sz w:val="30"/>
          <w:szCs w:val="30"/>
          <w:lang w:val="zh-CN" w:eastAsia="zh-CN"/>
        </w:rPr>
        <w:t>粪便贮存池</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粪便贮存池主要用以贮存、自然发酵粪便。根据养殖规模，贮存池建设应能容纳不少于6个月粪便产量，单位容量为800千克/立方米。是具有防渗漏、防雨淋、防外溢的混凝土建筑，需设计两个以上贮存单元周转使用。将净预处理调整到适宜含水率和碳氮比的粪便在贮粪场内堆肥，定期搅拌发酵腐熟，杀灭病原菌、寄生虫卵、消除恶臭。在施肥季节通过运输设备将粪肥施用到周边可消纳土地，可实现畜禽粪便的综合利用。</w:t>
      </w:r>
    </w:p>
    <w:p>
      <w:pPr>
        <w:ind w:firstLine="600" w:firstLineChars="20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建设要求：</w:t>
      </w:r>
    </w:p>
    <w:p>
      <w:pPr>
        <w:numPr>
          <w:ilvl w:val="0"/>
          <w:numId w:val="7"/>
        </w:numPr>
        <w:ind w:left="420" w:leftChars="0" w:hanging="420" w:firstLineChars="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防火等级要达到《建筑设计防火规范》（GB 50016）中防火三级要求。</w:t>
      </w:r>
    </w:p>
    <w:p>
      <w:pPr>
        <w:numPr>
          <w:ilvl w:val="0"/>
          <w:numId w:val="7"/>
        </w:numPr>
        <w:ind w:left="420" w:leftChars="0" w:hanging="420" w:firstLineChars="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底面为钢筋混凝土结构，底面厚度不少于200毫米，并做防渗处理，防渗性能要达到GB50069中抗渗等级S6的要求。底面应满足粪便运输车荷载的需求，按《88J1-1工程做法》（2005）选择相应的做法。</w:t>
      </w:r>
    </w:p>
    <w:p>
      <w:pPr>
        <w:numPr>
          <w:ilvl w:val="0"/>
          <w:numId w:val="7"/>
        </w:numPr>
        <w:ind w:left="420" w:leftChars="0" w:hanging="420" w:firstLineChars="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墙体为钢筋混凝土结构，墙体厚度不少于240毫米，并做防渗处理，防渗性能要达到GB50069中抗渗等级S6的要求。</w:t>
      </w:r>
    </w:p>
    <w:p>
      <w:pPr>
        <w:numPr>
          <w:ilvl w:val="0"/>
          <w:numId w:val="7"/>
        </w:numPr>
        <w:ind w:left="420" w:leftChars="0" w:hanging="420" w:firstLineChars="0"/>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顶部设置防雨棚，防雨棚采用彩钢瓦等抗风防压材料，雨棚下玄与设施地面净高不应低于3.5米。</w:t>
      </w:r>
    </w:p>
    <w:p>
      <w:pPr>
        <w:ind w:firstLine="0" w:firstLineChars="0"/>
        <w:jc w:val="center"/>
        <w:rPr>
          <w:color w:val="auto"/>
        </w:rPr>
      </w:pPr>
      <w:r>
        <w:rPr>
          <w:color w:val="auto"/>
        </w:rPr>
        <w:drawing>
          <wp:inline distT="0" distB="0" distL="114300" distR="114300">
            <wp:extent cx="5353050" cy="22955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rcRect l="33527" t="34268" r="17401" b="20976"/>
                    <a:stretch>
                      <a:fillRect/>
                    </a:stretch>
                  </pic:blipFill>
                  <pic:spPr>
                    <a:xfrm>
                      <a:off x="0" y="0"/>
                      <a:ext cx="5353050" cy="2295525"/>
                    </a:xfrm>
                    <a:prstGeom prst="rect">
                      <a:avLst/>
                    </a:prstGeom>
                    <a:noFill/>
                    <a:ln>
                      <a:noFill/>
                    </a:ln>
                  </pic:spPr>
                </pic:pic>
              </a:graphicData>
            </a:graphic>
          </wp:inline>
        </w:drawing>
      </w:r>
    </w:p>
    <w:p>
      <w:pPr>
        <w:pageBreakBefore w:val="0"/>
        <w:kinsoku/>
        <w:wordWrap/>
        <w:overflowPunct/>
        <w:topLinePunct w:val="0"/>
        <w:autoSpaceDE/>
        <w:autoSpaceDN/>
        <w:bidi w:val="0"/>
        <w:spacing w:before="190"/>
        <w:jc w:val="center"/>
        <w:textAlignment w:val="auto"/>
        <w:outlineLvl w:val="9"/>
        <w:rPr>
          <w:b/>
          <w:bCs/>
          <w:color w:val="auto"/>
          <w:sz w:val="24"/>
          <w:szCs w:val="24"/>
        </w:rPr>
      </w:pPr>
      <w:r>
        <w:rPr>
          <w:rFonts w:hint="eastAsia" w:cs="仿宋"/>
          <w:b/>
          <w:bCs/>
          <w:color w:val="auto"/>
          <w:sz w:val="24"/>
          <w:szCs w:val="24"/>
        </w:rPr>
        <w:t>图</w:t>
      </w:r>
      <w:r>
        <w:rPr>
          <w:b/>
          <w:bCs/>
          <w:color w:val="auto"/>
          <w:sz w:val="24"/>
          <w:szCs w:val="24"/>
        </w:rPr>
        <w:t xml:space="preserve">1 </w:t>
      </w:r>
      <w:r>
        <w:rPr>
          <w:rFonts w:hint="eastAsia" w:cs="仿宋"/>
          <w:b/>
          <w:bCs/>
          <w:color w:val="auto"/>
          <w:sz w:val="24"/>
          <w:szCs w:val="24"/>
        </w:rPr>
        <w:t>地上式粪便贮存池示意图</w:t>
      </w:r>
    </w:p>
    <w:p>
      <w:pPr>
        <w:pStyle w:val="13"/>
        <w:jc w:val="center"/>
        <w:rPr>
          <w:rFonts w:hint="eastAsia" w:eastAsia="仿宋_GB2312" w:asciiTheme="minorHAnsi" w:hAnsiTheme="minorHAnsi" w:cstheme="minorBidi"/>
          <w:b/>
          <w:bCs/>
          <w:color w:val="auto"/>
          <w:kern w:val="0"/>
          <w:sz w:val="24"/>
          <w:szCs w:val="24"/>
          <w:lang w:val="zh-CN" w:eastAsia="zh-CN" w:bidi="ar-SA"/>
        </w:rPr>
      </w:pPr>
      <w:r>
        <w:rPr>
          <w:rFonts w:hint="eastAsia" w:eastAsia="仿宋_GB2312" w:asciiTheme="minorHAnsi" w:hAnsiTheme="minorHAnsi" w:cstheme="minorBidi"/>
          <w:b/>
          <w:bCs/>
          <w:color w:val="auto"/>
          <w:kern w:val="0"/>
          <w:sz w:val="24"/>
          <w:szCs w:val="24"/>
          <w:lang w:val="zh-CN" w:eastAsia="zh-CN" w:bidi="ar-SA"/>
        </w:rPr>
        <w:t>表1 不同养殖规模粪便贮存池尺寸与投资参考</w:t>
      </w:r>
    </w:p>
    <w:tbl>
      <w:tblPr>
        <w:tblStyle w:val="20"/>
        <w:tblW w:w="42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1985"/>
        <w:gridCol w:w="1735"/>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5"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b/>
                <w:bCs/>
                <w:color w:val="auto"/>
                <w:sz w:val="24"/>
                <w:szCs w:val="24"/>
              </w:rPr>
            </w:pPr>
            <w:r>
              <w:rPr>
                <w:rFonts w:hint="eastAsia" w:cs="仿宋"/>
                <w:b/>
                <w:bCs/>
                <w:color w:val="auto"/>
                <w:sz w:val="24"/>
                <w:szCs w:val="24"/>
              </w:rPr>
              <w:t>养殖规模（头）</w:t>
            </w:r>
          </w:p>
        </w:tc>
        <w:tc>
          <w:tcPr>
            <w:tcW w:w="1380"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b/>
                <w:bCs/>
                <w:color w:val="auto"/>
                <w:sz w:val="24"/>
                <w:szCs w:val="24"/>
              </w:rPr>
            </w:pPr>
            <w:r>
              <w:rPr>
                <w:rFonts w:hint="eastAsia" w:cs="仿宋"/>
                <w:b/>
                <w:bCs/>
                <w:color w:val="auto"/>
                <w:sz w:val="24"/>
                <w:szCs w:val="24"/>
              </w:rPr>
              <w:t>有效容积（</w:t>
            </w:r>
            <w:r>
              <w:rPr>
                <w:b/>
                <w:bCs/>
                <w:color w:val="auto"/>
                <w:sz w:val="24"/>
                <w:szCs w:val="24"/>
              </w:rPr>
              <w:t>m</w:t>
            </w:r>
            <w:r>
              <w:rPr>
                <w:b/>
                <w:bCs/>
                <w:color w:val="auto"/>
                <w:sz w:val="24"/>
                <w:szCs w:val="24"/>
                <w:vertAlign w:val="superscript"/>
              </w:rPr>
              <w:t>3</w:t>
            </w:r>
            <w:r>
              <w:rPr>
                <w:rFonts w:hint="eastAsia" w:cs="仿宋"/>
                <w:b/>
                <w:bCs/>
                <w:color w:val="auto"/>
                <w:sz w:val="24"/>
                <w:szCs w:val="24"/>
              </w:rPr>
              <w:t>）</w:t>
            </w:r>
          </w:p>
        </w:tc>
        <w:tc>
          <w:tcPr>
            <w:tcW w:w="1206"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b/>
                <w:bCs/>
                <w:color w:val="auto"/>
                <w:sz w:val="24"/>
                <w:szCs w:val="24"/>
              </w:rPr>
            </w:pPr>
            <w:r>
              <w:rPr>
                <w:rFonts w:hint="eastAsia" w:cs="仿宋"/>
                <w:b/>
                <w:bCs/>
                <w:color w:val="auto"/>
                <w:sz w:val="24"/>
                <w:szCs w:val="24"/>
              </w:rPr>
              <w:t>面积（</w:t>
            </w:r>
            <w:r>
              <w:rPr>
                <w:b/>
                <w:bCs/>
                <w:color w:val="auto"/>
                <w:sz w:val="24"/>
                <w:szCs w:val="24"/>
              </w:rPr>
              <w:t>m</w:t>
            </w:r>
            <w:r>
              <w:rPr>
                <w:b/>
                <w:bCs/>
                <w:color w:val="auto"/>
                <w:sz w:val="24"/>
                <w:szCs w:val="24"/>
                <w:vertAlign w:val="superscript"/>
              </w:rPr>
              <w:t>2</w:t>
            </w:r>
            <w:r>
              <w:rPr>
                <w:rFonts w:hint="eastAsia" w:cs="仿宋"/>
                <w:b/>
                <w:bCs/>
                <w:color w:val="auto"/>
                <w:sz w:val="24"/>
                <w:szCs w:val="24"/>
              </w:rPr>
              <w:t>）</w:t>
            </w:r>
          </w:p>
        </w:tc>
        <w:tc>
          <w:tcPr>
            <w:tcW w:w="1209"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b/>
                <w:bCs/>
                <w:color w:val="auto"/>
                <w:sz w:val="24"/>
                <w:szCs w:val="24"/>
              </w:rPr>
            </w:pPr>
            <w:r>
              <w:rPr>
                <w:rFonts w:hint="eastAsia" w:cs="仿宋"/>
                <w:b/>
                <w:bCs/>
                <w:color w:val="auto"/>
                <w:sz w:val="24"/>
                <w:szCs w:val="24"/>
              </w:rPr>
              <w:t>围墙高（</w:t>
            </w:r>
            <w:r>
              <w:rPr>
                <w:b/>
                <w:bCs/>
                <w:color w:val="auto"/>
                <w:sz w:val="24"/>
                <w:szCs w:val="24"/>
              </w:rPr>
              <w:t>m</w:t>
            </w:r>
            <w:r>
              <w:rPr>
                <w:rFonts w:hint="eastAsia" w:cs="仿宋"/>
                <w:b/>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5"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200</w:t>
            </w:r>
          </w:p>
        </w:tc>
        <w:tc>
          <w:tcPr>
            <w:tcW w:w="1380" w:type="pct"/>
            <w:vAlign w:val="center"/>
          </w:tcPr>
          <w:p>
            <w:pPr>
              <w:pStyle w:val="34"/>
              <w:pageBreakBefore w:val="0"/>
              <w:kinsoku/>
              <w:wordWrap/>
              <w:overflowPunct/>
              <w:topLinePunct w:val="0"/>
              <w:autoSpaceDE/>
              <w:autoSpaceDN/>
              <w:bidi w:val="0"/>
              <w:adjustRightInd w:val="0"/>
              <w:snapToGrid w:val="0"/>
              <w:ind w:firstLine="560"/>
              <w:jc w:val="center"/>
              <w:textAlignment w:val="auto"/>
              <w:outlineLvl w:val="9"/>
              <w:rPr>
                <w:rFonts w:ascii="Times New Roman" w:hAnsi="Times New Roman" w:eastAsia="仿宋" w:cs="Times New Roman"/>
                <w:color w:val="auto"/>
              </w:rPr>
            </w:pPr>
            <w:r>
              <w:rPr>
                <w:rFonts w:ascii="Times New Roman" w:hAnsi="Times New Roman" w:eastAsia="仿宋" w:cs="Times New Roman"/>
                <w:color w:val="auto"/>
              </w:rPr>
              <w:t>67.5</w:t>
            </w:r>
          </w:p>
        </w:tc>
        <w:tc>
          <w:tcPr>
            <w:tcW w:w="1206" w:type="pct"/>
            <w:vAlign w:val="center"/>
          </w:tcPr>
          <w:p>
            <w:pPr>
              <w:pStyle w:val="34"/>
              <w:pageBreakBefore w:val="0"/>
              <w:kinsoku/>
              <w:wordWrap/>
              <w:overflowPunct/>
              <w:topLinePunct w:val="0"/>
              <w:autoSpaceDE/>
              <w:autoSpaceDN/>
              <w:bidi w:val="0"/>
              <w:adjustRightInd w:val="0"/>
              <w:snapToGrid w:val="0"/>
              <w:ind w:firstLine="560"/>
              <w:jc w:val="center"/>
              <w:textAlignment w:val="auto"/>
              <w:outlineLvl w:val="9"/>
              <w:rPr>
                <w:rFonts w:ascii="Times New Roman" w:hAnsi="Times New Roman" w:eastAsia="仿宋" w:cs="Times New Roman"/>
                <w:color w:val="auto"/>
              </w:rPr>
            </w:pPr>
            <w:r>
              <w:rPr>
                <w:rFonts w:ascii="Times New Roman" w:hAnsi="Times New Roman" w:eastAsia="仿宋" w:cs="Times New Roman"/>
                <w:color w:val="auto"/>
              </w:rPr>
              <w:t>45</w:t>
            </w:r>
          </w:p>
        </w:tc>
        <w:tc>
          <w:tcPr>
            <w:tcW w:w="1209" w:type="pct"/>
            <w:vAlign w:val="center"/>
          </w:tcPr>
          <w:p>
            <w:pPr>
              <w:pStyle w:val="34"/>
              <w:pageBreakBefore w:val="0"/>
              <w:kinsoku/>
              <w:wordWrap/>
              <w:overflowPunct/>
              <w:topLinePunct w:val="0"/>
              <w:autoSpaceDE/>
              <w:autoSpaceDN/>
              <w:bidi w:val="0"/>
              <w:adjustRightInd w:val="0"/>
              <w:snapToGrid w:val="0"/>
              <w:ind w:firstLine="560"/>
              <w:jc w:val="center"/>
              <w:textAlignment w:val="auto"/>
              <w:outlineLvl w:val="9"/>
              <w:rPr>
                <w:rFonts w:ascii="Times New Roman" w:hAnsi="Times New Roman" w:eastAsia="仿宋" w:cs="Times New Roman"/>
                <w:color w:val="auto"/>
              </w:rPr>
            </w:pPr>
            <w:r>
              <w:rPr>
                <w:rFonts w:ascii="Times New Roman" w:hAnsi="Times New Roman" w:eastAsia="仿宋"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5"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500</w:t>
            </w:r>
          </w:p>
        </w:tc>
        <w:tc>
          <w:tcPr>
            <w:tcW w:w="1380" w:type="pct"/>
            <w:vAlign w:val="center"/>
          </w:tcPr>
          <w:p>
            <w:pPr>
              <w:pStyle w:val="34"/>
              <w:pageBreakBefore w:val="0"/>
              <w:kinsoku/>
              <w:wordWrap/>
              <w:overflowPunct/>
              <w:topLinePunct w:val="0"/>
              <w:autoSpaceDE/>
              <w:autoSpaceDN/>
              <w:bidi w:val="0"/>
              <w:adjustRightInd w:val="0"/>
              <w:snapToGrid w:val="0"/>
              <w:ind w:firstLine="560"/>
              <w:jc w:val="center"/>
              <w:textAlignment w:val="auto"/>
              <w:outlineLvl w:val="9"/>
              <w:rPr>
                <w:rFonts w:ascii="Times New Roman" w:hAnsi="Times New Roman" w:eastAsia="仿宋" w:cs="Times New Roman"/>
                <w:color w:val="auto"/>
              </w:rPr>
            </w:pPr>
            <w:r>
              <w:rPr>
                <w:rFonts w:ascii="Times New Roman" w:hAnsi="Times New Roman" w:eastAsia="仿宋" w:cs="Times New Roman"/>
                <w:color w:val="auto"/>
              </w:rPr>
              <w:t>169</w:t>
            </w:r>
          </w:p>
        </w:tc>
        <w:tc>
          <w:tcPr>
            <w:tcW w:w="1206" w:type="pct"/>
            <w:vAlign w:val="center"/>
          </w:tcPr>
          <w:p>
            <w:pPr>
              <w:pStyle w:val="34"/>
              <w:pageBreakBefore w:val="0"/>
              <w:kinsoku/>
              <w:wordWrap/>
              <w:overflowPunct/>
              <w:topLinePunct w:val="0"/>
              <w:autoSpaceDE/>
              <w:autoSpaceDN/>
              <w:bidi w:val="0"/>
              <w:adjustRightInd w:val="0"/>
              <w:snapToGrid w:val="0"/>
              <w:ind w:firstLine="560"/>
              <w:jc w:val="center"/>
              <w:textAlignment w:val="auto"/>
              <w:outlineLvl w:val="9"/>
              <w:rPr>
                <w:rFonts w:ascii="Times New Roman" w:hAnsi="Times New Roman" w:eastAsia="仿宋" w:cs="Times New Roman"/>
                <w:color w:val="auto"/>
              </w:rPr>
            </w:pPr>
            <w:r>
              <w:rPr>
                <w:rFonts w:ascii="Times New Roman" w:hAnsi="Times New Roman" w:eastAsia="仿宋" w:cs="Times New Roman"/>
                <w:color w:val="auto"/>
              </w:rPr>
              <w:t>113</w:t>
            </w:r>
          </w:p>
        </w:tc>
        <w:tc>
          <w:tcPr>
            <w:tcW w:w="1209" w:type="pct"/>
            <w:vAlign w:val="center"/>
          </w:tcPr>
          <w:p>
            <w:pPr>
              <w:pStyle w:val="34"/>
              <w:pageBreakBefore w:val="0"/>
              <w:kinsoku/>
              <w:wordWrap/>
              <w:overflowPunct/>
              <w:topLinePunct w:val="0"/>
              <w:autoSpaceDE/>
              <w:autoSpaceDN/>
              <w:bidi w:val="0"/>
              <w:adjustRightInd w:val="0"/>
              <w:snapToGrid w:val="0"/>
              <w:ind w:firstLine="560"/>
              <w:jc w:val="center"/>
              <w:textAlignment w:val="auto"/>
              <w:outlineLvl w:val="9"/>
              <w:rPr>
                <w:rFonts w:ascii="Times New Roman" w:hAnsi="Times New Roman" w:eastAsia="仿宋" w:cs="Times New Roman"/>
                <w:color w:val="auto"/>
              </w:rPr>
            </w:pPr>
            <w:r>
              <w:rPr>
                <w:rFonts w:ascii="Times New Roman" w:hAnsi="Times New Roman" w:eastAsia="仿宋"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5"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1000</w:t>
            </w:r>
          </w:p>
        </w:tc>
        <w:tc>
          <w:tcPr>
            <w:tcW w:w="1380" w:type="pct"/>
            <w:vAlign w:val="center"/>
          </w:tcPr>
          <w:p>
            <w:pPr>
              <w:pStyle w:val="34"/>
              <w:pageBreakBefore w:val="0"/>
              <w:kinsoku/>
              <w:wordWrap/>
              <w:overflowPunct/>
              <w:topLinePunct w:val="0"/>
              <w:autoSpaceDE/>
              <w:autoSpaceDN/>
              <w:bidi w:val="0"/>
              <w:adjustRightInd w:val="0"/>
              <w:snapToGrid w:val="0"/>
              <w:ind w:firstLine="560"/>
              <w:jc w:val="center"/>
              <w:textAlignment w:val="auto"/>
              <w:outlineLvl w:val="9"/>
              <w:rPr>
                <w:rFonts w:ascii="Times New Roman" w:hAnsi="Times New Roman" w:eastAsia="仿宋" w:cs="Times New Roman"/>
                <w:color w:val="auto"/>
              </w:rPr>
            </w:pPr>
            <w:r>
              <w:rPr>
                <w:rFonts w:ascii="Times New Roman" w:hAnsi="Times New Roman" w:eastAsia="仿宋" w:cs="Times New Roman"/>
                <w:color w:val="auto"/>
              </w:rPr>
              <w:t>338</w:t>
            </w:r>
          </w:p>
        </w:tc>
        <w:tc>
          <w:tcPr>
            <w:tcW w:w="1206" w:type="pct"/>
            <w:vAlign w:val="center"/>
          </w:tcPr>
          <w:p>
            <w:pPr>
              <w:pStyle w:val="34"/>
              <w:pageBreakBefore w:val="0"/>
              <w:kinsoku/>
              <w:wordWrap/>
              <w:overflowPunct/>
              <w:topLinePunct w:val="0"/>
              <w:autoSpaceDE/>
              <w:autoSpaceDN/>
              <w:bidi w:val="0"/>
              <w:adjustRightInd w:val="0"/>
              <w:snapToGrid w:val="0"/>
              <w:ind w:firstLine="560"/>
              <w:jc w:val="center"/>
              <w:textAlignment w:val="auto"/>
              <w:outlineLvl w:val="9"/>
              <w:rPr>
                <w:rFonts w:ascii="Times New Roman" w:hAnsi="Times New Roman" w:eastAsia="仿宋" w:cs="Times New Roman"/>
                <w:color w:val="auto"/>
              </w:rPr>
            </w:pPr>
            <w:r>
              <w:rPr>
                <w:rFonts w:ascii="Times New Roman" w:hAnsi="Times New Roman" w:eastAsia="仿宋" w:cs="Times New Roman"/>
                <w:color w:val="auto"/>
              </w:rPr>
              <w:t>225</w:t>
            </w:r>
          </w:p>
        </w:tc>
        <w:tc>
          <w:tcPr>
            <w:tcW w:w="1209" w:type="pct"/>
            <w:vAlign w:val="center"/>
          </w:tcPr>
          <w:p>
            <w:pPr>
              <w:pStyle w:val="34"/>
              <w:pageBreakBefore w:val="0"/>
              <w:kinsoku/>
              <w:wordWrap/>
              <w:overflowPunct/>
              <w:topLinePunct w:val="0"/>
              <w:autoSpaceDE/>
              <w:autoSpaceDN/>
              <w:bidi w:val="0"/>
              <w:adjustRightInd w:val="0"/>
              <w:snapToGrid w:val="0"/>
              <w:ind w:firstLine="560"/>
              <w:jc w:val="center"/>
              <w:textAlignment w:val="auto"/>
              <w:outlineLvl w:val="9"/>
              <w:rPr>
                <w:rFonts w:ascii="Times New Roman" w:hAnsi="Times New Roman" w:eastAsia="仿宋" w:cs="Times New Roman"/>
                <w:color w:val="auto"/>
              </w:rPr>
            </w:pPr>
            <w:r>
              <w:rPr>
                <w:rFonts w:ascii="Times New Roman" w:hAnsi="Times New Roman" w:eastAsia="仿宋"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5"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2000</w:t>
            </w:r>
          </w:p>
        </w:tc>
        <w:tc>
          <w:tcPr>
            <w:tcW w:w="1380" w:type="pct"/>
            <w:vAlign w:val="center"/>
          </w:tcPr>
          <w:p>
            <w:pPr>
              <w:pStyle w:val="34"/>
              <w:pageBreakBefore w:val="0"/>
              <w:kinsoku/>
              <w:wordWrap/>
              <w:overflowPunct/>
              <w:topLinePunct w:val="0"/>
              <w:autoSpaceDE/>
              <w:autoSpaceDN/>
              <w:bidi w:val="0"/>
              <w:adjustRightInd w:val="0"/>
              <w:snapToGrid w:val="0"/>
              <w:ind w:firstLine="560"/>
              <w:jc w:val="center"/>
              <w:textAlignment w:val="auto"/>
              <w:outlineLvl w:val="9"/>
              <w:rPr>
                <w:rFonts w:ascii="Times New Roman" w:hAnsi="Times New Roman" w:eastAsia="仿宋" w:cs="Times New Roman"/>
                <w:color w:val="auto"/>
              </w:rPr>
            </w:pPr>
            <w:r>
              <w:rPr>
                <w:rFonts w:ascii="Times New Roman" w:hAnsi="Times New Roman" w:eastAsia="仿宋" w:cs="Times New Roman"/>
                <w:color w:val="auto"/>
              </w:rPr>
              <w:t>675</w:t>
            </w:r>
          </w:p>
        </w:tc>
        <w:tc>
          <w:tcPr>
            <w:tcW w:w="1206" w:type="pct"/>
            <w:vAlign w:val="center"/>
          </w:tcPr>
          <w:p>
            <w:pPr>
              <w:pStyle w:val="34"/>
              <w:pageBreakBefore w:val="0"/>
              <w:kinsoku/>
              <w:wordWrap/>
              <w:overflowPunct/>
              <w:topLinePunct w:val="0"/>
              <w:autoSpaceDE/>
              <w:autoSpaceDN/>
              <w:bidi w:val="0"/>
              <w:adjustRightInd w:val="0"/>
              <w:snapToGrid w:val="0"/>
              <w:ind w:firstLine="560"/>
              <w:jc w:val="center"/>
              <w:textAlignment w:val="auto"/>
              <w:outlineLvl w:val="9"/>
              <w:rPr>
                <w:rFonts w:ascii="Times New Roman" w:hAnsi="Times New Roman" w:eastAsia="仿宋" w:cs="Times New Roman"/>
                <w:color w:val="auto"/>
              </w:rPr>
            </w:pPr>
            <w:r>
              <w:rPr>
                <w:rFonts w:ascii="Times New Roman" w:hAnsi="Times New Roman" w:eastAsia="仿宋" w:cs="Times New Roman"/>
                <w:color w:val="auto"/>
              </w:rPr>
              <w:t>450</w:t>
            </w:r>
          </w:p>
        </w:tc>
        <w:tc>
          <w:tcPr>
            <w:tcW w:w="1209" w:type="pct"/>
            <w:vAlign w:val="center"/>
          </w:tcPr>
          <w:p>
            <w:pPr>
              <w:pStyle w:val="34"/>
              <w:pageBreakBefore w:val="0"/>
              <w:kinsoku/>
              <w:wordWrap/>
              <w:overflowPunct/>
              <w:topLinePunct w:val="0"/>
              <w:autoSpaceDE/>
              <w:autoSpaceDN/>
              <w:bidi w:val="0"/>
              <w:adjustRightInd w:val="0"/>
              <w:snapToGrid w:val="0"/>
              <w:ind w:firstLine="560"/>
              <w:jc w:val="center"/>
              <w:textAlignment w:val="auto"/>
              <w:outlineLvl w:val="9"/>
              <w:rPr>
                <w:rFonts w:ascii="Times New Roman" w:hAnsi="Times New Roman" w:eastAsia="仿宋" w:cs="Times New Roman"/>
                <w:color w:val="auto"/>
              </w:rPr>
            </w:pPr>
            <w:r>
              <w:rPr>
                <w:rFonts w:ascii="Times New Roman" w:hAnsi="Times New Roman" w:eastAsia="仿宋" w:cs="Times New Roman"/>
                <w:color w:val="auto"/>
              </w:rPr>
              <w:t>1.5</w:t>
            </w:r>
          </w:p>
        </w:tc>
      </w:tr>
    </w:tbl>
    <w:p>
      <w:pPr>
        <w:pageBreakBefore w:val="0"/>
        <w:kinsoku/>
        <w:wordWrap/>
        <w:overflowPunct/>
        <w:topLinePunct w:val="0"/>
        <w:autoSpaceDE/>
        <w:autoSpaceDN/>
        <w:bidi w:val="0"/>
        <w:ind w:firstLine="600" w:firstLineChars="20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注：粪便贮存池体积（立方米）=设计最大存栏量（头、只）×每头每天产粪便量（千克/头•天）×180（天）÷单位容量800（千克/立方米）</w:t>
      </w:r>
    </w:p>
    <w:p>
      <w:pPr>
        <w:pageBreakBefore w:val="0"/>
        <w:kinsoku/>
        <w:wordWrap/>
        <w:overflowPunct/>
        <w:topLinePunct w:val="0"/>
        <w:autoSpaceDE/>
        <w:autoSpaceDN/>
        <w:bidi w:val="0"/>
        <w:ind w:firstLine="422" w:firstLineChars="200"/>
        <w:textAlignment w:val="auto"/>
        <w:outlineLvl w:val="9"/>
        <w:rPr>
          <w:rFonts w:hint="eastAsia" w:eastAsia="仿宋_GB2312"/>
          <w:color w:val="auto"/>
          <w:kern w:val="0"/>
          <w:sz w:val="30"/>
          <w:szCs w:val="30"/>
          <w:lang w:val="zh-CN" w:eastAsia="zh-CN"/>
        </w:rPr>
      </w:pPr>
      <w:r>
        <w:rPr>
          <w:rFonts w:hint="eastAsia" w:cs="仿宋"/>
          <w:b/>
          <w:bCs/>
          <w:color w:val="auto"/>
        </w:rPr>
        <w:t>（</w:t>
      </w:r>
      <w:r>
        <w:rPr>
          <w:b/>
          <w:bCs/>
          <w:color w:val="auto"/>
        </w:rPr>
        <w:t>2</w:t>
      </w:r>
      <w:r>
        <w:rPr>
          <w:rFonts w:hint="eastAsia" w:cs="仿宋"/>
          <w:b/>
          <w:bCs/>
          <w:color w:val="auto"/>
        </w:rPr>
        <w:t>）</w:t>
      </w:r>
      <w:r>
        <w:rPr>
          <w:rFonts w:hint="eastAsia" w:eastAsia="仿宋_GB2312"/>
          <w:color w:val="auto"/>
          <w:kern w:val="0"/>
          <w:sz w:val="30"/>
          <w:szCs w:val="30"/>
          <w:lang w:val="zh-CN" w:eastAsia="zh-CN"/>
        </w:rPr>
        <w:t>污水贮存池</w:t>
      </w:r>
    </w:p>
    <w:p>
      <w:pPr>
        <w:pageBreakBefore w:val="0"/>
        <w:kinsoku/>
        <w:wordWrap/>
        <w:overflowPunct/>
        <w:topLinePunct w:val="0"/>
        <w:autoSpaceDE/>
        <w:autoSpaceDN/>
        <w:bidi w:val="0"/>
        <w:ind w:firstLine="600" w:firstLineChars="20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污水贮存池设可建为地下式，根据场地的大小、位置和土质条件确定。污水贮存池的有效容积设计应大于养殖场最大存栏量时、贮存时间不低于6个月的污水产生总量，单位容量为1000千克/立方米。</w:t>
      </w:r>
    </w:p>
    <w:p>
      <w:pPr>
        <w:pageBreakBefore w:val="0"/>
        <w:kinsoku/>
        <w:wordWrap/>
        <w:overflowPunct/>
        <w:topLinePunct w:val="0"/>
        <w:autoSpaceDE/>
        <w:autoSpaceDN/>
        <w:bidi w:val="0"/>
        <w:ind w:firstLine="600" w:firstLineChars="20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建设要求：</w:t>
      </w:r>
    </w:p>
    <w:p>
      <w:pPr>
        <w:pageBreakBefore w:val="0"/>
        <w:numPr>
          <w:ilvl w:val="0"/>
          <w:numId w:val="7"/>
        </w:numPr>
        <w:kinsoku/>
        <w:wordWrap/>
        <w:overflowPunct/>
        <w:topLinePunct w:val="0"/>
        <w:autoSpaceDE/>
        <w:autoSpaceDN/>
        <w:bidi w:val="0"/>
        <w:ind w:left="420" w:leftChars="0" w:hanging="420" w:firstLineChars="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底面为钢筋混凝土结构，底面高于地下水位0.6米以上。底面厚度不少于200毫米，并做防渗处理，防渗性能要达到GB 50069中抗渗等级S6的要求。</w:t>
      </w:r>
    </w:p>
    <w:p>
      <w:pPr>
        <w:pageBreakBefore w:val="0"/>
        <w:numPr>
          <w:ilvl w:val="0"/>
          <w:numId w:val="7"/>
        </w:numPr>
        <w:kinsoku/>
        <w:wordWrap/>
        <w:overflowPunct/>
        <w:topLinePunct w:val="0"/>
        <w:autoSpaceDE/>
        <w:autoSpaceDN/>
        <w:bidi w:val="0"/>
        <w:ind w:left="420" w:leftChars="0" w:hanging="420" w:firstLineChars="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墙体为钢筋混凝土结构，墙体厚度不少于360毫米，高度不超过6米。</w:t>
      </w:r>
    </w:p>
    <w:p>
      <w:pPr>
        <w:pageBreakBefore w:val="0"/>
        <w:numPr>
          <w:ilvl w:val="0"/>
          <w:numId w:val="7"/>
        </w:numPr>
        <w:kinsoku/>
        <w:wordWrap/>
        <w:overflowPunct/>
        <w:topLinePunct w:val="0"/>
        <w:autoSpaceDE/>
        <w:autoSpaceDN/>
        <w:bidi w:val="0"/>
        <w:ind w:left="420" w:leftChars="0" w:hanging="420" w:firstLineChars="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顶部钢筋混凝土结构盖板或防雨棚，防雨棚采用彩钢瓦等抗风防压材料。设施周围应设置排水沟，防止径流、雨水进入贮存设施内，排水沟不得与排污沟并流。</w:t>
      </w:r>
    </w:p>
    <w:p>
      <w:pPr>
        <w:pageBreakBefore w:val="0"/>
        <w:numPr>
          <w:ilvl w:val="0"/>
          <w:numId w:val="7"/>
        </w:numPr>
        <w:kinsoku/>
        <w:wordWrap/>
        <w:overflowPunct/>
        <w:topLinePunct w:val="0"/>
        <w:autoSpaceDE/>
        <w:autoSpaceDN/>
        <w:bidi w:val="0"/>
        <w:ind w:left="420" w:leftChars="0" w:hanging="420" w:firstLineChars="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进水管道直径最小为300毫米。防火等级要达到GB 50016中防火三级要求。</w:t>
      </w:r>
    </w:p>
    <w:p>
      <w:pPr>
        <w:pStyle w:val="34"/>
        <w:pageBreakBefore w:val="0"/>
        <w:kinsoku/>
        <w:wordWrap/>
        <w:overflowPunct/>
        <w:topLinePunct w:val="0"/>
        <w:autoSpaceDE/>
        <w:autoSpaceDN/>
        <w:bidi w:val="0"/>
        <w:spacing w:line="360" w:lineRule="auto"/>
        <w:ind w:firstLine="560"/>
        <w:jc w:val="center"/>
        <w:textAlignment w:val="auto"/>
        <w:outlineLvl w:val="9"/>
        <w:rPr>
          <w:rFonts w:ascii="Times New Roman" w:hAnsi="Times New Roman" w:eastAsia="仿宋" w:cs="Times New Roman"/>
          <w:color w:val="auto"/>
          <w:sz w:val="28"/>
          <w:szCs w:val="28"/>
        </w:rPr>
      </w:pPr>
      <w:r>
        <w:rPr>
          <w:rFonts w:ascii="Times New Roman" w:hAnsi="Times New Roman" w:cs="Times New Roman"/>
          <w:color w:val="auto"/>
          <w:sz w:val="28"/>
          <w:szCs w:val="28"/>
        </w:rPr>
        <w:drawing>
          <wp:inline distT="0" distB="0" distL="114300" distR="114300">
            <wp:extent cx="4495800" cy="205740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2"/>
                    <a:srcRect l="17625" t="25427" r="43773" b="39832"/>
                    <a:stretch>
                      <a:fillRect/>
                    </a:stretch>
                  </pic:blipFill>
                  <pic:spPr>
                    <a:xfrm>
                      <a:off x="0" y="0"/>
                      <a:ext cx="4495800" cy="2057400"/>
                    </a:xfrm>
                    <a:prstGeom prst="rect">
                      <a:avLst/>
                    </a:prstGeom>
                    <a:noFill/>
                    <a:ln>
                      <a:noFill/>
                    </a:ln>
                  </pic:spPr>
                </pic:pic>
              </a:graphicData>
            </a:graphic>
          </wp:inline>
        </w:drawing>
      </w:r>
    </w:p>
    <w:p>
      <w:pPr>
        <w:pageBreakBefore w:val="0"/>
        <w:kinsoku/>
        <w:wordWrap/>
        <w:overflowPunct/>
        <w:topLinePunct w:val="0"/>
        <w:autoSpaceDE/>
        <w:autoSpaceDN/>
        <w:bidi w:val="0"/>
        <w:spacing w:before="190"/>
        <w:jc w:val="center"/>
        <w:textAlignment w:val="auto"/>
        <w:outlineLvl w:val="9"/>
        <w:rPr>
          <w:b/>
          <w:bCs/>
          <w:color w:val="auto"/>
          <w:sz w:val="24"/>
          <w:szCs w:val="24"/>
        </w:rPr>
      </w:pPr>
      <w:r>
        <w:rPr>
          <w:rFonts w:hint="eastAsia" w:cs="仿宋"/>
          <w:b/>
          <w:bCs/>
          <w:color w:val="auto"/>
          <w:sz w:val="24"/>
          <w:szCs w:val="24"/>
        </w:rPr>
        <w:t>图</w:t>
      </w:r>
      <w:r>
        <w:rPr>
          <w:b/>
          <w:bCs/>
          <w:color w:val="auto"/>
          <w:sz w:val="24"/>
          <w:szCs w:val="24"/>
        </w:rPr>
        <w:t xml:space="preserve">2 </w:t>
      </w:r>
      <w:r>
        <w:rPr>
          <w:rFonts w:hint="eastAsia" w:cs="仿宋"/>
          <w:b/>
          <w:bCs/>
          <w:color w:val="auto"/>
          <w:sz w:val="24"/>
          <w:szCs w:val="24"/>
        </w:rPr>
        <w:t>多级污水贮存池剖面图</w:t>
      </w:r>
    </w:p>
    <w:p>
      <w:pPr>
        <w:pStyle w:val="13"/>
        <w:jc w:val="center"/>
        <w:rPr>
          <w:rFonts w:hint="eastAsia" w:eastAsia="仿宋_GB2312" w:asciiTheme="minorHAnsi" w:hAnsiTheme="minorHAnsi" w:cstheme="minorBidi"/>
          <w:b/>
          <w:bCs/>
          <w:color w:val="auto"/>
          <w:kern w:val="0"/>
          <w:sz w:val="24"/>
          <w:szCs w:val="24"/>
          <w:lang w:val="zh-CN" w:eastAsia="zh-CN" w:bidi="ar-SA"/>
        </w:rPr>
      </w:pPr>
      <w:r>
        <w:rPr>
          <w:rFonts w:hint="eastAsia" w:eastAsia="仿宋_GB2312" w:asciiTheme="minorHAnsi" w:hAnsiTheme="minorHAnsi" w:cstheme="minorBidi"/>
          <w:b/>
          <w:bCs/>
          <w:color w:val="auto"/>
          <w:kern w:val="0"/>
          <w:sz w:val="24"/>
          <w:szCs w:val="24"/>
          <w:lang w:val="zh-CN" w:eastAsia="zh-CN" w:bidi="ar-SA"/>
        </w:rPr>
        <mc:AlternateContent>
          <mc:Choice Requires="wps">
            <w:drawing>
              <wp:anchor distT="0" distB="0" distL="114300" distR="114300" simplePos="0" relativeHeight="251661312" behindDoc="1" locked="0" layoutInCell="1" allowOverlap="1">
                <wp:simplePos x="0" y="0"/>
                <wp:positionH relativeFrom="column">
                  <wp:posOffset>2084705</wp:posOffset>
                </wp:positionH>
                <wp:positionV relativeFrom="paragraph">
                  <wp:posOffset>52705</wp:posOffset>
                </wp:positionV>
                <wp:extent cx="3707130" cy="9433560"/>
                <wp:effectExtent l="0" t="0" r="7620" b="15240"/>
                <wp:wrapNone/>
                <wp:docPr id="12" name="文本框 12"/>
                <wp:cNvGraphicFramePr/>
                <a:graphic xmlns:a="http://schemas.openxmlformats.org/drawingml/2006/main">
                  <a:graphicData uri="http://schemas.microsoft.com/office/word/2010/wordprocessingShape">
                    <wps:wsp>
                      <wps:cNvSpPr txBox="1"/>
                      <wps:spPr>
                        <a:xfrm>
                          <a:off x="0" y="0"/>
                          <a:ext cx="3707130" cy="9433560"/>
                        </a:xfrm>
                        <a:prstGeom prst="rect">
                          <a:avLst/>
                        </a:prstGeom>
                        <a:solidFill>
                          <a:srgbClr val="FFFFFF"/>
                        </a:solidFill>
                        <a:ln>
                          <a:noFill/>
                        </a:ln>
                      </wps:spPr>
                      <wps:txbx>
                        <w:txbxContent>
                          <w:p>
                            <w:pPr>
                              <w:ind w:firstLine="420" w:firstLineChars="200"/>
                              <w:rPr>
                                <w:rFonts w:cs="Times New Roman"/>
                              </w:rPr>
                            </w:pPr>
                          </w:p>
                        </w:txbxContent>
                      </wps:txbx>
                      <wps:bodyPr upright="1"/>
                    </wps:wsp>
                  </a:graphicData>
                </a:graphic>
              </wp:anchor>
            </w:drawing>
          </mc:Choice>
          <mc:Fallback>
            <w:pict>
              <v:shape id="_x0000_s1026" o:spid="_x0000_s1026" o:spt="202" type="#_x0000_t202" style="position:absolute;left:0pt;margin-left:164.15pt;margin-top:4.15pt;height:742.8pt;width:291.9pt;z-index:-251655168;mso-width-relative:page;mso-height-relative:page;" fillcolor="#FFFFFF" filled="t" stroked="f" coordsize="21600,21600" o:gfxdata="UEsDBAoAAAAAAIdO4kAAAAAAAAAAAAAAAAAEAAAAZHJzL1BLAwQUAAAACACHTuJAeHxlKNgAAAAK&#10;AQAADwAAAGRycy9kb3ducmV2LnhtbE2Py07DQAxF90j8w8hIbBCdPErbhEwqgQRi29IPcBI3ich4&#10;osy0af8edwUry7pH18fF9mIHdabJ944NxIsIFHHtmp5bA4fvj+cNKB+QGxwck4ErediW93cF5o2b&#10;eUfnfWiVlLDP0UAXwphr7euOLPqFG4klO7rJYpB1anUz4SzldtBJFK20xZ7lQocjvXdU/+xP1sDx&#10;a356yebqMxzWu+XqDft15a7GPD7E0SuoQJfwB8NNX9ShFKfKnbjxajCQJptUUAO3IXkWJzGoSsBl&#10;lmagy0L/f6H8BVBLAwQUAAAACACHTuJAzD0bcMQBAAB6AwAADgAAAGRycy9lMm9Eb2MueG1srVPB&#10;jtMwEL0j8Q+W7zRpC7sQNV0JqnJBgLTwAa7jJJZsj+Vxm/QH4A84ceHOd/U7dux0u7Bc9kAOjj3z&#10;/Dzvjb26Ga1hBxVQg6v5fFZyppyERruu5l+/bF+85gyjcI0w4FTNjwr5zfr5s9XgK7WAHkyjAiMS&#10;h9Xga97H6KuiQNkrK3AGXjlKthCsiLQMXdEEMRC7NcWiLK+KAULjA0iFSNHNlORnxvAUQmhbLdUG&#10;5N4qFyfWoIyIJAl77ZGvc7Vtq2T81LaoIjM1J6Uxj3QIzXdpLNYrUXVB+F7LcwniKSU80mSFdnTo&#10;hWojomD7oP+hsloGQGjjTIItJiHZEVIxLx95c9sLr7IWshr9xXT8f7Ty4+FzYLqhm7DgzAlLHT/9&#10;+H76+fv06xujGBk0eKwId+sJGce3MBL4Po4UTLrHNtj0J0WM8mTv8WKvGiOTFFxel9fzJaUk5d68&#10;XC5fXeUGFA/bfcD4XoFlaVLzQP3LtorDB4xUCkHvIek0BKObrTYmL0K3e2cCOwjq9TZ/qUra8hfM&#10;uAR2kLZN6RQpkshJTJrFcTeele+gOZLwvQ+666mmLD3DqSWZ/nx9Us//XGfShyez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4fGUo2AAAAAoBAAAPAAAAAAAAAAEAIAAAACIAAABkcnMvZG93bnJl&#10;di54bWxQSwECFAAUAAAACACHTuJAzD0bcMQBAAB6AwAADgAAAAAAAAABACAAAAAnAQAAZHJzL2Uy&#10;b0RvYy54bWxQSwUGAAAAAAYABgBZAQAAXQUAAAAA&#10;">
                <v:fill on="t" focussize="0,0"/>
                <v:stroke on="f"/>
                <v:imagedata o:title=""/>
                <o:lock v:ext="edit" aspectratio="f"/>
                <v:textbox>
                  <w:txbxContent>
                    <w:p>
                      <w:pPr>
                        <w:ind w:firstLine="420" w:firstLineChars="200"/>
                        <w:rPr>
                          <w:rFonts w:cs="Times New Roman"/>
                        </w:rPr>
                      </w:pPr>
                    </w:p>
                  </w:txbxContent>
                </v:textbox>
              </v:shape>
            </w:pict>
          </mc:Fallback>
        </mc:AlternateContent>
      </w:r>
      <w:r>
        <w:rPr>
          <w:rFonts w:hint="eastAsia" w:eastAsia="仿宋_GB2312" w:asciiTheme="minorHAnsi" w:hAnsiTheme="minorHAnsi" w:cstheme="minorBidi"/>
          <w:b/>
          <w:bCs/>
          <w:color w:val="auto"/>
          <w:kern w:val="0"/>
          <w:sz w:val="24"/>
          <w:szCs w:val="24"/>
          <w:lang w:val="zh-CN" w:eastAsia="zh-CN" w:bidi="ar-SA"/>
        </w:rPr>
        <w:t>表2 不同规模污水贮存池（以猪计）</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0"/>
        <w:gridCol w:w="2340"/>
        <w:gridCol w:w="2197"/>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b/>
                <w:bCs/>
                <w:color w:val="auto"/>
                <w:sz w:val="24"/>
                <w:szCs w:val="24"/>
              </w:rPr>
            </w:pPr>
            <w:r>
              <w:rPr>
                <w:rFonts w:hint="eastAsia" w:cs="仿宋"/>
                <w:b/>
                <w:bCs/>
                <w:color w:val="auto"/>
                <w:sz w:val="24"/>
                <w:szCs w:val="24"/>
              </w:rPr>
              <w:t>养殖规模</w:t>
            </w:r>
            <w:r>
              <w:rPr>
                <w:b/>
                <w:bCs/>
                <w:color w:val="auto"/>
                <w:sz w:val="24"/>
                <w:szCs w:val="24"/>
              </w:rPr>
              <w:t>(</w:t>
            </w:r>
            <w:r>
              <w:rPr>
                <w:rFonts w:hint="eastAsia" w:cs="仿宋"/>
                <w:b/>
                <w:bCs/>
                <w:color w:val="auto"/>
                <w:sz w:val="24"/>
                <w:szCs w:val="24"/>
              </w:rPr>
              <w:t>头</w:t>
            </w:r>
            <w:r>
              <w:rPr>
                <w:b/>
                <w:bCs/>
                <w:color w:val="auto"/>
                <w:sz w:val="24"/>
                <w:szCs w:val="24"/>
              </w:rPr>
              <w:t>)</w:t>
            </w:r>
          </w:p>
        </w:tc>
        <w:tc>
          <w:tcPr>
            <w:tcW w:w="1373"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b/>
                <w:bCs/>
                <w:color w:val="auto"/>
                <w:sz w:val="24"/>
                <w:szCs w:val="24"/>
              </w:rPr>
            </w:pPr>
            <w:r>
              <w:rPr>
                <w:rFonts w:hint="eastAsia" w:cs="仿宋"/>
                <w:b/>
                <w:bCs/>
                <w:color w:val="auto"/>
                <w:sz w:val="24"/>
                <w:szCs w:val="24"/>
              </w:rPr>
              <w:t>有效容积（</w:t>
            </w:r>
            <w:r>
              <w:rPr>
                <w:b/>
                <w:bCs/>
                <w:color w:val="auto"/>
                <w:sz w:val="24"/>
                <w:szCs w:val="24"/>
              </w:rPr>
              <w:t>m</w:t>
            </w:r>
            <w:r>
              <w:rPr>
                <w:b/>
                <w:bCs/>
                <w:color w:val="auto"/>
                <w:sz w:val="24"/>
                <w:szCs w:val="24"/>
                <w:vertAlign w:val="superscript"/>
              </w:rPr>
              <w:t>3</w:t>
            </w:r>
            <w:r>
              <w:rPr>
                <w:rFonts w:hint="eastAsia" w:cs="仿宋"/>
                <w:b/>
                <w:bCs/>
                <w:color w:val="auto"/>
                <w:sz w:val="24"/>
                <w:szCs w:val="24"/>
              </w:rPr>
              <w:t>）</w:t>
            </w:r>
          </w:p>
        </w:tc>
        <w:tc>
          <w:tcPr>
            <w:tcW w:w="1289"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b/>
                <w:bCs/>
                <w:color w:val="auto"/>
                <w:sz w:val="24"/>
                <w:szCs w:val="24"/>
              </w:rPr>
            </w:pPr>
            <w:r>
              <w:rPr>
                <w:rFonts w:hint="eastAsia" w:cs="仿宋"/>
                <w:b/>
                <w:bCs/>
                <w:color w:val="auto"/>
                <w:sz w:val="24"/>
                <w:szCs w:val="24"/>
              </w:rPr>
              <w:t>面积（</w:t>
            </w:r>
            <w:r>
              <w:rPr>
                <w:b/>
                <w:bCs/>
                <w:color w:val="auto"/>
                <w:sz w:val="24"/>
                <w:szCs w:val="24"/>
              </w:rPr>
              <w:t>m</w:t>
            </w:r>
            <w:r>
              <w:rPr>
                <w:b/>
                <w:bCs/>
                <w:color w:val="auto"/>
                <w:sz w:val="24"/>
                <w:szCs w:val="24"/>
                <w:vertAlign w:val="superscript"/>
              </w:rPr>
              <w:t>2</w:t>
            </w:r>
            <w:r>
              <w:rPr>
                <w:rFonts w:hint="eastAsia" w:cs="仿宋"/>
                <w:b/>
                <w:bCs/>
                <w:color w:val="auto"/>
                <w:sz w:val="24"/>
                <w:szCs w:val="24"/>
              </w:rPr>
              <w:t>）</w:t>
            </w:r>
          </w:p>
        </w:tc>
        <w:tc>
          <w:tcPr>
            <w:tcW w:w="959"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b/>
                <w:bCs/>
                <w:color w:val="auto"/>
                <w:sz w:val="24"/>
                <w:szCs w:val="24"/>
              </w:rPr>
            </w:pPr>
            <w:r>
              <w:rPr>
                <w:rFonts w:hint="eastAsia" w:cs="仿宋"/>
                <w:b/>
                <w:bCs/>
                <w:color w:val="auto"/>
                <w:sz w:val="24"/>
                <w:szCs w:val="24"/>
              </w:rPr>
              <w:t>深度（</w:t>
            </w:r>
            <w:r>
              <w:rPr>
                <w:b/>
                <w:bCs/>
                <w:color w:val="auto"/>
                <w:sz w:val="24"/>
                <w:szCs w:val="24"/>
              </w:rPr>
              <w:t>m</w:t>
            </w:r>
            <w:r>
              <w:rPr>
                <w:rFonts w:hint="eastAsia" w:cs="仿宋"/>
                <w:b/>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200</w:t>
            </w:r>
          </w:p>
        </w:tc>
        <w:tc>
          <w:tcPr>
            <w:tcW w:w="1373"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180</w:t>
            </w:r>
          </w:p>
        </w:tc>
        <w:tc>
          <w:tcPr>
            <w:tcW w:w="1289"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40</w:t>
            </w:r>
          </w:p>
        </w:tc>
        <w:tc>
          <w:tcPr>
            <w:tcW w:w="959"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500</w:t>
            </w:r>
          </w:p>
        </w:tc>
        <w:tc>
          <w:tcPr>
            <w:tcW w:w="1373"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450</w:t>
            </w:r>
          </w:p>
        </w:tc>
        <w:tc>
          <w:tcPr>
            <w:tcW w:w="1289"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100</w:t>
            </w:r>
          </w:p>
        </w:tc>
        <w:tc>
          <w:tcPr>
            <w:tcW w:w="959"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1000</w:t>
            </w:r>
          </w:p>
        </w:tc>
        <w:tc>
          <w:tcPr>
            <w:tcW w:w="1373"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900</w:t>
            </w:r>
          </w:p>
        </w:tc>
        <w:tc>
          <w:tcPr>
            <w:tcW w:w="1289"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200</w:t>
            </w:r>
          </w:p>
        </w:tc>
        <w:tc>
          <w:tcPr>
            <w:tcW w:w="959"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2000</w:t>
            </w:r>
          </w:p>
        </w:tc>
        <w:tc>
          <w:tcPr>
            <w:tcW w:w="1373"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1800</w:t>
            </w:r>
          </w:p>
        </w:tc>
        <w:tc>
          <w:tcPr>
            <w:tcW w:w="1289"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400</w:t>
            </w:r>
          </w:p>
        </w:tc>
        <w:tc>
          <w:tcPr>
            <w:tcW w:w="959"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4.5</w:t>
            </w:r>
          </w:p>
        </w:tc>
      </w:tr>
    </w:tbl>
    <w:p>
      <w:pPr>
        <w:pageBreakBefore w:val="0"/>
        <w:kinsoku/>
        <w:wordWrap/>
        <w:overflowPunct/>
        <w:topLinePunct w:val="0"/>
        <w:autoSpaceDE/>
        <w:autoSpaceDN/>
        <w:bidi w:val="0"/>
        <w:ind w:firstLine="600" w:firstLineChars="20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注：1根据肉鸡养殖特点，场所一般半年进行一次冲洗，根据冲洗面积计算所需贮水池面积；一般每平方米养殖面积需水立方米。</w:t>
      </w:r>
    </w:p>
    <w:p>
      <w:pPr>
        <w:pageBreakBefore w:val="0"/>
        <w:kinsoku/>
        <w:wordWrap/>
        <w:overflowPunct/>
        <w:topLinePunct w:val="0"/>
        <w:autoSpaceDE/>
        <w:autoSpaceDN/>
        <w:bidi w:val="0"/>
        <w:ind w:firstLine="600" w:firstLineChars="20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2污水贮存池体积（立方米）=设计最大存栏量（头、只）×每头每天产污水量（千克/头•天）×180（天）÷单位容量1000（千克/立方米）</w:t>
      </w:r>
    </w:p>
    <w:p>
      <w:pPr>
        <w:pageBreakBefore w:val="0"/>
        <w:kinsoku/>
        <w:wordWrap/>
        <w:overflowPunct/>
        <w:topLinePunct w:val="0"/>
        <w:autoSpaceDE/>
        <w:autoSpaceDN/>
        <w:bidi w:val="0"/>
        <w:ind w:firstLine="600" w:firstLineChars="20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当养殖单位受环境、土地和经济情况等条件的限制无法建设钢筋混凝结构的污水贮存池，且养殖单位周围有直接可利用的坑塘时，亦可以采用防渗膜式污水贮存池。</w:t>
      </w:r>
    </w:p>
    <w:p>
      <w:pPr>
        <w:pageBreakBefore w:val="0"/>
        <w:kinsoku/>
        <w:wordWrap/>
        <w:overflowPunct/>
        <w:topLinePunct w:val="0"/>
        <w:autoSpaceDE/>
        <w:autoSpaceDN/>
        <w:bidi w:val="0"/>
        <w:spacing w:after="120"/>
        <w:ind w:firstLine="0" w:firstLineChars="0"/>
        <w:jc w:val="center"/>
        <w:textAlignment w:val="auto"/>
        <w:outlineLvl w:val="9"/>
        <w:rPr>
          <w:b/>
          <w:bCs/>
          <w:color w:val="auto"/>
        </w:rPr>
      </w:pPr>
      <w:r>
        <w:rPr>
          <w:color w:val="auto"/>
        </w:rPr>
        <w:drawing>
          <wp:inline distT="0" distB="0" distL="114300" distR="114300">
            <wp:extent cx="5219700" cy="1323975"/>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rcRect l="16599" t="40851" r="52652" b="41460"/>
                    <a:stretch>
                      <a:fillRect/>
                    </a:stretch>
                  </pic:blipFill>
                  <pic:spPr>
                    <a:xfrm>
                      <a:off x="0" y="0"/>
                      <a:ext cx="5219700" cy="1323975"/>
                    </a:xfrm>
                    <a:prstGeom prst="rect">
                      <a:avLst/>
                    </a:prstGeom>
                    <a:noFill/>
                    <a:ln>
                      <a:noFill/>
                    </a:ln>
                  </pic:spPr>
                </pic:pic>
              </a:graphicData>
            </a:graphic>
          </wp:inline>
        </w:drawing>
      </w:r>
    </w:p>
    <w:p>
      <w:pPr>
        <w:pageBreakBefore w:val="0"/>
        <w:kinsoku/>
        <w:wordWrap/>
        <w:overflowPunct/>
        <w:topLinePunct w:val="0"/>
        <w:autoSpaceDE/>
        <w:autoSpaceDN/>
        <w:bidi w:val="0"/>
        <w:spacing w:before="190"/>
        <w:jc w:val="center"/>
        <w:textAlignment w:val="auto"/>
        <w:outlineLvl w:val="9"/>
        <w:rPr>
          <w:color w:val="auto"/>
        </w:rPr>
      </w:pPr>
      <w:r>
        <w:rPr>
          <w:rFonts w:hint="eastAsia" w:cs="仿宋"/>
          <w:color w:val="auto"/>
        </w:rPr>
        <w:t>图</w:t>
      </w:r>
      <w:r>
        <w:rPr>
          <w:color w:val="auto"/>
        </w:rPr>
        <w:t xml:space="preserve">3 </w:t>
      </w:r>
      <w:r>
        <w:rPr>
          <w:rFonts w:hint="eastAsia" w:cs="仿宋"/>
          <w:color w:val="auto"/>
        </w:rPr>
        <w:t>防渗膜式污水贮存池剖面图</w:t>
      </w:r>
    </w:p>
    <w:p>
      <w:pPr>
        <w:pageBreakBefore w:val="0"/>
        <w:kinsoku/>
        <w:wordWrap/>
        <w:overflowPunct/>
        <w:topLinePunct w:val="0"/>
        <w:autoSpaceDE/>
        <w:autoSpaceDN/>
        <w:bidi w:val="0"/>
        <w:ind w:firstLine="600" w:firstLineChars="20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建设要求：</w:t>
      </w:r>
    </w:p>
    <w:p>
      <w:pPr>
        <w:pageBreakBefore w:val="0"/>
        <w:numPr>
          <w:ilvl w:val="0"/>
          <w:numId w:val="7"/>
        </w:numPr>
        <w:kinsoku/>
        <w:wordWrap/>
        <w:overflowPunct/>
        <w:topLinePunct w:val="0"/>
        <w:autoSpaceDE/>
        <w:autoSpaceDN/>
        <w:bidi w:val="0"/>
        <w:ind w:left="420" w:leftChars="0" w:hanging="420" w:firstLineChars="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复合土工膜采用FN2/HDPE-14-800-0.8；</w:t>
      </w:r>
    </w:p>
    <w:p>
      <w:pPr>
        <w:pageBreakBefore w:val="0"/>
        <w:numPr>
          <w:ilvl w:val="0"/>
          <w:numId w:val="7"/>
        </w:numPr>
        <w:kinsoku/>
        <w:wordWrap/>
        <w:overflowPunct/>
        <w:topLinePunct w:val="0"/>
        <w:autoSpaceDE/>
        <w:autoSpaceDN/>
        <w:bidi w:val="0"/>
        <w:ind w:left="420" w:leftChars="0" w:hanging="420" w:firstLineChars="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铺设防渗膜前，应将地面平整，去掉石子等尖锐物质，防止防渗膜渗漏，底层土进行夯实，压实系数不得小于0.94；</w:t>
      </w:r>
    </w:p>
    <w:p>
      <w:pPr>
        <w:pageBreakBefore w:val="0"/>
        <w:numPr>
          <w:ilvl w:val="0"/>
          <w:numId w:val="7"/>
        </w:numPr>
        <w:kinsoku/>
        <w:wordWrap/>
        <w:overflowPunct/>
        <w:topLinePunct w:val="0"/>
        <w:autoSpaceDE/>
        <w:autoSpaceDN/>
        <w:bidi w:val="0"/>
        <w:ind w:left="420" w:leftChars="0" w:hanging="420" w:firstLineChars="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污水进水、排水方式均用吸污车；</w:t>
      </w:r>
    </w:p>
    <w:p>
      <w:pPr>
        <w:pageBreakBefore w:val="0"/>
        <w:numPr>
          <w:ilvl w:val="0"/>
          <w:numId w:val="7"/>
        </w:numPr>
        <w:kinsoku/>
        <w:wordWrap/>
        <w:overflowPunct/>
        <w:topLinePunct w:val="0"/>
        <w:autoSpaceDE/>
        <w:autoSpaceDN/>
        <w:bidi w:val="0"/>
        <w:ind w:left="420" w:leftChars="0" w:hanging="420" w:firstLineChars="0"/>
        <w:textAlignment w:val="auto"/>
        <w:outlineLvl w:val="9"/>
        <w:rPr>
          <w:rFonts w:hint="eastAsia" w:eastAsia="仿宋_GB2312"/>
          <w:color w:val="auto"/>
          <w:kern w:val="0"/>
          <w:sz w:val="30"/>
          <w:szCs w:val="30"/>
          <w:lang w:val="zh-CN" w:eastAsia="zh-CN"/>
        </w:rPr>
      </w:pPr>
      <w:r>
        <w:rPr>
          <w:rFonts w:hint="eastAsia" w:eastAsia="仿宋_GB2312"/>
          <w:color w:val="auto"/>
          <w:kern w:val="0"/>
          <w:sz w:val="30"/>
          <w:szCs w:val="30"/>
          <w:lang w:val="zh-CN" w:eastAsia="zh-CN"/>
        </w:rPr>
        <w:t>污水贮存池四周设立铁丝网防护围栏，并设立警示牌，严防人及畜禽跌落池中。</w:t>
      </w:r>
    </w:p>
    <w:p>
      <w:pPr>
        <w:pageBreakBefore w:val="0"/>
        <w:kinsoku/>
        <w:wordWrap/>
        <w:overflowPunct/>
        <w:topLinePunct w:val="0"/>
        <w:autoSpaceDE/>
        <w:autoSpaceDN/>
        <w:bidi w:val="0"/>
        <w:ind w:firstLine="31680"/>
        <w:textAlignment w:val="auto"/>
        <w:outlineLvl w:val="9"/>
        <w:rPr>
          <w:b/>
          <w:bCs/>
          <w:color w:val="auto"/>
        </w:rPr>
      </w:pPr>
      <w:r>
        <w:rPr>
          <w:rFonts w:hint="eastAsia" w:cs="仿宋"/>
          <w:b/>
          <w:bCs/>
          <w:color w:val="auto"/>
        </w:rPr>
        <w:t>（</w:t>
      </w:r>
      <w:r>
        <w:rPr>
          <w:b/>
          <w:bCs/>
          <w:color w:val="auto"/>
        </w:rPr>
        <w:t>3</w:t>
      </w:r>
      <w:r>
        <w:rPr>
          <w:rFonts w:hint="eastAsia" w:cs="仿宋"/>
          <w:b/>
          <w:bCs/>
          <w:color w:val="auto"/>
        </w:rPr>
        <w:t>）</w:t>
      </w:r>
      <w:r>
        <w:rPr>
          <w:rFonts w:hint="eastAsia" w:cs="仿宋"/>
          <w:b/>
          <w:bCs/>
          <w:color w:val="auto"/>
          <w:sz w:val="24"/>
          <w:szCs w:val="24"/>
        </w:rPr>
        <w:t>投资及运行成本</w:t>
      </w:r>
    </w:p>
    <w:p>
      <w:pPr>
        <w:pStyle w:val="13"/>
        <w:jc w:val="center"/>
        <w:rPr>
          <w:rFonts w:hint="eastAsia" w:eastAsia="仿宋_GB2312" w:asciiTheme="minorHAnsi" w:hAnsiTheme="minorHAnsi" w:cstheme="minorBidi"/>
          <w:b/>
          <w:bCs/>
          <w:color w:val="auto"/>
          <w:kern w:val="0"/>
          <w:sz w:val="24"/>
          <w:szCs w:val="24"/>
          <w:lang w:val="zh-CN" w:eastAsia="zh-CN" w:bidi="ar-SA"/>
        </w:rPr>
      </w:pPr>
      <w:r>
        <w:rPr>
          <w:rFonts w:hint="eastAsia" w:eastAsia="仿宋_GB2312" w:asciiTheme="minorHAnsi" w:hAnsiTheme="minorHAnsi" w:cstheme="minorBidi"/>
          <w:b/>
          <w:bCs/>
          <w:color w:val="auto"/>
          <w:kern w:val="0"/>
          <w:sz w:val="24"/>
          <w:szCs w:val="24"/>
          <w:lang w:val="zh-CN" w:eastAsia="zh-CN" w:bidi="ar-SA"/>
        </w:rPr>
        <w:t>表3 堆肥—还田工艺投资、运行费参考</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9"/>
        <w:gridCol w:w="2011"/>
        <w:gridCol w:w="1936"/>
        <w:gridCol w:w="2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1" w:type="pct"/>
            <w:vMerge w:val="restart"/>
            <w:noWrap/>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b/>
                <w:bCs/>
                <w:color w:val="auto"/>
                <w:sz w:val="24"/>
                <w:szCs w:val="24"/>
              </w:rPr>
            </w:pPr>
            <w:r>
              <w:rPr>
                <w:rFonts w:hint="eastAsia" w:cs="仿宋"/>
                <w:b/>
                <w:bCs/>
                <w:color w:val="auto"/>
                <w:sz w:val="24"/>
                <w:szCs w:val="24"/>
              </w:rPr>
              <w:t>养殖规模（头）</w:t>
            </w:r>
          </w:p>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b/>
                <w:bCs/>
                <w:color w:val="auto"/>
                <w:sz w:val="24"/>
                <w:szCs w:val="24"/>
              </w:rPr>
            </w:pPr>
            <w:r>
              <w:rPr>
                <w:rFonts w:hint="eastAsia" w:cs="仿宋"/>
                <w:b/>
                <w:bCs/>
                <w:color w:val="auto"/>
                <w:sz w:val="24"/>
                <w:szCs w:val="24"/>
              </w:rPr>
              <w:t>（以猪计）</w:t>
            </w:r>
          </w:p>
        </w:tc>
        <w:tc>
          <w:tcPr>
            <w:tcW w:w="2316" w:type="pct"/>
            <w:gridSpan w:val="2"/>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b/>
                <w:bCs/>
                <w:color w:val="auto"/>
                <w:sz w:val="24"/>
                <w:szCs w:val="24"/>
              </w:rPr>
            </w:pPr>
            <w:r>
              <w:rPr>
                <w:rFonts w:hint="eastAsia" w:cs="仿宋"/>
                <w:b/>
                <w:bCs/>
                <w:color w:val="auto"/>
                <w:sz w:val="24"/>
                <w:szCs w:val="24"/>
              </w:rPr>
              <w:t>造价（万元）</w:t>
            </w:r>
          </w:p>
        </w:tc>
        <w:tc>
          <w:tcPr>
            <w:tcW w:w="1353" w:type="pct"/>
            <w:vMerge w:val="restart"/>
            <w:noWrap/>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b/>
                <w:bCs/>
                <w:color w:val="auto"/>
                <w:sz w:val="24"/>
                <w:szCs w:val="24"/>
              </w:rPr>
            </w:pPr>
            <w:r>
              <w:rPr>
                <w:rFonts w:hint="eastAsia" w:cs="仿宋"/>
                <w:b/>
                <w:bCs/>
                <w:color w:val="auto"/>
                <w:sz w:val="24"/>
                <w:szCs w:val="24"/>
              </w:rPr>
              <w:t>年运行费</w:t>
            </w:r>
          </w:p>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b/>
                <w:bCs/>
                <w:color w:val="auto"/>
                <w:sz w:val="24"/>
                <w:szCs w:val="24"/>
              </w:rPr>
            </w:pPr>
            <w:r>
              <w:rPr>
                <w:rFonts w:hint="eastAsia" w:cs="仿宋"/>
                <w:b/>
                <w:bCs/>
                <w:color w:val="auto"/>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1" w:type="pct"/>
            <w:vMerge w:val="continue"/>
            <w:noWrap/>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b/>
                <w:bCs/>
                <w:color w:val="auto"/>
                <w:sz w:val="24"/>
                <w:szCs w:val="24"/>
              </w:rPr>
            </w:pPr>
          </w:p>
        </w:tc>
        <w:tc>
          <w:tcPr>
            <w:tcW w:w="1180"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b/>
                <w:bCs/>
                <w:color w:val="auto"/>
                <w:sz w:val="24"/>
                <w:szCs w:val="24"/>
              </w:rPr>
            </w:pPr>
            <w:r>
              <w:rPr>
                <w:rFonts w:hint="eastAsia" w:cs="仿宋"/>
                <w:b/>
                <w:bCs/>
                <w:color w:val="auto"/>
                <w:sz w:val="24"/>
                <w:szCs w:val="24"/>
              </w:rPr>
              <w:t>粪便贮存池</w:t>
            </w:r>
          </w:p>
        </w:tc>
        <w:tc>
          <w:tcPr>
            <w:tcW w:w="1136"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b/>
                <w:bCs/>
                <w:color w:val="auto"/>
                <w:sz w:val="24"/>
                <w:szCs w:val="24"/>
              </w:rPr>
            </w:pPr>
            <w:r>
              <w:rPr>
                <w:rFonts w:hint="eastAsia" w:cs="仿宋"/>
                <w:b/>
                <w:bCs/>
                <w:color w:val="auto"/>
                <w:sz w:val="24"/>
                <w:szCs w:val="24"/>
              </w:rPr>
              <w:t>污水贮存池</w:t>
            </w:r>
          </w:p>
        </w:tc>
        <w:tc>
          <w:tcPr>
            <w:tcW w:w="1353" w:type="pct"/>
            <w:vMerge w:val="continue"/>
            <w:noWrap/>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1" w:type="pct"/>
            <w:noWrap/>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200</w:t>
            </w:r>
          </w:p>
        </w:tc>
        <w:tc>
          <w:tcPr>
            <w:tcW w:w="1180"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11.5</w:t>
            </w:r>
          </w:p>
        </w:tc>
        <w:tc>
          <w:tcPr>
            <w:tcW w:w="1136"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3.7</w:t>
            </w:r>
          </w:p>
        </w:tc>
        <w:tc>
          <w:tcPr>
            <w:tcW w:w="1353" w:type="pct"/>
            <w:noWrap/>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300-1000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1" w:type="pct"/>
            <w:noWrap/>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500</w:t>
            </w:r>
          </w:p>
        </w:tc>
        <w:tc>
          <w:tcPr>
            <w:tcW w:w="1180"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21.3</w:t>
            </w:r>
          </w:p>
        </w:tc>
        <w:tc>
          <w:tcPr>
            <w:tcW w:w="1136"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9.3</w:t>
            </w:r>
          </w:p>
        </w:tc>
        <w:tc>
          <w:tcPr>
            <w:tcW w:w="1353" w:type="pct"/>
            <w:noWrap/>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700-2500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1" w:type="pct"/>
            <w:noWrap/>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1000</w:t>
            </w:r>
          </w:p>
        </w:tc>
        <w:tc>
          <w:tcPr>
            <w:tcW w:w="1180"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37.5</w:t>
            </w:r>
          </w:p>
        </w:tc>
        <w:tc>
          <w:tcPr>
            <w:tcW w:w="1136"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18.7</w:t>
            </w:r>
          </w:p>
        </w:tc>
        <w:tc>
          <w:tcPr>
            <w:tcW w:w="1353" w:type="pct"/>
            <w:noWrap/>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1500-5000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1" w:type="pct"/>
            <w:noWrap/>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2000</w:t>
            </w:r>
          </w:p>
        </w:tc>
        <w:tc>
          <w:tcPr>
            <w:tcW w:w="1180"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69.9</w:t>
            </w:r>
          </w:p>
        </w:tc>
        <w:tc>
          <w:tcPr>
            <w:tcW w:w="1136" w:type="pct"/>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37.3</w:t>
            </w:r>
          </w:p>
        </w:tc>
        <w:tc>
          <w:tcPr>
            <w:tcW w:w="1353" w:type="pct"/>
            <w:noWrap/>
            <w:vAlign w:val="center"/>
          </w:tcPr>
          <w:p>
            <w:pPr>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4"/>
                <w:szCs w:val="24"/>
              </w:rPr>
            </w:pPr>
            <w:r>
              <w:rPr>
                <w:color w:val="auto"/>
                <w:sz w:val="24"/>
                <w:szCs w:val="24"/>
              </w:rPr>
              <w:t>3000-10000</w:t>
            </w:r>
          </w:p>
        </w:tc>
      </w:tr>
    </w:tbl>
    <w:p>
      <w:pPr>
        <w:pStyle w:val="13"/>
        <w:rPr>
          <w:rFonts w:hint="eastAsia"/>
          <w:color w:val="auto"/>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b/>
          <w:bCs/>
          <w:color w:val="auto"/>
          <w:sz w:val="28"/>
          <w:szCs w:val="28"/>
          <w:lang w:val="en-US" w:eastAsia="zh-CN"/>
        </w:rPr>
      </w:pPr>
      <w:bookmarkStart w:id="168" w:name="_Toc14882"/>
      <w:r>
        <w:rPr>
          <w:rFonts w:hint="eastAsia"/>
          <w:b/>
          <w:bCs/>
          <w:color w:val="auto"/>
          <w:sz w:val="28"/>
          <w:szCs w:val="28"/>
          <w:lang w:val="en-US" w:eastAsia="zh-CN"/>
        </w:rPr>
        <w:t>附图1  固镇县行政区划图</w:t>
      </w:r>
      <w:bookmarkEnd w:id="168"/>
    </w:p>
    <w:p>
      <w:pPr>
        <w:rPr>
          <w:rFonts w:hint="eastAsia"/>
          <w:color w:val="auto"/>
          <w:lang w:val="en-US" w:eastAsia="zh-CN"/>
        </w:rPr>
      </w:pPr>
    </w:p>
    <w:p>
      <w:pPr>
        <w:pStyle w:val="2"/>
        <w:rPr>
          <w:rFonts w:hint="eastAsia"/>
          <w:color w:val="auto"/>
          <w:lang w:val="en-US" w:eastAsia="zh-CN"/>
        </w:rPr>
        <w:sectPr>
          <w:pgSz w:w="16838" w:h="23811"/>
          <w:pgMar w:top="720" w:right="720" w:bottom="720" w:left="720" w:header="851" w:footer="992" w:gutter="0"/>
          <w:pgNumType w:fmt="decimal"/>
          <w:cols w:space="425" w:num="1"/>
          <w:docGrid w:type="lines" w:linePitch="312" w:charSpace="0"/>
        </w:sectPr>
      </w:pPr>
      <w:r>
        <w:rPr>
          <w:rFonts w:hint="eastAsia"/>
          <w:color w:val="auto"/>
          <w:lang w:val="en-US" w:eastAsia="zh-CN"/>
        </w:rPr>
        <w:drawing>
          <wp:inline distT="0" distB="0" distL="114300" distR="114300">
            <wp:extent cx="8938260" cy="12662535"/>
            <wp:effectExtent l="0" t="0" r="2540" b="12065"/>
            <wp:docPr id="21" name="图片 21" descr="固镇县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固镇县行政区划图"/>
                    <pic:cNvPicPr>
                      <a:picLocks noChangeAspect="1"/>
                    </pic:cNvPicPr>
                  </pic:nvPicPr>
                  <pic:blipFill>
                    <a:blip r:embed="rId14"/>
                    <a:stretch>
                      <a:fillRect/>
                    </a:stretch>
                  </pic:blipFill>
                  <pic:spPr>
                    <a:xfrm>
                      <a:off x="0" y="0"/>
                      <a:ext cx="8938260" cy="12662535"/>
                    </a:xfrm>
                    <a:prstGeom prst="rect">
                      <a:avLst/>
                    </a:prstGeom>
                  </pic:spPr>
                </pic:pic>
              </a:graphicData>
            </a:graphic>
          </wp:inline>
        </w:drawing>
      </w:r>
    </w:p>
    <w:p>
      <w:pPr>
        <w:pStyle w:val="13"/>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b/>
          <w:bCs/>
          <w:color w:val="auto"/>
          <w:sz w:val="28"/>
          <w:szCs w:val="28"/>
          <w:lang w:val="en-US" w:eastAsia="zh-CN"/>
        </w:rPr>
      </w:pPr>
      <w:bookmarkStart w:id="169" w:name="_Toc23239"/>
      <w:r>
        <w:rPr>
          <w:rFonts w:hint="eastAsia"/>
          <w:b/>
          <w:bCs/>
          <w:color w:val="auto"/>
          <w:sz w:val="28"/>
          <w:szCs w:val="28"/>
          <w:lang w:val="en-US" w:eastAsia="zh-CN"/>
        </w:rPr>
        <w:t>附图2  固镇县水系图</w:t>
      </w:r>
      <w:bookmarkEnd w:id="169"/>
    </w:p>
    <w:p>
      <w:pPr>
        <w:rPr>
          <w:rFonts w:hint="eastAsia"/>
          <w:color w:val="auto"/>
          <w:lang w:val="en-US" w:eastAsia="zh-CN"/>
        </w:rPr>
      </w:pPr>
      <w:r>
        <w:rPr>
          <w:rFonts w:ascii="Times New Roman" w:hAnsi="Times New Roman"/>
          <w:color w:val="auto"/>
          <w:sz w:val="24"/>
          <w:szCs w:val="24"/>
        </w:rPr>
        <w:drawing>
          <wp:inline distT="0" distB="0" distL="114300" distR="114300">
            <wp:extent cx="9999980" cy="8735695"/>
            <wp:effectExtent l="0" t="0" r="7620" b="1905"/>
            <wp:docPr id="7" name="图片 1" descr="086847040888bba6ea8c03eb2a69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086847040888bba6ea8c03eb2a690cb"/>
                    <pic:cNvPicPr>
                      <a:picLocks noChangeAspect="1"/>
                    </pic:cNvPicPr>
                  </pic:nvPicPr>
                  <pic:blipFill>
                    <a:blip r:embed="rId15"/>
                    <a:stretch>
                      <a:fillRect/>
                    </a:stretch>
                  </pic:blipFill>
                  <pic:spPr>
                    <a:xfrm>
                      <a:off x="0" y="0"/>
                      <a:ext cx="9999980" cy="8735695"/>
                    </a:xfrm>
                    <a:prstGeom prst="rect">
                      <a:avLst/>
                    </a:prstGeom>
                    <a:noFill/>
                    <a:ln>
                      <a:noFill/>
                    </a:ln>
                  </pic:spPr>
                </pic:pic>
              </a:graphicData>
            </a:graphic>
          </wp:inline>
        </w:drawing>
      </w:r>
    </w:p>
    <w:p>
      <w:pPr>
        <w:pStyle w:val="13"/>
        <w:ind w:left="0" w:leftChars="0" w:firstLine="0" w:firstLineChars="0"/>
        <w:jc w:val="center"/>
        <w:rPr>
          <w:rFonts w:hint="default"/>
          <w:color w:val="auto"/>
          <w:lang w:val="en-US" w:eastAsia="zh-CN"/>
        </w:rPr>
      </w:pPr>
    </w:p>
    <w:p>
      <w:pPr>
        <w:rPr>
          <w:rFonts w:hint="default"/>
          <w:color w:val="auto"/>
          <w:lang w:val="en-US" w:eastAsia="zh-CN"/>
        </w:rPr>
      </w:pPr>
    </w:p>
    <w:p>
      <w:pPr>
        <w:rPr>
          <w:rFonts w:hint="default"/>
          <w:color w:val="auto"/>
          <w:lang w:val="en-US" w:eastAsia="zh-CN"/>
        </w:rPr>
      </w:pPr>
      <w:r>
        <w:rPr>
          <w:rFonts w:hint="eastAsia"/>
          <w:b/>
          <w:bCs/>
          <w:color w:val="auto"/>
          <w:sz w:val="28"/>
          <w:szCs w:val="28"/>
          <w:lang w:val="en-US" w:eastAsia="zh-CN"/>
        </w:rPr>
        <w:br w:type="page"/>
      </w:r>
    </w:p>
    <w:p>
      <w:pPr>
        <w:pStyle w:val="13"/>
        <w:ind w:left="0" w:leftChars="0" w:firstLine="0" w:firstLineChars="0"/>
        <w:jc w:val="center"/>
        <w:rPr>
          <w:rFonts w:hint="default"/>
          <w:color w:val="auto"/>
          <w:lang w:val="en-US" w:eastAsia="zh-CN"/>
        </w:rPr>
        <w:sectPr>
          <w:pgSz w:w="16838" w:h="23811"/>
          <w:pgMar w:top="720" w:right="720" w:bottom="720" w:left="72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textAlignment w:val="auto"/>
        <w:outlineLvl w:val="0"/>
        <w:rPr>
          <w:rFonts w:hint="default"/>
          <w:b/>
          <w:bCs/>
          <w:color w:val="auto"/>
          <w:sz w:val="28"/>
          <w:szCs w:val="28"/>
          <w:lang w:val="en-US" w:eastAsia="zh-CN"/>
        </w:rPr>
      </w:pPr>
      <w:bookmarkStart w:id="170" w:name="_Toc2249"/>
      <w:r>
        <w:rPr>
          <w:color w:val="auto"/>
          <w:sz w:val="28"/>
        </w:rPr>
        <mc:AlternateContent>
          <mc:Choice Requires="wps">
            <w:drawing>
              <wp:anchor distT="0" distB="0" distL="114300" distR="114300" simplePos="0" relativeHeight="251662336" behindDoc="0" locked="0" layoutInCell="1" allowOverlap="1">
                <wp:simplePos x="0" y="0"/>
                <wp:positionH relativeFrom="column">
                  <wp:posOffset>1210310</wp:posOffset>
                </wp:positionH>
                <wp:positionV relativeFrom="paragraph">
                  <wp:posOffset>379095</wp:posOffset>
                </wp:positionV>
                <wp:extent cx="6974205" cy="518795"/>
                <wp:effectExtent l="0" t="0" r="10795" b="1905"/>
                <wp:wrapNone/>
                <wp:docPr id="8" name="文本框 8"/>
                <wp:cNvGraphicFramePr/>
                <a:graphic xmlns:a="http://schemas.openxmlformats.org/drawingml/2006/main">
                  <a:graphicData uri="http://schemas.microsoft.com/office/word/2010/wordprocessingShape">
                    <wps:wsp>
                      <wps:cNvSpPr txBox="1"/>
                      <wps:spPr>
                        <a:xfrm>
                          <a:off x="2011680" y="1111250"/>
                          <a:ext cx="6974205" cy="5187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3pt;margin-top:29.85pt;height:40.85pt;width:549.15pt;z-index:251662336;mso-width-relative:page;mso-height-relative:page;" fillcolor="#FFFFFF [3201]" filled="t" stroked="f" coordsize="21600,21600" o:gfxdata="UEsDBAoAAAAAAIdO4kAAAAAAAAAAAAAAAAAEAAAAZHJzL1BLAwQUAAAACACHTuJABb34wNYAAAAL&#10;AQAADwAAAGRycy9kb3ducmV2LnhtbE2Py07DMBBF90j8gzVI7KidKpQkjdMFElsk2tK1G7txhD2O&#10;bPf59UxXsJurObpzpl1dvGMnE9MYUEIxE8AM9kGPOEjYbj5eKmApK9TKBTQSribBqnt8aFWjwxm/&#10;zGmdB0YlmBolweY8NZyn3hqv0ixMBml3CNGrTDEOXEd1pnLv+FyIBfdqRLpg1WTerel/1kcvYTf4&#10;2+67mKLV3pX4ebtutmGU8vmpEEtg2VzyHwx3fVKHjpz24Yg6MUe5FgtCJbzWb8DuwLyqamB7msqi&#10;BN61/P8P3S9QSwMEFAAAAAgAh07iQB7X3I5YAgAAmwQAAA4AAABkcnMvZTJvRG9jLnhtbK1UwY7T&#10;MBC9I/EPlu9s2tJ226rpqnRVhLRiVyqIs+s4jSXbY2y3yfIB8AecuHDnu/odjJ10tywc9kAO6dgz&#10;eTPvzUznV41W5CCcl2By2r/oUSIMh0KaXU4/fli/mlDiAzMFU2BETu+Fp1eLly/mtZ2JAVSgCuEI&#10;ghg/q21OqxDsLMs8r4Rm/gKsMOgswWkW8Oh2WeFYjehaZYNeb5zV4ArrgAvv8fa6ddIO0T0HEMpS&#10;cnENfK+FCS2qE4oFpOQraT1dpGrLUvBwW5ZeBKJyikxDemMStLfxnS3mbLZzzFaSdyWw55TwhJNm&#10;0mDSB6hrFhjZO/kXlJbcgYcyXHDQWUskKYIs+r0n2mwqZkXiglJ7+yC6/3+w/P3hzhFZ5BTbbpjG&#10;hh+/fzv++HX8+ZVMojy19TOM2liMC80baHBoTvceLyPrpnQ6/iIfgn6k0h9PUOJ7jMVnMOqEFk0g&#10;HAPG08vhoDeihGPEqD+5nI4iZPaIZJ0PbwVoEo2cOmxk0pcdbnxoQ08hMbEHJYu1VCod3G67Uo4c&#10;GDZ9nZ4O/Y8wZUiNpbzG4uJXBuL3LbQyWEwk3hKMVmi2TafGFop7FMNBO03e8rXEKm+YD3fM4fgg&#10;c1ywcIuvUgEmgc6ipAL35V/3MR67il5KahzHnPrPe+YEJeqdwX5P+8NhnN90GI4uB3hw557tucfs&#10;9QqQfB9X2fJkxvigTmbpQH/CPVzGrOhihmPunIaTuQrtkuAec7FcpiCcWMvCjdlYHqFb0Zb7AKVM&#10;LYkytdp06uHMpqZ2+xWX4vycoh7/Ux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W9+MDWAAAA&#10;CwEAAA8AAAAAAAAAAQAgAAAAIgAAAGRycy9kb3ducmV2LnhtbFBLAQIUABQAAAAIAIdO4kAe19yO&#10;WAIAAJsEAAAOAAAAAAAAAAEAIAAAACUBAABkcnMvZTJvRG9jLnhtbFBLBQYAAAAABgAGAFkBAADv&#10;BQAAAAA=&#10;">
                <v:fill on="t" focussize="0,0"/>
                <v:stroke on="f" weight="0.5pt"/>
                <v:imagedata o:title=""/>
                <o:lock v:ext="edit" aspectratio="f"/>
                <v:textbox>
                  <w:txbxContent>
                    <w:p/>
                  </w:txbxContent>
                </v:textbox>
              </v:shape>
            </w:pict>
          </mc:Fallback>
        </mc:AlternateContent>
      </w:r>
      <w:r>
        <w:rPr>
          <w:rFonts w:hint="eastAsia"/>
          <w:b/>
          <w:bCs/>
          <w:color w:val="auto"/>
          <w:sz w:val="28"/>
          <w:szCs w:val="28"/>
          <w:lang w:val="en-US" w:eastAsia="zh-CN"/>
        </w:rPr>
        <w:t>附图3  固镇县“三区三线”三上 布局图</w:t>
      </w:r>
      <w:bookmarkEnd w:id="170"/>
    </w:p>
    <w:p>
      <w:pPr>
        <w:rPr>
          <w:rFonts w:hint="eastAsia" w:eastAsiaTheme="minorEastAsia"/>
          <w:b/>
          <w:bCs/>
          <w:color w:val="auto"/>
          <w:sz w:val="28"/>
          <w:szCs w:val="28"/>
          <w:lang w:val="en-US" w:eastAsia="zh-CN"/>
        </w:rPr>
      </w:pPr>
      <w:r>
        <w:rPr>
          <w:rFonts w:hint="eastAsia" w:eastAsiaTheme="minorEastAsia"/>
          <w:b/>
          <w:bCs/>
          <w:color w:val="auto"/>
          <w:sz w:val="28"/>
          <w:szCs w:val="28"/>
          <w:lang w:val="en-US" w:eastAsia="zh-CN"/>
        </w:rPr>
        <w:drawing>
          <wp:inline distT="0" distB="0" distL="114300" distR="114300">
            <wp:extent cx="10111105" cy="10577195"/>
            <wp:effectExtent l="0" t="0" r="10795" b="1905"/>
            <wp:docPr id="6" name="图片 6" descr="0固镇三线布局图(第三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固镇三线布局图(第三轮)"/>
                    <pic:cNvPicPr>
                      <a:picLocks noChangeAspect="1"/>
                    </pic:cNvPicPr>
                  </pic:nvPicPr>
                  <pic:blipFill>
                    <a:blip r:embed="rId16"/>
                    <a:stretch>
                      <a:fillRect/>
                    </a:stretch>
                  </pic:blipFill>
                  <pic:spPr>
                    <a:xfrm>
                      <a:off x="0" y="0"/>
                      <a:ext cx="10111105" cy="105771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b/>
          <w:bCs/>
          <w:color w:val="auto"/>
          <w:sz w:val="28"/>
          <w:szCs w:val="28"/>
          <w:lang w:val="en-US" w:eastAsia="zh-CN"/>
        </w:rPr>
        <w:sectPr>
          <w:pgSz w:w="16838" w:h="23811"/>
          <w:pgMar w:top="720" w:right="720" w:bottom="720" w:left="72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left"/>
        <w:textAlignment w:val="auto"/>
        <w:outlineLvl w:val="0"/>
        <w:rPr>
          <w:rFonts w:hint="default"/>
          <w:b/>
          <w:bCs/>
          <w:color w:val="auto"/>
          <w:sz w:val="28"/>
          <w:szCs w:val="28"/>
          <w:lang w:val="en-US" w:eastAsia="zh-CN"/>
        </w:rPr>
      </w:pPr>
      <w:bookmarkStart w:id="171" w:name="_Toc25248"/>
      <w:r>
        <w:rPr>
          <w:rFonts w:hint="eastAsia"/>
          <w:b/>
          <w:bCs/>
          <w:color w:val="auto"/>
          <w:sz w:val="28"/>
          <w:szCs w:val="28"/>
          <w:lang w:val="en-US" w:eastAsia="zh-CN"/>
        </w:rPr>
        <w:t>附图4  固镇县畜禽养殖禁养区分布图</w:t>
      </w:r>
      <w:bookmarkEnd w:id="171"/>
    </w:p>
    <w:p>
      <w:pPr>
        <w:jc w:val="left"/>
        <w:rPr>
          <w:rFonts w:hint="eastAsia"/>
          <w:color w:val="auto"/>
          <w:lang w:val="en-US" w:eastAsia="zh-CN"/>
        </w:r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6874510</wp:posOffset>
                </wp:positionV>
                <wp:extent cx="578485" cy="219075"/>
                <wp:effectExtent l="0" t="0" r="5715" b="9525"/>
                <wp:wrapNone/>
                <wp:docPr id="20" name="矩形 20"/>
                <wp:cNvGraphicFramePr/>
                <a:graphic xmlns:a="http://schemas.openxmlformats.org/drawingml/2006/main">
                  <a:graphicData uri="http://schemas.microsoft.com/office/word/2010/wordprocessingShape">
                    <wps:wsp>
                      <wps:cNvSpPr/>
                      <wps:spPr>
                        <a:xfrm>
                          <a:off x="795020" y="7950835"/>
                          <a:ext cx="578485" cy="219075"/>
                        </a:xfrm>
                        <a:prstGeom prst="rect">
                          <a:avLst/>
                        </a:prstGeom>
                        <a:solidFill>
                          <a:srgbClr val="D066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6pt;margin-top:541.3pt;height:17.25pt;width:45.55pt;z-index:251664384;v-text-anchor:middle;mso-width-relative:page;mso-height-relative:page;" fillcolor="#D06678" filled="t" stroked="f" coordsize="21600,21600" o:gfxdata="UEsDBAoAAAAAAIdO4kAAAAAAAAAAAAAAAAAEAAAAZHJzL1BLAwQUAAAACACHTuJApN2x7tgAAAAM&#10;AQAADwAAAGRycy9kb3ducmV2LnhtbE2PPW+DMBCG90r9D9ZV6tbYJikNBJOhVaWuTdLdgQsg8NnC&#10;TiD59XWmdruPR+89V2xnM7ALjr6zpEAuBDCkytYdNQoO+8+XNTAfNNV6sIQKruhhWz4+FDqv7UTf&#10;eNmFhsUQ8rlW0Ibgcs591aLRfmEdUtyd7Gh0iO3Y8HrUUww3A0+ESLnRHcULrXb43mLV785GwZSl&#10;vZZ9ls3OiVv3xW/Xj5+9Us9PUmyABZzDHwx3/agOZXQ62jPVng0KXpdJJONcrJMU2J1YrZbAjrGQ&#10;8k0CLwv+/4nyF1BLAwQUAAAACACHTuJAA1h/XXYCAADXBAAADgAAAGRycy9lMm9Eb2MueG1srVTN&#10;bhMxEL4j8Q6W73Q3IWnSqJsqalSEVNFKBXF2vN6sJf9hO9mUl0HixkP0cRCvwWfv9ofCoQdycGY8&#10;s9/MfDPj07ODVmQvfJDWVHR0VFIiDLe1NNuKfvp48WZOSYjM1ExZIyp6KwI9W75+ddq5hRjb1qpa&#10;eAIQExadq2gbo1sUReCt0CwcWScMjI31mkWoflvUnnVA16oYl+Vx0VlfO2+5CAG3695IB0T/EkDb&#10;NJKLteU7LUzsUb1QLKKk0EoX6DJn2zSCx6umCSISVVFUGvOJIJA36SyWp2yx9cy1kg8psJek8Kwm&#10;zaRB0AeoNYuM7Lz8C0pL7m2wTTziVhd9IZkRVDEqn3Fz0zInci2gOrgH0sP/g+Uf9teeyLqiY1Bi&#10;mEbHf3378fPuO8EF2OlcWMDpxl37QQsQU6mHxuv0jyLIoaKzk2mZMG57cf522pMrDpFw2Kez+WQ+&#10;pYTDYTw6KWfZXjziOB/iO2E1SUJFPXqXKWX7yxARG673LilssErWF1KprPjt5lx5smfo87o8Pp7N&#10;U3R88oebMqTDzI9nJRLlDNPbYGogagcGgtlSwtQWa8Gjz7GNTRGA1Mdes9D2MTJsX6CWEQuhpK7o&#10;vEy/IbIySCDR1xOWpI2tb0G3t/0cBscvJIq9ZCFeM4/BQ1pYzXiFo1EWudpBoqS1/uu/7pM/5gFW&#10;SjoMMur4smNeUKLeG0zKyWgyAWzMymQ6Sz3yTy2bpxaz0+cWHI7wCDiexeQf1b3YeKs/Y4NXKSpM&#10;zHDE7hkblPPYLxjeAC5Wq+yGaXcsXpobxxN4ItTY1S7aRubePrIzkIZ5z/0bdjMt1FM9ez2+R8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pN2x7tgAAAAMAQAADwAAAAAAAAABACAAAAAiAAAAZHJz&#10;L2Rvd25yZXYueG1sUEsBAhQAFAAAAAgAh07iQANYf112AgAA1wQAAA4AAAAAAAAAAQAgAAAAJwEA&#10;AGRycy9lMm9Eb2MueG1sUEsFBgAAAAAGAAYAWQEAAA8GAAAAAA==&#10;">
                <v:fill on="t" focussize="0,0"/>
                <v:stroke on="f" weight="1pt" miterlimit="8" joinstyle="miter"/>
                <v:imagedata o:title=""/>
                <o:lock v:ext="edit" aspectratio="f"/>
              </v:rect>
            </w:pict>
          </mc:Fallback>
        </mc:AlternateContent>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224790</wp:posOffset>
                </wp:positionH>
                <wp:positionV relativeFrom="paragraph">
                  <wp:posOffset>6321425</wp:posOffset>
                </wp:positionV>
                <wp:extent cx="1757045" cy="952500"/>
                <wp:effectExtent l="4445" t="5080" r="16510" b="7620"/>
                <wp:wrapNone/>
                <wp:docPr id="19" name="文本框 19"/>
                <wp:cNvGraphicFramePr/>
                <a:graphic xmlns:a="http://schemas.openxmlformats.org/drawingml/2006/main">
                  <a:graphicData uri="http://schemas.microsoft.com/office/word/2010/wordprocessingShape">
                    <wps:wsp>
                      <wps:cNvSpPr txBox="1"/>
                      <wps:spPr>
                        <a:xfrm>
                          <a:off x="681990" y="7397750"/>
                          <a:ext cx="1757045" cy="952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8"/>
                                <w:szCs w:val="28"/>
                                <w:lang w:val="en-US" w:eastAsia="zh-CN"/>
                              </w:rPr>
                            </w:pPr>
                            <w:r>
                              <w:rPr>
                                <w:rFonts w:hint="eastAsia"/>
                                <w:sz w:val="28"/>
                                <w:szCs w:val="28"/>
                                <w:lang w:val="en-US" w:eastAsia="zh-CN"/>
                              </w:rPr>
                              <w:t>图例：</w:t>
                            </w:r>
                          </w:p>
                          <w:p>
                            <w:pPr>
                              <w:pStyle w:val="3"/>
                              <w:jc w:val="both"/>
                              <w:rPr>
                                <w:rFonts w:hint="default"/>
                                <w:sz w:val="28"/>
                                <w:szCs w:val="28"/>
                                <w:lang w:val="en-US" w:eastAsia="zh-CN"/>
                              </w:rPr>
                            </w:pPr>
                            <w:r>
                              <w:rPr>
                                <w:rFonts w:hint="eastAsia"/>
                                <w:sz w:val="28"/>
                                <w:szCs w:val="28"/>
                                <w:lang w:val="en-US" w:eastAsia="zh-CN"/>
                              </w:rPr>
                              <w:t xml:space="preserve">        禁养区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497.75pt;height:75pt;width:138.35pt;z-index:251663360;mso-width-relative:page;mso-height-relative:page;" fillcolor="#FFFFFF [3201]" filled="t" stroked="t" coordsize="21600,21600" o:gfxdata="UEsDBAoAAAAAAIdO4kAAAAAAAAAAAAAAAAAEAAAAZHJzL1BLAwQUAAAACACHTuJA02UKptcAAAAL&#10;AQAADwAAAGRycy9kb3ducmV2LnhtbE2PwU7DMAyG70i8Q2QkbixNu06sNJ0EEhLixtYLt6zx2orG&#10;qZJsHW+POcHR9qff31/vrm4SFwxx9KRBrTIQSJ23I/Ua2sPrwyOImAxZM3lCDd8YYdfc3tSmsn6h&#10;D7zsUy84hGJlNAwpzZWUsRvQmbjyMxLfTj44k3gMvbTBLBzuJpln2UY6MxJ/GMyMLwN2X/uz0/C2&#10;eU6f2Np3W+SFX1rZhdMUtb6/U9kTiITX9AfDrz6rQ8NOR38mG8WkoSjXTGrYbssSBAOFyhWII5Nq&#10;zSvZ1PJ/h+YHUEsDBBQAAAAIAIdO4kDIuvB+ZAIAAMQEAAAOAAAAZHJzL2Uyb0RvYy54bWytVEFu&#10;2zAQvBfoHwjeG9mOHcdG5MBN4KJA0ARIi55pirKIUiRL0pbSBzQ/6KmX3vuuvKNDSk7SpIccqgO1&#10;5I6Gu7O7Ojlta0V2wnlpdE6HBwNKhOamkHqT008fV2+OKfGB6YIpo0VOb4Snp4vXr04aOxcjUxlV&#10;CEdAov28sTmtQrDzLPO8EjXzB8YKDWdpXM0Ctm6TFY41YK9VNhoMjrLGuMI6w4X3OD3vnLRndC8h&#10;NGUpuTg3fFsLHTpWJxQLSMlX0nq6SNGWpeDhsiy9CETlFJmGtOIS2Ou4ZosTNt84ZivJ+xDYS0J4&#10;klPNpMal91TnLDCydfIZVS25M96U4YCbOusSSYogi+HgiTbXFbMi5QKpvb0X3f8/Wv5hd+WILNAJ&#10;M0o0q1Hxux+3dz9/3/36TnAGgRrr58BdWyBD+9a0AO/PPQ5j3m3p6vhGRgT+o+PhbAaNb3I6PZxN&#10;p5NeadEGwuP308l0MJ5QwoGYTUaTQQJkD0TW+fBOmJpEI6cOlUwCs92FDwgK0D0k3uuNksVKKpU2&#10;brM+U47sGKq+Sk+MF5/8BVOaNAj1EME9o4jc9xRrxfiX5wzgUxq0UZ9Oh2iFdt32oq1NcQPNnOna&#10;zlu+kuC9YD5cMYc+g0KYxHCJpVQGwZjeoqQy7tu/ziMe5YeXkgZ9m1P/dcucoES912iM2XA8jo2e&#10;NuPJdISNe+xZP/bobX1mINIQM295MiM+qL1ZOlN/xsAu461wMc1xd07D3jwL3TRh4LlYLhMIrW1Z&#10;uNDXlkfqKK42y20wpUylizJ12vTqoblTefpBjNPzeJ9QDz+f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TZQqm1wAAAAsBAAAPAAAAAAAAAAEAIAAAACIAAABkcnMvZG93bnJldi54bWxQSwECFAAU&#10;AAAACACHTuJAyLrwfmQCAADEBAAADgAAAAAAAAABACAAAAAmAQAAZHJzL2Uyb0RvYy54bWxQSwUG&#10;AAAAAAYABgBZAQAA/AUAAAAA&#10;">
                <v:fill on="t" focussize="0,0"/>
                <v:stroke weight="0.5pt" color="#000000 [3204]" joinstyle="round"/>
                <v:imagedata o:title=""/>
                <o:lock v:ext="edit" aspectratio="f"/>
                <v:textbox>
                  <w:txbxContent>
                    <w:p>
                      <w:pPr>
                        <w:rPr>
                          <w:rFonts w:hint="eastAsia"/>
                          <w:sz w:val="28"/>
                          <w:szCs w:val="28"/>
                          <w:lang w:val="en-US" w:eastAsia="zh-CN"/>
                        </w:rPr>
                      </w:pPr>
                      <w:r>
                        <w:rPr>
                          <w:rFonts w:hint="eastAsia"/>
                          <w:sz w:val="28"/>
                          <w:szCs w:val="28"/>
                          <w:lang w:val="en-US" w:eastAsia="zh-CN"/>
                        </w:rPr>
                        <w:t>图例：</w:t>
                      </w:r>
                    </w:p>
                    <w:p>
                      <w:pPr>
                        <w:pStyle w:val="3"/>
                        <w:jc w:val="both"/>
                        <w:rPr>
                          <w:rFonts w:hint="default"/>
                          <w:sz w:val="28"/>
                          <w:szCs w:val="28"/>
                          <w:lang w:val="en-US" w:eastAsia="zh-CN"/>
                        </w:rPr>
                      </w:pPr>
                      <w:r>
                        <w:rPr>
                          <w:rFonts w:hint="eastAsia"/>
                          <w:sz w:val="28"/>
                          <w:szCs w:val="28"/>
                          <w:lang w:val="en-US" w:eastAsia="zh-CN"/>
                        </w:rPr>
                        <w:t xml:space="preserve">        禁养区</w:t>
                      </w:r>
                    </w:p>
                  </w:txbxContent>
                </v:textbox>
              </v:shape>
            </w:pict>
          </mc:Fallback>
        </mc:AlternateContent>
      </w:r>
      <w:r>
        <w:rPr>
          <w:rFonts w:hint="eastAsia"/>
          <w:color w:val="auto"/>
          <w:lang w:val="en-US" w:eastAsia="zh-CN"/>
        </w:rPr>
        <w:drawing>
          <wp:inline distT="0" distB="0" distL="114300" distR="114300">
            <wp:extent cx="6565900" cy="6946900"/>
            <wp:effectExtent l="0" t="0" r="0" b="0"/>
            <wp:docPr id="18" name="图片 18" descr="166659507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66595078786"/>
                    <pic:cNvPicPr>
                      <a:picLocks noChangeAspect="1"/>
                    </pic:cNvPicPr>
                  </pic:nvPicPr>
                  <pic:blipFill>
                    <a:blip r:embed="rId17"/>
                    <a:stretch>
                      <a:fillRect/>
                    </a:stretch>
                  </pic:blipFill>
                  <pic:spPr>
                    <a:xfrm>
                      <a:off x="0" y="0"/>
                      <a:ext cx="6565900" cy="6946900"/>
                    </a:xfrm>
                    <a:prstGeom prst="rect">
                      <a:avLst/>
                    </a:prstGeom>
                  </pic:spPr>
                </pic:pic>
              </a:graphicData>
            </a:graphic>
          </wp:inline>
        </w:drawing>
      </w:r>
    </w:p>
    <w:p>
      <w:pPr>
        <w:pStyle w:val="2"/>
        <w:rPr>
          <w:rFonts w:hint="eastAsia"/>
          <w:color w:val="auto"/>
          <w:lang w:val="en-US" w:eastAsia="zh-CN"/>
        </w:rPr>
      </w:pPr>
    </w:p>
    <w:p>
      <w:pPr>
        <w:pStyle w:val="3"/>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b/>
          <w:bCs/>
          <w:color w:val="auto"/>
          <w:sz w:val="28"/>
          <w:szCs w:val="28"/>
          <w:lang w:val="en-US" w:eastAsia="zh-CN"/>
        </w:rPr>
      </w:pPr>
    </w:p>
    <w:sectPr>
      <w:pgSz w:w="11906" w:h="16838"/>
      <w:pgMar w:top="720" w:right="720" w:bottom="720"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3"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 Y 1+ ZID Hj I">
    <w:altName w:val="宋体"/>
    <w:panose1 w:val="00000000000000000000"/>
    <w:charset w:val="86"/>
    <w:family w:val="swiss"/>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1680"/>
      <w:jc w:val="center"/>
    </w:pPr>
    <w:r>
      <w:fldChar w:fldCharType="begin"/>
    </w:r>
    <w:r>
      <w:instrText xml:space="preserve">PAGE   \* MERGEFORMAT</w:instrText>
    </w:r>
    <w:r>
      <w:fldChar w:fldCharType="separate"/>
    </w:r>
    <w:r>
      <w:rPr>
        <w:lang w:val="zh-CN"/>
      </w:rPr>
      <w:t>ii</w:t>
    </w:r>
    <w:r>
      <w:rPr>
        <w:lang w:val="zh-CN"/>
      </w:rPr>
      <w:fldChar w:fldCharType="end"/>
    </w:r>
  </w:p>
  <w:p>
    <w:pPr>
      <w:pStyle w:val="15"/>
      <w:ind w:firstLine="316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168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2857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1680"/>
                            <w:jc w:val="center"/>
                          </w:pPr>
                          <w:r>
                            <w:rPr>
                              <w:rFonts w:hint="eastAsia"/>
                              <w:lang w:val="en-US" w:eastAsia="zh-CN"/>
                            </w:rPr>
                            <w:t>1</w:t>
                          </w:r>
                          <w:r>
                            <w:fldChar w:fldCharType="begin"/>
                          </w:r>
                          <w:r>
                            <w:instrText xml:space="preserve">PAGE   \* MERGEFORMAT</w:instrText>
                          </w:r>
                          <w:r>
                            <w:fldChar w:fldCharType="separate"/>
                          </w:r>
                          <w:r>
                            <w:rPr>
                              <w:lang w:val="zh-CN"/>
                            </w:rPr>
                            <w:t>ii</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2.5pt;width:144pt;mso-position-horizontal:center;mso-position-horizontal-relative:margin;mso-wrap-style:none;z-index:251659264;mso-width-relative:page;mso-height-relative:page;" filled="f" stroked="f" coordsize="21600,21600" o:gfxdata="UEsDBAoAAAAAAIdO4kAAAAAAAAAAAAAAAAAEAAAAZHJzL1BLAwQUAAAACACHTuJAl5DPOdQAAAAE&#10;AQAADwAAAGRycy9kb3ducmV2LnhtbE2PzUvDQBDF74L/wzKCN7vb0kqI2RQR7MVT4wd4m2anSXA/&#10;wu62if71jl708uDxhvd+U21nZ8WZYhqC17BcKBDk22AG32l4eX68KUCkjN6gDZ40fFKCbX15UWFp&#10;wuT3dG5yJ7jEpxI19DmPpZSp7clhWoSRPGfHEB1mtrGTJuLE5c7KlVK30uHgeaHHkR56aj+ak9Ow&#10;m7/e1k/xPdsG9+3m1d13x92k9fXVUt2ByDTnv2P4wWd0qJnpEE7eJGE18CP5VzlbFQXbg4b1RoGs&#10;K/kfvv4GUEsDBBQAAAAIAIdO4kDN7Lm0MwIAAGAEAAAOAAAAZHJzL2Uyb0RvYy54bWytVMFuEzEQ&#10;vSPxD5bvdJOglijqpgqNipAqWqkgzo7Xm7Vkeyzb6W75APgDTly497vyHTzvblooHHrg4sx6Zt7M&#10;ezPO6VlnDbtVIWpyJZ8eTThTTlKl3bbknz5evJpzFpNwlTDkVMnvVORny5cvTlu/UDNqyFQqMIC4&#10;uGh9yZuU/KIoomyUFfGIvHJw1hSsSPgM26IKogW6NcVsMjkpWgqVDyRVjLhdD04+IobnAFJda6nW&#10;JHdWuTSgBmVEAqXYaB/5su+2rpVMV3UdVWKm5GCa+hNFYG/yWSxPxWIbhG+0HFsQz2nhCScrtEPR&#10;B6i1SILtgv4LymoZKFKdjiTZYiDSKwIW08kTbW4a4VXPBVJH/yB6/H+w8sPtdWC6wiZw5oTFwPff&#10;v+1/3O9/fmXTLE/r4wJRNx5xqXtLXQ4d7yMuM+uuDjb/gg+DH+LePYirusRkTprP5vMJXBK+2fz4&#10;zXGvfvGY7UNM7xRZlo2SBwyv11TcXsaEigg9hORiji60Mf0AjWNtyU9eA/IPDzKMQ2LmMPSardRt&#10;upHAhqo78Ao0LEb08kKj+KWI6VoEbAL6xVtJVzhqQyhCo8VZQ+HLv+5zPAYEL2ctNqvkDg+JM/Pe&#10;YXAATAcjHIzNwXA7e05YVQwDvfQmEkIyB7MOZD/jAa1yDbiEk6hU8nQwz9Ow3XiAUq1WfdDOB71t&#10;hgSsnRfp0t14mcsMcq12iWrda5wFGlQZdcPi9dKPjyRv9u/ffdTjH8P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eQzznUAAAABAEAAA8AAAAAAAAAAQAgAAAAIgAAAGRycy9kb3ducmV2LnhtbFBL&#10;AQIUABQAAAAIAIdO4kDN7Lm0MwIAAGAEAAAOAAAAAAAAAAEAIAAAACMBAABkcnMvZTJvRG9jLnht&#10;bFBLBQYAAAAABgAGAFkBAADIBQAAAAA=&#10;">
              <v:fill on="f" focussize="0,0"/>
              <v:stroke on="f" weight="0.5pt"/>
              <v:imagedata o:title=""/>
              <o:lock v:ext="edit" aspectratio="f"/>
              <v:textbox inset="0mm,0mm,0mm,0mm">
                <w:txbxContent>
                  <w:p>
                    <w:pPr>
                      <w:pStyle w:val="15"/>
                      <w:ind w:firstLine="31680"/>
                      <w:jc w:val="center"/>
                    </w:pPr>
                    <w:r>
                      <w:rPr>
                        <w:rFonts w:hint="eastAsia"/>
                        <w:lang w:val="en-US" w:eastAsia="zh-CN"/>
                      </w:rPr>
                      <w:t>1</w:t>
                    </w:r>
                    <w:r>
                      <w:fldChar w:fldCharType="begin"/>
                    </w:r>
                    <w:r>
                      <w:instrText xml:space="preserve">PAGE   \* MERGEFORMAT</w:instrText>
                    </w:r>
                    <w:r>
                      <w:fldChar w:fldCharType="separate"/>
                    </w:r>
                    <w:r>
                      <w:rPr>
                        <w:lang w:val="zh-CN"/>
                      </w:rPr>
                      <w:t>ii</w:t>
                    </w:r>
                    <w:r>
                      <w:rPr>
                        <w:lang w:val="zh-CN"/>
                      </w:rPr>
                      <w:fldChar w:fldCharType="end"/>
                    </w:r>
                  </w:p>
                </w:txbxContent>
              </v:textbox>
            </v:shape>
          </w:pict>
        </mc:Fallback>
      </mc:AlternateContent>
    </w:r>
  </w:p>
  <w:p>
    <w:pPr>
      <w:pStyle w:val="15"/>
      <w:ind w:firstLine="316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42" w:lineRule="auto"/>
      <w:ind w:left="7284"/>
      <w:rPr>
        <w:rFonts w:ascii="仿宋" w:hAnsi="仿宋" w:eastAsia="仿宋" w:cs="仿宋"/>
        <w:sz w:val="27"/>
        <w:szCs w:val="27"/>
      </w:rPr>
    </w:pPr>
    <w:r>
      <w:rPr>
        <w:sz w:val="2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firstLine="316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640" w:hanging="480"/>
        <w:jc w:val="left"/>
      </w:pPr>
      <w:rPr>
        <w:rFonts w:hint="default"/>
        <w:lang w:val="zh-CN" w:eastAsia="zh-CN" w:bidi="zh-CN"/>
      </w:rPr>
    </w:lvl>
    <w:lvl w:ilvl="1" w:tentative="0">
      <w:start w:val="1"/>
      <w:numFmt w:val="decimal"/>
      <w:lvlText w:val="%1.%2"/>
      <w:lvlJc w:val="left"/>
      <w:pPr>
        <w:ind w:left="640" w:hanging="480"/>
        <w:jc w:val="left"/>
      </w:pPr>
      <w:rPr>
        <w:rFonts w:hint="default" w:ascii="Times New Roman" w:hAnsi="Times New Roman" w:eastAsia="Times New Roman" w:cs="Times New Roman"/>
        <w:b/>
        <w:bCs/>
        <w:w w:val="99"/>
        <w:sz w:val="32"/>
        <w:szCs w:val="32"/>
        <w:lang w:val="zh-CN" w:eastAsia="zh-CN" w:bidi="zh-CN"/>
      </w:rPr>
    </w:lvl>
    <w:lvl w:ilvl="2" w:tentative="0">
      <w:start w:val="1"/>
      <w:numFmt w:val="decimal"/>
      <w:lvlText w:val="%1.%2.%3"/>
      <w:lvlJc w:val="left"/>
      <w:pPr>
        <w:ind w:left="880" w:hanging="720"/>
        <w:jc w:val="left"/>
      </w:pPr>
      <w:rPr>
        <w:rFonts w:hint="default" w:ascii="Times New Roman" w:hAnsi="Times New Roman" w:eastAsia="Times New Roman" w:cs="Times New Roman"/>
        <w:b/>
        <w:bCs/>
        <w:w w:val="99"/>
        <w:sz w:val="32"/>
        <w:szCs w:val="32"/>
        <w:lang w:val="zh-CN" w:eastAsia="zh-CN" w:bidi="zh-CN"/>
      </w:rPr>
    </w:lvl>
    <w:lvl w:ilvl="3" w:tentative="0">
      <w:start w:val="1"/>
      <w:numFmt w:val="decimal"/>
      <w:lvlText w:val="（%4）"/>
      <w:lvlJc w:val="left"/>
      <w:pPr>
        <w:ind w:left="1393" w:hanging="705"/>
        <w:jc w:val="left"/>
      </w:pPr>
      <w:rPr>
        <w:rFonts w:hint="default" w:ascii="宋体" w:hAnsi="宋体" w:eastAsia="宋体" w:cs="宋体"/>
        <w:spacing w:val="-3"/>
        <w:w w:val="100"/>
        <w:sz w:val="26"/>
        <w:szCs w:val="26"/>
        <w:lang w:val="zh-CN" w:eastAsia="zh-CN" w:bidi="zh-CN"/>
      </w:rPr>
    </w:lvl>
    <w:lvl w:ilvl="4" w:tentative="0">
      <w:start w:val="0"/>
      <w:numFmt w:val="bullet"/>
      <w:lvlText w:val="•"/>
      <w:lvlJc w:val="left"/>
      <w:pPr>
        <w:ind w:left="3246" w:hanging="705"/>
      </w:pPr>
      <w:rPr>
        <w:rFonts w:hint="default"/>
        <w:lang w:val="zh-CN" w:eastAsia="zh-CN" w:bidi="zh-CN"/>
      </w:rPr>
    </w:lvl>
    <w:lvl w:ilvl="5" w:tentative="0">
      <w:start w:val="0"/>
      <w:numFmt w:val="bullet"/>
      <w:lvlText w:val="•"/>
      <w:lvlJc w:val="left"/>
      <w:pPr>
        <w:ind w:left="4159" w:hanging="705"/>
      </w:pPr>
      <w:rPr>
        <w:rFonts w:hint="default"/>
        <w:lang w:val="zh-CN" w:eastAsia="zh-CN" w:bidi="zh-CN"/>
      </w:rPr>
    </w:lvl>
    <w:lvl w:ilvl="6" w:tentative="0">
      <w:start w:val="0"/>
      <w:numFmt w:val="bullet"/>
      <w:lvlText w:val="•"/>
      <w:lvlJc w:val="left"/>
      <w:pPr>
        <w:ind w:left="5073" w:hanging="705"/>
      </w:pPr>
      <w:rPr>
        <w:rFonts w:hint="default"/>
        <w:lang w:val="zh-CN" w:eastAsia="zh-CN" w:bidi="zh-CN"/>
      </w:rPr>
    </w:lvl>
    <w:lvl w:ilvl="7" w:tentative="0">
      <w:start w:val="0"/>
      <w:numFmt w:val="bullet"/>
      <w:lvlText w:val="•"/>
      <w:lvlJc w:val="left"/>
      <w:pPr>
        <w:ind w:left="5986" w:hanging="705"/>
      </w:pPr>
      <w:rPr>
        <w:rFonts w:hint="default"/>
        <w:lang w:val="zh-CN" w:eastAsia="zh-CN" w:bidi="zh-CN"/>
      </w:rPr>
    </w:lvl>
    <w:lvl w:ilvl="8" w:tentative="0">
      <w:start w:val="0"/>
      <w:numFmt w:val="bullet"/>
      <w:lvlText w:val="•"/>
      <w:lvlJc w:val="left"/>
      <w:pPr>
        <w:ind w:left="6899" w:hanging="705"/>
      </w:pPr>
      <w:rPr>
        <w:rFonts w:hint="default"/>
        <w:lang w:val="zh-CN" w:eastAsia="zh-CN" w:bidi="zh-CN"/>
      </w:rPr>
    </w:lvl>
  </w:abstractNum>
  <w:abstractNum w:abstractNumId="1">
    <w:nsid w:val="167524EC"/>
    <w:multiLevelType w:val="singleLevel"/>
    <w:tmpl w:val="167524EC"/>
    <w:lvl w:ilvl="0" w:tentative="0">
      <w:start w:val="1"/>
      <w:numFmt w:val="decimal"/>
      <w:lvlText w:val="(%1)"/>
      <w:lvlJc w:val="left"/>
      <w:pPr>
        <w:ind w:left="425" w:hanging="425"/>
      </w:pPr>
      <w:rPr>
        <w:rFonts w:hint="default"/>
      </w:rPr>
    </w:lvl>
  </w:abstractNum>
  <w:abstractNum w:abstractNumId="2">
    <w:nsid w:val="1E03E876"/>
    <w:multiLevelType w:val="singleLevel"/>
    <w:tmpl w:val="1E03E876"/>
    <w:lvl w:ilvl="0" w:tentative="0">
      <w:start w:val="1"/>
      <w:numFmt w:val="decimal"/>
      <w:suff w:val="nothing"/>
      <w:lvlText w:val="%1、"/>
      <w:lvlJc w:val="left"/>
    </w:lvl>
  </w:abstractNum>
  <w:abstractNum w:abstractNumId="3">
    <w:nsid w:val="4C873CD4"/>
    <w:multiLevelType w:val="singleLevel"/>
    <w:tmpl w:val="4C873CD4"/>
    <w:lvl w:ilvl="0" w:tentative="0">
      <w:start w:val="1"/>
      <w:numFmt w:val="decimal"/>
      <w:lvlText w:val="(%1)"/>
      <w:lvlJc w:val="left"/>
      <w:pPr>
        <w:ind w:left="425" w:hanging="425"/>
      </w:pPr>
      <w:rPr>
        <w:rFonts w:hint="default"/>
      </w:rPr>
    </w:lvl>
  </w:abstractNum>
  <w:abstractNum w:abstractNumId="4">
    <w:nsid w:val="4D4DC07F"/>
    <w:multiLevelType w:val="multilevel"/>
    <w:tmpl w:val="4D4DC07F"/>
    <w:lvl w:ilvl="0" w:tentative="0">
      <w:start w:val="2"/>
      <w:numFmt w:val="decimal"/>
      <w:lvlText w:val="%1"/>
      <w:lvlJc w:val="left"/>
      <w:pPr>
        <w:ind w:left="600" w:hanging="480"/>
        <w:jc w:val="left"/>
      </w:pPr>
      <w:rPr>
        <w:rFonts w:hint="default"/>
        <w:lang w:val="zh-CN" w:eastAsia="zh-CN" w:bidi="zh-CN"/>
      </w:rPr>
    </w:lvl>
    <w:lvl w:ilvl="1" w:tentative="0">
      <w:start w:val="3"/>
      <w:numFmt w:val="decimal"/>
      <w:lvlText w:val="%1.%2"/>
      <w:lvlJc w:val="left"/>
      <w:pPr>
        <w:ind w:left="600" w:hanging="480"/>
        <w:jc w:val="left"/>
      </w:pPr>
      <w:rPr>
        <w:rFonts w:hint="default" w:ascii="Times New Roman" w:hAnsi="Times New Roman" w:eastAsia="Times New Roman" w:cs="Times New Roman"/>
        <w:b/>
        <w:bCs/>
        <w:w w:val="99"/>
        <w:sz w:val="32"/>
        <w:szCs w:val="32"/>
        <w:lang w:val="zh-CN" w:eastAsia="zh-CN" w:bidi="zh-CN"/>
      </w:rPr>
    </w:lvl>
    <w:lvl w:ilvl="2" w:tentative="0">
      <w:start w:val="1"/>
      <w:numFmt w:val="decimal"/>
      <w:lvlText w:val="%1.%2.%3"/>
      <w:lvlJc w:val="left"/>
      <w:pPr>
        <w:ind w:left="840" w:hanging="720"/>
        <w:jc w:val="left"/>
      </w:pPr>
      <w:rPr>
        <w:rFonts w:hint="default" w:ascii="Times New Roman" w:hAnsi="Times New Roman" w:eastAsia="Times New Roman" w:cs="Times New Roman"/>
        <w:b/>
        <w:bCs/>
        <w:w w:val="99"/>
        <w:sz w:val="32"/>
        <w:szCs w:val="32"/>
        <w:lang w:val="zh-CN" w:eastAsia="zh-CN" w:bidi="zh-CN"/>
      </w:rPr>
    </w:lvl>
    <w:lvl w:ilvl="3" w:tentative="0">
      <w:start w:val="0"/>
      <w:numFmt w:val="bullet"/>
      <w:lvlText w:val="•"/>
      <w:lvlJc w:val="left"/>
      <w:pPr>
        <w:ind w:left="2610" w:hanging="720"/>
      </w:pPr>
      <w:rPr>
        <w:rFonts w:hint="default"/>
        <w:lang w:val="zh-CN" w:eastAsia="zh-CN" w:bidi="zh-CN"/>
      </w:rPr>
    </w:lvl>
    <w:lvl w:ilvl="4" w:tentative="0">
      <w:start w:val="0"/>
      <w:numFmt w:val="bullet"/>
      <w:lvlText w:val="•"/>
      <w:lvlJc w:val="left"/>
      <w:pPr>
        <w:ind w:left="3495" w:hanging="720"/>
      </w:pPr>
      <w:rPr>
        <w:rFonts w:hint="default"/>
        <w:lang w:val="zh-CN" w:eastAsia="zh-CN" w:bidi="zh-CN"/>
      </w:rPr>
    </w:lvl>
    <w:lvl w:ilvl="5" w:tentative="0">
      <w:start w:val="0"/>
      <w:numFmt w:val="bullet"/>
      <w:lvlText w:val="•"/>
      <w:lvlJc w:val="left"/>
      <w:pPr>
        <w:ind w:left="4380" w:hanging="720"/>
      </w:pPr>
      <w:rPr>
        <w:rFonts w:hint="default"/>
        <w:lang w:val="zh-CN" w:eastAsia="zh-CN" w:bidi="zh-CN"/>
      </w:rPr>
    </w:lvl>
    <w:lvl w:ilvl="6" w:tentative="0">
      <w:start w:val="0"/>
      <w:numFmt w:val="bullet"/>
      <w:lvlText w:val="•"/>
      <w:lvlJc w:val="left"/>
      <w:pPr>
        <w:ind w:left="5265" w:hanging="720"/>
      </w:pPr>
      <w:rPr>
        <w:rFonts w:hint="default"/>
        <w:lang w:val="zh-CN" w:eastAsia="zh-CN" w:bidi="zh-CN"/>
      </w:rPr>
    </w:lvl>
    <w:lvl w:ilvl="7" w:tentative="0">
      <w:start w:val="0"/>
      <w:numFmt w:val="bullet"/>
      <w:lvlText w:val="•"/>
      <w:lvlJc w:val="left"/>
      <w:pPr>
        <w:ind w:left="6150" w:hanging="720"/>
      </w:pPr>
      <w:rPr>
        <w:rFonts w:hint="default"/>
        <w:lang w:val="zh-CN" w:eastAsia="zh-CN" w:bidi="zh-CN"/>
      </w:rPr>
    </w:lvl>
    <w:lvl w:ilvl="8" w:tentative="0">
      <w:start w:val="0"/>
      <w:numFmt w:val="bullet"/>
      <w:lvlText w:val="•"/>
      <w:lvlJc w:val="left"/>
      <w:pPr>
        <w:ind w:left="7036" w:hanging="720"/>
      </w:pPr>
      <w:rPr>
        <w:rFonts w:hint="default"/>
        <w:lang w:val="zh-CN" w:eastAsia="zh-CN" w:bidi="zh-CN"/>
      </w:rPr>
    </w:lvl>
  </w:abstractNum>
  <w:abstractNum w:abstractNumId="5">
    <w:nsid w:val="4DB1C744"/>
    <w:multiLevelType w:val="singleLevel"/>
    <w:tmpl w:val="4DB1C744"/>
    <w:lvl w:ilvl="0" w:tentative="0">
      <w:start w:val="1"/>
      <w:numFmt w:val="decimal"/>
      <w:lvlText w:val="(%1)"/>
      <w:lvlJc w:val="left"/>
      <w:pPr>
        <w:tabs>
          <w:tab w:val="left" w:pos="420"/>
        </w:tabs>
        <w:ind w:left="425" w:leftChars="0" w:hanging="425" w:firstLineChars="0"/>
      </w:pPr>
      <w:rPr>
        <w:rFonts w:hint="default"/>
      </w:rPr>
    </w:lvl>
  </w:abstractNum>
  <w:abstractNum w:abstractNumId="6">
    <w:nsid w:val="5EA42A9A"/>
    <w:multiLevelType w:val="singleLevel"/>
    <w:tmpl w:val="5EA42A9A"/>
    <w:lvl w:ilvl="0" w:tentative="0">
      <w:start w:val="1"/>
      <w:numFmt w:val="bullet"/>
      <w:lvlText w:val=""/>
      <w:lvlJc w:val="left"/>
      <w:pPr>
        <w:ind w:left="420" w:hanging="420"/>
      </w:pPr>
      <w:rPr>
        <w:rFonts w:hint="default" w:ascii="Wingdings" w:hAnsi="Wingdings"/>
      </w:rPr>
    </w:lvl>
  </w:abstractNum>
  <w:num w:numId="1">
    <w:abstractNumId w:val="0"/>
  </w:num>
  <w:num w:numId="2">
    <w:abstractNumId w:val="3"/>
  </w:num>
  <w:num w:numId="3">
    <w:abstractNumId w:val="1"/>
  </w:num>
  <w:num w:numId="4">
    <w:abstractNumId w:val="5"/>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RhZWNkMDI1N2FmNTA3MzgyMmI0N2VjYzdjZTFkM2UifQ=="/>
  </w:docVars>
  <w:rsids>
    <w:rsidRoot w:val="189C6B1B"/>
    <w:rsid w:val="00125861"/>
    <w:rsid w:val="017D643C"/>
    <w:rsid w:val="018B2AD6"/>
    <w:rsid w:val="024531F6"/>
    <w:rsid w:val="03805E0B"/>
    <w:rsid w:val="038D3B82"/>
    <w:rsid w:val="0561035F"/>
    <w:rsid w:val="05E27A20"/>
    <w:rsid w:val="06315C29"/>
    <w:rsid w:val="085D7FCA"/>
    <w:rsid w:val="090140E4"/>
    <w:rsid w:val="0A8D6C15"/>
    <w:rsid w:val="0A9B46A5"/>
    <w:rsid w:val="0C13253A"/>
    <w:rsid w:val="0D5D5A7C"/>
    <w:rsid w:val="0E0013EF"/>
    <w:rsid w:val="0E671B3F"/>
    <w:rsid w:val="0E6E63BE"/>
    <w:rsid w:val="0EA601C7"/>
    <w:rsid w:val="0ECF5230"/>
    <w:rsid w:val="0FA81330"/>
    <w:rsid w:val="1067487B"/>
    <w:rsid w:val="10B65D95"/>
    <w:rsid w:val="11231DF7"/>
    <w:rsid w:val="11F004AA"/>
    <w:rsid w:val="12286F69"/>
    <w:rsid w:val="12701F9C"/>
    <w:rsid w:val="130867B2"/>
    <w:rsid w:val="13C75F88"/>
    <w:rsid w:val="13EE7936"/>
    <w:rsid w:val="141A4568"/>
    <w:rsid w:val="14FC3F92"/>
    <w:rsid w:val="16466171"/>
    <w:rsid w:val="1663076D"/>
    <w:rsid w:val="16BD4245"/>
    <w:rsid w:val="16D226C3"/>
    <w:rsid w:val="17337DBE"/>
    <w:rsid w:val="17505217"/>
    <w:rsid w:val="176649A7"/>
    <w:rsid w:val="17FD7B77"/>
    <w:rsid w:val="189C6B1B"/>
    <w:rsid w:val="18D77F17"/>
    <w:rsid w:val="18E664AA"/>
    <w:rsid w:val="194E709A"/>
    <w:rsid w:val="19B463B3"/>
    <w:rsid w:val="1ACC6626"/>
    <w:rsid w:val="1AF00C79"/>
    <w:rsid w:val="1BC36DEE"/>
    <w:rsid w:val="1BF6482F"/>
    <w:rsid w:val="1BFFE158"/>
    <w:rsid w:val="1C4050AC"/>
    <w:rsid w:val="1C9A0C60"/>
    <w:rsid w:val="1E1F26AE"/>
    <w:rsid w:val="1E4E0CF9"/>
    <w:rsid w:val="1FCA6D23"/>
    <w:rsid w:val="20AF3FB2"/>
    <w:rsid w:val="214708CB"/>
    <w:rsid w:val="21E123F5"/>
    <w:rsid w:val="22037A80"/>
    <w:rsid w:val="22251F82"/>
    <w:rsid w:val="227E5BE5"/>
    <w:rsid w:val="228201CD"/>
    <w:rsid w:val="22F01149"/>
    <w:rsid w:val="23674275"/>
    <w:rsid w:val="23C566E8"/>
    <w:rsid w:val="24036694"/>
    <w:rsid w:val="2472415C"/>
    <w:rsid w:val="2477333B"/>
    <w:rsid w:val="2517026E"/>
    <w:rsid w:val="28647078"/>
    <w:rsid w:val="2971391F"/>
    <w:rsid w:val="299739A5"/>
    <w:rsid w:val="2A7D095F"/>
    <w:rsid w:val="2AD43713"/>
    <w:rsid w:val="2B151CEE"/>
    <w:rsid w:val="2BE30621"/>
    <w:rsid w:val="2BF65788"/>
    <w:rsid w:val="2C017B82"/>
    <w:rsid w:val="2CDC2BCF"/>
    <w:rsid w:val="2D304CA8"/>
    <w:rsid w:val="2D811081"/>
    <w:rsid w:val="2DE40020"/>
    <w:rsid w:val="2E507EEE"/>
    <w:rsid w:val="2F340AA1"/>
    <w:rsid w:val="2F692A2F"/>
    <w:rsid w:val="2FB502E7"/>
    <w:rsid w:val="301427AE"/>
    <w:rsid w:val="30E559A9"/>
    <w:rsid w:val="312D1791"/>
    <w:rsid w:val="31B528B5"/>
    <w:rsid w:val="31FC517A"/>
    <w:rsid w:val="326F3B9E"/>
    <w:rsid w:val="32A0644D"/>
    <w:rsid w:val="32E00270"/>
    <w:rsid w:val="34C350DA"/>
    <w:rsid w:val="36222B5F"/>
    <w:rsid w:val="367C2ED9"/>
    <w:rsid w:val="375A6BCB"/>
    <w:rsid w:val="37FE1092"/>
    <w:rsid w:val="3BBC086C"/>
    <w:rsid w:val="3C493FD1"/>
    <w:rsid w:val="3DB8021C"/>
    <w:rsid w:val="3E56656C"/>
    <w:rsid w:val="3ECD0001"/>
    <w:rsid w:val="3F164273"/>
    <w:rsid w:val="40196950"/>
    <w:rsid w:val="40CE51FC"/>
    <w:rsid w:val="40E7223D"/>
    <w:rsid w:val="423778D9"/>
    <w:rsid w:val="429F43BF"/>
    <w:rsid w:val="43942E5F"/>
    <w:rsid w:val="445A46AE"/>
    <w:rsid w:val="45D5261B"/>
    <w:rsid w:val="474C4BC1"/>
    <w:rsid w:val="47D53FC4"/>
    <w:rsid w:val="494B3500"/>
    <w:rsid w:val="497A07D0"/>
    <w:rsid w:val="4A62250E"/>
    <w:rsid w:val="4AC242B2"/>
    <w:rsid w:val="4CC2120F"/>
    <w:rsid w:val="4D265A75"/>
    <w:rsid w:val="4E8D7519"/>
    <w:rsid w:val="4EE03A01"/>
    <w:rsid w:val="4F021B3A"/>
    <w:rsid w:val="50070AB8"/>
    <w:rsid w:val="50591CBD"/>
    <w:rsid w:val="513444D8"/>
    <w:rsid w:val="51844B18"/>
    <w:rsid w:val="51AC22C1"/>
    <w:rsid w:val="521C2DE3"/>
    <w:rsid w:val="5242126B"/>
    <w:rsid w:val="52FE2D05"/>
    <w:rsid w:val="533B3622"/>
    <w:rsid w:val="538F18DC"/>
    <w:rsid w:val="53E3170E"/>
    <w:rsid w:val="54324CFF"/>
    <w:rsid w:val="543B1DE8"/>
    <w:rsid w:val="564B76FD"/>
    <w:rsid w:val="571C4D78"/>
    <w:rsid w:val="5ABE39E1"/>
    <w:rsid w:val="5BD000C8"/>
    <w:rsid w:val="5BF790AB"/>
    <w:rsid w:val="5C976E23"/>
    <w:rsid w:val="5CC22998"/>
    <w:rsid w:val="5D543F38"/>
    <w:rsid w:val="5D7F7F8B"/>
    <w:rsid w:val="5E341674"/>
    <w:rsid w:val="5EC73BB2"/>
    <w:rsid w:val="60702992"/>
    <w:rsid w:val="608B5141"/>
    <w:rsid w:val="61A018B2"/>
    <w:rsid w:val="61D9058B"/>
    <w:rsid w:val="621A609D"/>
    <w:rsid w:val="62856076"/>
    <w:rsid w:val="62A414BE"/>
    <w:rsid w:val="65231ACE"/>
    <w:rsid w:val="65242442"/>
    <w:rsid w:val="66106E6A"/>
    <w:rsid w:val="66A035BB"/>
    <w:rsid w:val="66F648E0"/>
    <w:rsid w:val="67B16CA2"/>
    <w:rsid w:val="6821710D"/>
    <w:rsid w:val="684A208A"/>
    <w:rsid w:val="6B075D4D"/>
    <w:rsid w:val="6BD218D9"/>
    <w:rsid w:val="6CA6192F"/>
    <w:rsid w:val="6D8C07DC"/>
    <w:rsid w:val="6DC86E80"/>
    <w:rsid w:val="6E683676"/>
    <w:rsid w:val="6E736F62"/>
    <w:rsid w:val="6E8C2E06"/>
    <w:rsid w:val="6EBD6003"/>
    <w:rsid w:val="6EF7C250"/>
    <w:rsid w:val="6F3D4875"/>
    <w:rsid w:val="6FEF518E"/>
    <w:rsid w:val="6FFE7A2C"/>
    <w:rsid w:val="700A66D9"/>
    <w:rsid w:val="7089584F"/>
    <w:rsid w:val="70A24B63"/>
    <w:rsid w:val="71313959"/>
    <w:rsid w:val="71FFEC1F"/>
    <w:rsid w:val="72BA7304"/>
    <w:rsid w:val="740C6EC3"/>
    <w:rsid w:val="741C252D"/>
    <w:rsid w:val="74825D54"/>
    <w:rsid w:val="755D6FCF"/>
    <w:rsid w:val="756B8055"/>
    <w:rsid w:val="75D0248F"/>
    <w:rsid w:val="75D5070E"/>
    <w:rsid w:val="76C2226A"/>
    <w:rsid w:val="76CD7648"/>
    <w:rsid w:val="76EC23AD"/>
    <w:rsid w:val="772B58B2"/>
    <w:rsid w:val="77B07B65"/>
    <w:rsid w:val="781C344D"/>
    <w:rsid w:val="78342545"/>
    <w:rsid w:val="788E7000"/>
    <w:rsid w:val="78C30900"/>
    <w:rsid w:val="78CA6509"/>
    <w:rsid w:val="797B3447"/>
    <w:rsid w:val="7BEF11EC"/>
    <w:rsid w:val="7E09316B"/>
    <w:rsid w:val="7E556EA0"/>
    <w:rsid w:val="7E622E1B"/>
    <w:rsid w:val="7EAC7E41"/>
    <w:rsid w:val="7FBB3D64"/>
    <w:rsid w:val="7FF61E29"/>
    <w:rsid w:val="FBC7D24F"/>
    <w:rsid w:val="FDFF32EE"/>
    <w:rsid w:val="FE6123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name="toc 1"/>
    <w:lsdException w:qFormat="1" w:unhideWhenUsed="0" w:uiPriority="99"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9"/>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link w:val="28"/>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link w:val="27"/>
    <w:unhideWhenUsed/>
    <w:qFormat/>
    <w:uiPriority w:val="0"/>
    <w:pPr>
      <w:keepNext/>
      <w:keepLines/>
      <w:spacing w:before="260" w:beforeLines="0" w:beforeAutospacing="0" w:after="260" w:afterLines="0" w:afterAutospacing="0" w:line="413" w:lineRule="auto"/>
      <w:outlineLvl w:val="2"/>
    </w:pPr>
    <w:rPr>
      <w:b/>
      <w:sz w:val="32"/>
    </w:rPr>
  </w:style>
  <w:style w:type="paragraph" w:styleId="7">
    <w:name w:val="heading 4"/>
    <w:basedOn w:val="1"/>
    <w:next w:val="1"/>
    <w:qFormat/>
    <w:uiPriority w:val="99"/>
    <w:pPr>
      <w:keepNext/>
      <w:keepLines/>
      <w:adjustRightInd w:val="0"/>
      <w:snapToGrid w:val="0"/>
      <w:spacing w:beforeLines="50"/>
      <w:ind w:firstLine="0" w:firstLineChars="0"/>
      <w:jc w:val="center"/>
      <w:outlineLvl w:val="3"/>
    </w:pPr>
    <w:rPr>
      <w:b/>
      <w:bCs/>
      <w:sz w:val="24"/>
      <w:szCs w:val="24"/>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D Y 1+ ZID Hj I" w:hAnsi="Times New Roman" w:eastAsia="D Y 1+ ZID Hj I" w:cs="D Y 1+ ZID Hj I"/>
      <w:color w:val="000000"/>
      <w:sz w:val="24"/>
      <w:szCs w:val="24"/>
      <w:lang w:val="en-US" w:eastAsia="zh-CN" w:bidi="ar-SA"/>
    </w:rPr>
  </w:style>
  <w:style w:type="paragraph" w:customStyle="1" w:styleId="3">
    <w:name w:val="1正文段落"/>
    <w:basedOn w:val="1"/>
    <w:qFormat/>
    <w:uiPriority w:val="0"/>
    <w:pPr>
      <w:jc w:val="center"/>
    </w:pPr>
    <w:rPr>
      <w:szCs w:val="21"/>
    </w:rPr>
  </w:style>
  <w:style w:type="paragraph" w:styleId="8">
    <w:name w:val="annotation text"/>
    <w:basedOn w:val="1"/>
    <w:qFormat/>
    <w:uiPriority w:val="0"/>
    <w:pPr>
      <w:jc w:val="left"/>
    </w:pPr>
  </w:style>
  <w:style w:type="paragraph" w:styleId="9">
    <w:name w:val="Body Text"/>
    <w:basedOn w:val="1"/>
    <w:next w:val="10"/>
    <w:qFormat/>
    <w:uiPriority w:val="1"/>
    <w:pPr>
      <w:ind w:left="120"/>
    </w:pPr>
    <w:rPr>
      <w:rFonts w:ascii="宋体" w:hAnsi="宋体" w:eastAsia="宋体" w:cs="宋体"/>
      <w:sz w:val="28"/>
      <w:szCs w:val="28"/>
      <w:lang w:val="zh-CN" w:eastAsia="zh-CN" w:bidi="zh-CN"/>
    </w:rPr>
  </w:style>
  <w:style w:type="paragraph" w:customStyle="1" w:styleId="10">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宋体" w:hAnsi="宋体"/>
      <w:kern w:val="0"/>
      <w:sz w:val="20"/>
    </w:rPr>
  </w:style>
  <w:style w:type="paragraph" w:styleId="11">
    <w:name w:val="Body Text Indent"/>
    <w:basedOn w:val="1"/>
    <w:next w:val="12"/>
    <w:qFormat/>
    <w:uiPriority w:val="0"/>
    <w:pPr>
      <w:spacing w:after="120" w:afterLines="0" w:afterAutospacing="0"/>
      <w:ind w:left="420" w:leftChars="200"/>
    </w:pPr>
  </w:style>
  <w:style w:type="paragraph" w:styleId="12">
    <w:name w:val="Body Text Indent 2"/>
    <w:basedOn w:val="1"/>
    <w:next w:val="13"/>
    <w:qFormat/>
    <w:uiPriority w:val="0"/>
    <w:pPr>
      <w:spacing w:after="120" w:line="480" w:lineRule="auto"/>
      <w:ind w:left="420" w:leftChars="200" w:firstLine="0" w:firstLineChars="0"/>
    </w:pPr>
    <w:rPr>
      <w:sz w:val="21"/>
    </w:rPr>
  </w:style>
  <w:style w:type="paragraph" w:styleId="13">
    <w:name w:val="Body Text First Indent 2"/>
    <w:basedOn w:val="11"/>
    <w:next w:val="1"/>
    <w:qFormat/>
    <w:uiPriority w:val="0"/>
    <w:pPr>
      <w:ind w:firstLine="420" w:firstLineChars="200"/>
    </w:pPr>
  </w:style>
  <w:style w:type="paragraph" w:styleId="14">
    <w:name w:val="toc 3"/>
    <w:basedOn w:val="1"/>
    <w:next w:val="1"/>
    <w:qFormat/>
    <w:uiPriority w:val="0"/>
    <w:pPr>
      <w:ind w:left="840" w:leftChars="400"/>
    </w:pPr>
  </w:style>
  <w:style w:type="paragraph" w:styleId="15">
    <w:name w:val="footer"/>
    <w:basedOn w:val="1"/>
    <w:qFormat/>
    <w:uiPriority w:val="99"/>
    <w:pPr>
      <w:tabs>
        <w:tab w:val="center" w:pos="4153"/>
        <w:tab w:val="right" w:pos="8306"/>
      </w:tabs>
      <w:snapToGrid w:val="0"/>
      <w:jc w:val="left"/>
    </w:pPr>
    <w:rPr>
      <w:sz w:val="18"/>
      <w:szCs w:val="18"/>
    </w:rPr>
  </w:style>
  <w:style w:type="paragraph" w:styleId="1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semiHidden/>
    <w:qFormat/>
    <w:uiPriority w:val="99"/>
    <w:pPr>
      <w:tabs>
        <w:tab w:val="right" w:leader="dot" w:pos="8296"/>
      </w:tabs>
      <w:ind w:firstLine="560"/>
    </w:pPr>
  </w:style>
  <w:style w:type="paragraph" w:styleId="18">
    <w:name w:val="toc 2"/>
    <w:basedOn w:val="1"/>
    <w:next w:val="1"/>
    <w:semiHidden/>
    <w:qFormat/>
    <w:uiPriority w:val="99"/>
    <w:pPr>
      <w:ind w:left="420" w:leftChars="200"/>
    </w:p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Emphasis"/>
    <w:basedOn w:val="22"/>
    <w:qFormat/>
    <w:uiPriority w:val="0"/>
    <w:rPr>
      <w:i/>
    </w:rPr>
  </w:style>
  <w:style w:type="character" w:styleId="24">
    <w:name w:val="Hyperlink"/>
    <w:basedOn w:val="22"/>
    <w:qFormat/>
    <w:uiPriority w:val="0"/>
    <w:rPr>
      <w:color w:val="0000FF"/>
      <w:u w:val="single"/>
    </w:rPr>
  </w:style>
  <w:style w:type="paragraph" w:customStyle="1" w:styleId="25">
    <w:name w:val="Table Paragraph"/>
    <w:basedOn w:val="1"/>
    <w:qFormat/>
    <w:uiPriority w:val="1"/>
    <w:pPr>
      <w:spacing w:before="36"/>
      <w:jc w:val="center"/>
    </w:pPr>
    <w:rPr>
      <w:rFonts w:ascii="Times New Roman" w:hAnsi="Times New Roman" w:eastAsia="Times New Roman" w:cs="Times New Roman"/>
      <w:lang w:val="zh-CN" w:eastAsia="zh-CN" w:bidi="zh-CN"/>
    </w:rPr>
  </w:style>
  <w:style w:type="paragraph" w:styleId="26">
    <w:name w:val="List Paragraph"/>
    <w:basedOn w:val="1"/>
    <w:qFormat/>
    <w:uiPriority w:val="1"/>
    <w:pPr>
      <w:ind w:left="1383" w:hanging="705"/>
    </w:pPr>
    <w:rPr>
      <w:rFonts w:ascii="宋体" w:hAnsi="宋体" w:eastAsia="宋体" w:cs="宋体"/>
      <w:lang w:val="zh-CN" w:eastAsia="zh-CN" w:bidi="zh-CN"/>
    </w:rPr>
  </w:style>
  <w:style w:type="character" w:customStyle="1" w:styleId="27">
    <w:name w:val="标题 3 Char"/>
    <w:link w:val="6"/>
    <w:qFormat/>
    <w:uiPriority w:val="0"/>
    <w:rPr>
      <w:b/>
      <w:sz w:val="32"/>
    </w:rPr>
  </w:style>
  <w:style w:type="character" w:customStyle="1" w:styleId="28">
    <w:name w:val="标题 2 Char"/>
    <w:link w:val="5"/>
    <w:qFormat/>
    <w:uiPriority w:val="0"/>
    <w:rPr>
      <w:rFonts w:ascii="Arial" w:hAnsi="Arial" w:eastAsia="黑体"/>
      <w:b/>
      <w:sz w:val="32"/>
    </w:rPr>
  </w:style>
  <w:style w:type="character" w:customStyle="1" w:styleId="29">
    <w:name w:val="标题 1 Char"/>
    <w:link w:val="4"/>
    <w:qFormat/>
    <w:uiPriority w:val="0"/>
    <w:rPr>
      <w:b/>
      <w:kern w:val="44"/>
      <w:sz w:val="44"/>
    </w:rPr>
  </w:style>
  <w:style w:type="paragraph" w:customStyle="1" w:styleId="30">
    <w:name w:val="表格文字2"/>
    <w:basedOn w:val="1"/>
    <w:qFormat/>
    <w:uiPriority w:val="0"/>
    <w:pPr>
      <w:widowControl w:val="0"/>
      <w:adjustRightInd w:val="0"/>
      <w:spacing w:before="60" w:line="240" w:lineRule="auto"/>
      <w:jc w:val="center"/>
      <w:textAlignment w:val="baseline"/>
    </w:pPr>
    <w:rPr>
      <w:rFonts w:eastAsia="楷体" w:cs="宋体"/>
      <w:sz w:val="21"/>
      <w:szCs w:val="21"/>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WPSOffice手动目录 2"/>
    <w:qFormat/>
    <w:uiPriority w:val="0"/>
    <w:pPr>
      <w:ind w:leftChars="200"/>
    </w:pPr>
    <w:rPr>
      <w:rFonts w:ascii="Times New Roman" w:hAnsi="Times New Roman" w:eastAsia="宋体" w:cs="Times New Roman"/>
      <w:sz w:val="20"/>
      <w:szCs w:val="20"/>
    </w:rPr>
  </w:style>
  <w:style w:type="paragraph" w:customStyle="1" w:styleId="33">
    <w:name w:val="WPSOffice手动目录 3"/>
    <w:qFormat/>
    <w:uiPriority w:val="0"/>
    <w:pPr>
      <w:ind w:leftChars="400"/>
    </w:pPr>
    <w:rPr>
      <w:rFonts w:ascii="Times New Roman" w:hAnsi="Times New Roman" w:eastAsia="宋体" w:cs="Times New Roman"/>
      <w:sz w:val="20"/>
      <w:szCs w:val="20"/>
    </w:rPr>
  </w:style>
  <w:style w:type="paragraph" w:styleId="34">
    <w:name w:val="No Spacing"/>
    <w:qFormat/>
    <w:uiPriority w:val="99"/>
    <w:rPr>
      <w:rFonts w:ascii="宋体" w:hAnsi="宋体" w:eastAsia="宋体" w:cs="宋体"/>
      <w:kern w:val="0"/>
      <w:sz w:val="24"/>
      <w:szCs w:val="24"/>
      <w:lang w:val="en-US" w:eastAsia="zh-CN" w:bidi="ar-SA"/>
    </w:rPr>
  </w:style>
  <w:style w:type="table" w:customStyle="1" w:styleId="35">
    <w:name w:val="Table Normal"/>
    <w:semiHidden/>
    <w:unhideWhenUsed/>
    <w:qFormat/>
    <w:uiPriority w:val="0"/>
    <w:tblPr>
      <w:tblCellMar>
        <w:top w:w="0" w:type="dxa"/>
        <w:left w:w="0" w:type="dxa"/>
        <w:bottom w:w="0" w:type="dxa"/>
        <w:right w:w="0" w:type="dxa"/>
      </w:tblCellMar>
    </w:tblPr>
  </w:style>
  <w:style w:type="character" w:customStyle="1" w:styleId="36">
    <w:name w:val="font31"/>
    <w:basedOn w:val="22"/>
    <w:qFormat/>
    <w:uiPriority w:val="0"/>
    <w:rPr>
      <w:rFonts w:hint="eastAsia" w:ascii="微软雅黑" w:hAnsi="微软雅黑" w:eastAsia="微软雅黑" w:cs="微软雅黑"/>
      <w:b/>
      <w:bCs/>
      <w:color w:val="000000"/>
      <w:sz w:val="28"/>
      <w:szCs w:val="28"/>
      <w:u w:val="none"/>
    </w:rPr>
  </w:style>
  <w:style w:type="character" w:customStyle="1" w:styleId="37">
    <w:name w:val="font51"/>
    <w:basedOn w:val="22"/>
    <w:qFormat/>
    <w:uiPriority w:val="0"/>
    <w:rPr>
      <w:rFonts w:hint="default" w:ascii="Times New Roman" w:hAnsi="Times New Roman" w:cs="Times New Roman"/>
      <w:b/>
      <w:bCs/>
      <w:color w:val="000000"/>
      <w:sz w:val="28"/>
      <w:szCs w:val="28"/>
      <w:u w:val="none"/>
    </w:rPr>
  </w:style>
  <w:style w:type="character" w:customStyle="1" w:styleId="38">
    <w:name w:val="font41"/>
    <w:basedOn w:val="22"/>
    <w:qFormat/>
    <w:uiPriority w:val="0"/>
    <w:rPr>
      <w:rFonts w:ascii="Arial" w:hAnsi="Arial" w:cs="Arial"/>
      <w:b/>
      <w:bCs/>
      <w:color w:val="000000"/>
      <w:sz w:val="28"/>
      <w:szCs w:val="28"/>
      <w:u w:val="none"/>
    </w:rPr>
  </w:style>
  <w:style w:type="character" w:customStyle="1" w:styleId="39">
    <w:name w:val="font71"/>
    <w:basedOn w:val="22"/>
    <w:qFormat/>
    <w:uiPriority w:val="0"/>
    <w:rPr>
      <w:rFonts w:hint="eastAsia" w:ascii="宋体" w:hAnsi="宋体" w:eastAsia="宋体" w:cs="宋体"/>
      <w:b/>
      <w:bCs/>
      <w:color w:val="000000"/>
      <w:sz w:val="28"/>
      <w:szCs w:val="28"/>
      <w:u w:val="none"/>
    </w:rPr>
  </w:style>
  <w:style w:type="character" w:customStyle="1" w:styleId="40">
    <w:name w:val="font11"/>
    <w:basedOn w:val="22"/>
    <w:qFormat/>
    <w:uiPriority w:val="0"/>
    <w:rPr>
      <w:rFonts w:hint="eastAsia" w:ascii="宋体" w:hAnsi="宋体" w:eastAsia="宋体" w:cs="宋体"/>
      <w:color w:val="000000"/>
      <w:sz w:val="18"/>
      <w:szCs w:val="18"/>
      <w:u w:val="none"/>
    </w:rPr>
  </w:style>
  <w:style w:type="character" w:customStyle="1" w:styleId="41">
    <w:name w:val="font21"/>
    <w:basedOn w:val="22"/>
    <w:qFormat/>
    <w:uiPriority w:val="0"/>
    <w:rPr>
      <w:rFonts w:hint="eastAsia" w:ascii="宋体" w:hAnsi="宋体" w:eastAsia="宋体" w:cs="宋体"/>
      <w:color w:val="000000"/>
      <w:sz w:val="20"/>
      <w:szCs w:val="20"/>
      <w:u w:val="none"/>
    </w:rPr>
  </w:style>
  <w:style w:type="character" w:customStyle="1" w:styleId="42">
    <w:name w:val="font61"/>
    <w:basedOn w:val="2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tiff"/><Relationship Id="rId13" Type="http://schemas.openxmlformats.org/officeDocument/2006/relationships/image" Target="media/image6.emf"/><Relationship Id="rId12" Type="http://schemas.openxmlformats.org/officeDocument/2006/relationships/image" Target="media/image5.emf"/><Relationship Id="rId11" Type="http://schemas.openxmlformats.org/officeDocument/2006/relationships/image" Target="media/image4.emf"/><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97</Pages>
  <Words>48450</Words>
  <Characters>61393</Characters>
  <Lines>0</Lines>
  <Paragraphs>0</Paragraphs>
  <TotalTime>7</TotalTime>
  <ScaleCrop>false</ScaleCrop>
  <LinksUpToDate>false</LinksUpToDate>
  <CharactersWithSpaces>63220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2022-06-30T09:18:00Z</dcterms:created>
  <dc:creator>WPS_1656465795</dc:creator>
  <cp:lastModifiedBy>Administrator</cp:lastModifiedBy>
  <cp:lastPrinted>2022-08-16T13:38:00Z</cp:lastPrinted>
  <dcterms:modified xsi:type="dcterms:W3CDTF">2022-12-19T03:29:30Z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3B62CF0FA6AE4C8F8E93ADED31518896</vt:lpwstr>
  </property>
</Properties>
</file>