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ED25B9A">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黑体" w:cs="黑体" w:eastAsia="黑体" w:hAnsi="黑体" w:hint="eastAsia"/>
          <w:b w:val="false"/>
          <w:bCs/>
          <w:color w:val="auto"/>
          <w:sz w:val="32"/>
          <w:szCs w:val="32"/>
          <w:lang w:val="en-US" w:eastAsia="zh-CN"/>
        </w:rPr>
      </w:pPr>
    </w:p>
    <w:p w14:paraId="6D75F028">
      <w:pPr>
        <w:pStyle w:val="style94"/>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wordWrap/>
        <w:spacing w:before="0" w:beforeAutospacing="false" w:after="0" w:afterAutospacing="false" w:lineRule="atLeast" w:line="560"/>
        <w:ind w:left="0" w:right="0" w:firstLine="0"/>
        <w:jc w:val="both"/>
        <w:rPr>
          <w:rFonts w:ascii="Times New Roman" w:cs="Times New Roman" w:hAnsi="Times New Roman" w:hint="default"/>
          <w:i w:val="false"/>
          <w:iCs w:val="false"/>
          <w:caps w:val="false"/>
          <w:color w:val="333333"/>
          <w:spacing w:val="0"/>
          <w:sz w:val="21"/>
          <w:szCs w:val="21"/>
        </w:rPr>
      </w:pPr>
    </w:p>
    <w:p w14:paraId="4C86CBCD">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黑体" w:cs="黑体" w:eastAsia="黑体" w:hAnsi="黑体" w:hint="eastAsia"/>
          <w:b w:val="false"/>
          <w:bCs/>
          <w:color w:val="auto"/>
          <w:sz w:val="32"/>
          <w:szCs w:val="32"/>
          <w:lang w:val="en-US" w:eastAsia="zh-CN"/>
        </w:rPr>
      </w:pPr>
    </w:p>
    <w:p w14:paraId="17CE9E08">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黑体" w:cs="黑体" w:eastAsia="黑体" w:hAnsi="黑体" w:hint="eastAsia"/>
          <w:b w:val="false"/>
          <w:bCs/>
          <w:color w:val="auto"/>
          <w:sz w:val="32"/>
          <w:szCs w:val="32"/>
          <w:lang w:val="en-US" w:eastAsia="zh-CN"/>
        </w:rPr>
      </w:pPr>
      <w:r>
        <w:rPr>
          <w:rFonts w:ascii="黑体" w:cs="黑体" w:eastAsia="黑体" w:hAnsi="黑体" w:hint="eastAsia"/>
          <w:b w:val="false"/>
          <w:bCs/>
          <w:color w:val="auto"/>
          <w:sz w:val="32"/>
          <w:szCs w:val="32"/>
          <w:lang w:val="en-US" w:eastAsia="zh-CN"/>
        </w:rPr>
        <w:t>一、背景依据</w:t>
      </w:r>
    </w:p>
    <w:p w14:paraId="1F1FB941">
      <w:pPr>
        <w:pStyle w:val="style0"/>
        <w:keepNext w:val="false"/>
        <w:keepLines w:val="false"/>
        <w:pageBreakBefore w:val="false"/>
        <w:kinsoku/>
        <w:wordWrap/>
        <w:overflowPunct/>
        <w:topLinePunct w:val="false"/>
        <w:autoSpaceDE/>
        <w:autoSpaceDN/>
        <w:bidi w:val="false"/>
        <w:spacing w:lineRule="exact" w:line="560"/>
        <w:ind w:firstLine="627" w:firstLineChars="196"/>
        <w:rPr>
          <w:rFonts w:ascii="仿宋_GB2312" w:eastAsia="仿宋_GB2312" w:hint="eastAsia"/>
          <w:color w:val="auto"/>
          <w:sz w:val="32"/>
          <w:szCs w:val="32"/>
        </w:rPr>
      </w:pPr>
      <w:r>
        <w:rPr>
          <w:rFonts w:ascii="仿宋_GB2312" w:eastAsia="仿宋_GB2312" w:hint="eastAsia"/>
          <w:color w:val="auto"/>
          <w:sz w:val="32"/>
          <w:szCs w:val="32"/>
          <w:lang w:val="en-US" w:eastAsia="zh-CN"/>
        </w:rPr>
        <w:t>按照</w:t>
      </w:r>
      <w:r>
        <w:rPr>
          <w:rFonts w:ascii="仿宋_GB2312" w:eastAsia="仿宋_GB2312" w:hint="eastAsia"/>
          <w:color w:val="auto"/>
          <w:sz w:val="32"/>
          <w:szCs w:val="32"/>
        </w:rPr>
        <w:t>《中华人民共和国固体废物污染环境防治法》规定，县级以上地方人民政府应当制定源头减量、分类处理、消纳设施和场所布局及建设等在内的建筑垃圾污染环境防治工作规划，</w:t>
      </w:r>
      <w:r>
        <w:rPr>
          <w:rFonts w:ascii="仿宋_GB2312" w:eastAsia="仿宋_GB2312" w:hint="eastAsia"/>
          <w:color w:val="auto"/>
          <w:sz w:val="32"/>
          <w:szCs w:val="32"/>
          <w:lang w:val="en-US" w:eastAsia="zh-CN"/>
        </w:rPr>
        <w:t>为</w:t>
      </w:r>
      <w:r>
        <w:rPr>
          <w:rFonts w:ascii="仿宋_GB2312" w:eastAsia="仿宋_GB2312" w:hint="eastAsia"/>
          <w:color w:val="auto"/>
          <w:sz w:val="32"/>
          <w:szCs w:val="32"/>
        </w:rPr>
        <w:t>加强</w:t>
      </w:r>
      <w:r>
        <w:rPr>
          <w:rFonts w:ascii="仿宋_GB2312" w:eastAsia="仿宋_GB2312" w:hint="eastAsia"/>
          <w:color w:val="auto"/>
          <w:sz w:val="32"/>
          <w:szCs w:val="32"/>
          <w:lang w:val="en-US" w:eastAsia="zh-CN"/>
        </w:rPr>
        <w:t>固镇县建筑垃圾</w:t>
      </w:r>
      <w:r>
        <w:rPr>
          <w:rFonts w:ascii="仿宋_GB2312" w:eastAsia="仿宋_GB2312" w:hint="eastAsia"/>
          <w:color w:val="auto"/>
          <w:sz w:val="32"/>
          <w:szCs w:val="32"/>
          <w:lang w:eastAsia="zh-CN"/>
        </w:rPr>
        <w:t>消纳设施和场所布局</w:t>
      </w:r>
      <w:r>
        <w:rPr>
          <w:rFonts w:ascii="仿宋_GB2312" w:eastAsia="仿宋_GB2312" w:hint="eastAsia"/>
          <w:color w:val="auto"/>
          <w:sz w:val="32"/>
          <w:szCs w:val="32"/>
        </w:rPr>
        <w:t>，提升建筑垃圾处理水平，实现建筑垃圾资源化利用，特编制《</w:t>
      </w:r>
      <w:r>
        <w:rPr>
          <w:rFonts w:ascii="仿宋_GB2312" w:eastAsia="仿宋_GB2312" w:hint="eastAsia"/>
          <w:color w:val="auto"/>
          <w:sz w:val="32"/>
          <w:szCs w:val="32"/>
          <w:lang w:val="en-US" w:eastAsia="zh-CN"/>
        </w:rPr>
        <w:t>固镇县</w:t>
      </w:r>
      <w:r>
        <w:rPr>
          <w:rFonts w:ascii="仿宋_GB2312" w:eastAsia="仿宋_GB2312" w:hint="eastAsia"/>
          <w:color w:val="auto"/>
          <w:sz w:val="32"/>
          <w:szCs w:val="32"/>
        </w:rPr>
        <w:t>建筑垃圾污染环境防治工作规划（2024-2035年）》。</w:t>
      </w:r>
    </w:p>
    <w:p w14:paraId="74489022">
      <w:pPr>
        <w:pStyle w:val="style0"/>
        <w:keepNext w:val="false"/>
        <w:keepLines w:val="false"/>
        <w:pageBreakBefore w:val="false"/>
        <w:kinsoku/>
        <w:wordWrap/>
        <w:overflowPunct/>
        <w:topLinePunct w:val="false"/>
        <w:autoSpaceDE/>
        <w:autoSpaceDN/>
        <w:bidi w:val="false"/>
        <w:spacing w:lineRule="exact" w:line="560"/>
        <w:ind w:firstLine="627" w:firstLineChars="196"/>
        <w:rPr>
          <w:rFonts w:ascii="仿宋_GB2312" w:cs="Times New Roman" w:eastAsia="仿宋_GB2312" w:hAnsi="Times New Roman" w:hint="eastAsia"/>
          <w:color w:val="auto"/>
          <w:sz w:val="32"/>
          <w:szCs w:val="32"/>
          <w:highlight w:val="none"/>
          <w:lang w:val="en-US" w:eastAsia="zh-CN"/>
        </w:rPr>
      </w:pPr>
      <w:r>
        <w:rPr>
          <w:rFonts w:ascii="仿宋_GB2312" w:cs="Times New Roman" w:eastAsia="仿宋_GB2312" w:hAnsi="Times New Roman" w:hint="eastAsia"/>
          <w:color w:val="auto"/>
          <w:sz w:val="32"/>
          <w:szCs w:val="32"/>
          <w:highlight w:val="none"/>
          <w:lang w:val="en-US" w:eastAsia="zh-CN"/>
        </w:rPr>
        <w:t>本规划已通过专家评审会。编制单位与县城管局征求了县发改委、县住建局、县公安局、县规划局、县生态环境分局、县交通局、县水利局、县农业农村局等单位意见，并按照要求修改完善。</w:t>
      </w:r>
    </w:p>
    <w:p w14:paraId="5A6BC3B4">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黑体" w:cs="黑体" w:eastAsia="黑体" w:hAnsi="黑体" w:hint="eastAsia"/>
          <w:b w:val="false"/>
          <w:bCs/>
          <w:color w:val="auto"/>
          <w:sz w:val="32"/>
          <w:szCs w:val="32"/>
          <w:lang w:val="en-US" w:eastAsia="zh-CN"/>
        </w:rPr>
      </w:pPr>
      <w:r>
        <w:rPr>
          <w:rFonts w:ascii="黑体" w:cs="黑体" w:eastAsia="黑体" w:hAnsi="黑体" w:hint="eastAsia"/>
          <w:b w:val="false"/>
          <w:bCs/>
          <w:color w:val="auto"/>
          <w:sz w:val="32"/>
          <w:szCs w:val="32"/>
          <w:lang w:val="en-US" w:eastAsia="zh-CN"/>
        </w:rPr>
        <w:t>二、起草过程</w:t>
      </w:r>
    </w:p>
    <w:p w14:paraId="6CD056AA">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仿宋_GB2312" w:cs="Times New Roman" w:eastAsia="仿宋_GB2312" w:hAnsi="Times New Roman" w:hint="eastAsia"/>
          <w:color w:val="auto"/>
          <w:kern w:val="2"/>
          <w:sz w:val="32"/>
          <w:szCs w:val="32"/>
          <w:highlight w:val="none"/>
          <w:lang w:val="en-US" w:bidi="ar-SA" w:eastAsia="zh-CN"/>
        </w:rPr>
      </w:pPr>
      <w:r>
        <w:rPr>
          <w:rFonts w:ascii="仿宋_GB2312" w:cs="Times New Roman" w:eastAsia="仿宋_GB2312" w:hAnsi="Times New Roman" w:hint="eastAsia"/>
          <w:color w:val="auto"/>
          <w:kern w:val="2"/>
          <w:sz w:val="32"/>
          <w:szCs w:val="32"/>
          <w:highlight w:val="none"/>
          <w:lang w:val="en-US" w:bidi="ar-SA" w:eastAsia="zh-CN"/>
        </w:rPr>
        <w:t>根据《安徽省实施〈中华人民共和国固体废物污染环境防治法〉办法》、《安徽省建筑垃圾管理专项整治行动方案》（建督函〔2024〕185号）有关工作要求，结合我县实际，固镇县城市管理局牵头开展《固镇县建筑垃圾污染环境防治工作规划（2024-2035年）》项目编制，并于</w:t>
      </w:r>
      <w:r>
        <w:rPr>
          <w:rFonts w:ascii="仿宋_GB2312" w:cs="Times New Roman" w:eastAsia="仿宋_GB2312" w:hAnsi="Times New Roman" w:hint="default"/>
          <w:color w:val="auto"/>
          <w:kern w:val="2"/>
          <w:sz w:val="32"/>
          <w:szCs w:val="32"/>
          <w:highlight w:val="none"/>
          <w:lang w:val="en-US" w:bidi="ar-SA" w:eastAsia="zh-CN"/>
        </w:rPr>
        <w:t>2025</w:t>
      </w:r>
      <w:r>
        <w:rPr>
          <w:rFonts w:ascii="仿宋_GB2312" w:cs="Times New Roman" w:eastAsia="仿宋_GB2312" w:hAnsi="Times New Roman" w:hint="eastAsia"/>
          <w:color w:val="auto"/>
          <w:kern w:val="2"/>
          <w:sz w:val="32"/>
          <w:szCs w:val="32"/>
          <w:highlight w:val="none"/>
          <w:lang w:val="en-US" w:bidi="ar-SA" w:eastAsia="zh-CN"/>
        </w:rPr>
        <w:t>年</w:t>
      </w:r>
      <w:r>
        <w:rPr>
          <w:rFonts w:ascii="仿宋_GB2312" w:cs="Times New Roman" w:eastAsia="仿宋_GB2312" w:hAnsi="Times New Roman" w:hint="default"/>
          <w:color w:val="auto"/>
          <w:kern w:val="2"/>
          <w:sz w:val="32"/>
          <w:szCs w:val="32"/>
          <w:highlight w:val="none"/>
          <w:lang w:val="en-US" w:bidi="ar-SA" w:eastAsia="zh-CN"/>
        </w:rPr>
        <w:t>9</w:t>
      </w:r>
      <w:r>
        <w:rPr>
          <w:rFonts w:ascii="仿宋_GB2312" w:cs="Times New Roman" w:eastAsia="仿宋_GB2312" w:hAnsi="Times New Roman" w:hint="eastAsia"/>
          <w:color w:val="auto"/>
          <w:kern w:val="2"/>
          <w:sz w:val="32"/>
          <w:szCs w:val="32"/>
          <w:highlight w:val="none"/>
          <w:lang w:val="en-US" w:bidi="ar-SA" w:eastAsia="zh-CN"/>
        </w:rPr>
        <w:t>月</w:t>
      </w:r>
      <w:r>
        <w:rPr>
          <w:rFonts w:ascii="仿宋_GB2312" w:cs="Times New Roman" w:eastAsia="仿宋_GB2312" w:hAnsi="Times New Roman" w:hint="default"/>
          <w:color w:val="auto"/>
          <w:kern w:val="2"/>
          <w:sz w:val="32"/>
          <w:szCs w:val="32"/>
          <w:highlight w:val="none"/>
          <w:lang w:val="en-US" w:bidi="ar-SA" w:eastAsia="zh-CN"/>
        </w:rPr>
        <w:t>4</w:t>
      </w:r>
      <w:r>
        <w:rPr>
          <w:rFonts w:ascii="仿宋_GB2312" w:cs="Times New Roman" w:eastAsia="仿宋_GB2312" w:hAnsi="Times New Roman" w:hint="eastAsia"/>
          <w:color w:val="auto"/>
          <w:kern w:val="2"/>
          <w:sz w:val="32"/>
          <w:szCs w:val="32"/>
          <w:highlight w:val="none"/>
          <w:lang w:val="en-US" w:bidi="ar-SA" w:eastAsia="zh-CN"/>
        </w:rPr>
        <w:t>日面向公众征求相关意见。</w:t>
      </w:r>
    </w:p>
    <w:p w14:paraId="02C427C5">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黑体" w:cs="黑体" w:eastAsia="黑体" w:hAnsi="黑体" w:hint="eastAsia"/>
          <w:b w:val="false"/>
          <w:bCs/>
          <w:color w:val="auto"/>
          <w:sz w:val="32"/>
          <w:szCs w:val="32"/>
          <w:lang w:val="en-US" w:eastAsia="zh-CN"/>
        </w:rPr>
      </w:pPr>
      <w:r>
        <w:rPr>
          <w:rFonts w:ascii="黑体" w:cs="黑体" w:eastAsia="黑体" w:hAnsi="黑体" w:hint="eastAsia"/>
          <w:b w:val="false"/>
          <w:bCs/>
          <w:color w:val="auto"/>
          <w:sz w:val="32"/>
          <w:szCs w:val="32"/>
          <w:lang w:val="en-US" w:eastAsia="zh-CN"/>
        </w:rPr>
        <w:t>三、主要内容</w:t>
      </w:r>
    </w:p>
    <w:p w14:paraId="0389ABD6">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楷体" w:cs="楷体" w:eastAsia="楷体" w:hAnsi="楷体" w:hint="eastAsia"/>
          <w:b/>
          <w:bCs w:val="false"/>
          <w:color w:val="auto"/>
          <w:sz w:val="32"/>
          <w:szCs w:val="32"/>
        </w:rPr>
      </w:pPr>
      <w:r>
        <w:rPr>
          <w:rFonts w:ascii="楷体" w:cs="楷体" w:eastAsia="楷体" w:hAnsi="楷体" w:hint="eastAsia"/>
          <w:b/>
          <w:bCs w:val="false"/>
          <w:color w:val="auto"/>
          <w:sz w:val="32"/>
          <w:szCs w:val="32"/>
          <w:lang w:val="en-US" w:eastAsia="zh-CN"/>
        </w:rPr>
        <w:t>（一）</w:t>
      </w:r>
      <w:r>
        <w:rPr>
          <w:rFonts w:ascii="楷体" w:cs="楷体" w:eastAsia="楷体" w:hAnsi="楷体" w:hint="eastAsia"/>
          <w:b/>
          <w:bCs w:val="false"/>
          <w:color w:val="auto"/>
          <w:sz w:val="32"/>
          <w:szCs w:val="32"/>
        </w:rPr>
        <w:t>规划</w:t>
      </w:r>
      <w:r>
        <w:rPr>
          <w:rFonts w:ascii="楷体" w:cs="楷体" w:eastAsia="楷体" w:hAnsi="楷体" w:hint="eastAsia"/>
          <w:b/>
          <w:bCs w:val="false"/>
          <w:color w:val="auto"/>
          <w:sz w:val="32"/>
          <w:szCs w:val="32"/>
          <w:lang w:eastAsia="zh-CN"/>
        </w:rPr>
        <w:t>范围</w:t>
      </w:r>
    </w:p>
    <w:p w14:paraId="6AE1E406">
      <w:pPr>
        <w:pStyle w:val="style0"/>
        <w:keepNext w:val="false"/>
        <w:keepLines w:val="false"/>
        <w:pageBreakBefore w:val="false"/>
        <w:tabs>
          <w:tab w:val="left" w:leader="none" w:pos="720"/>
        </w:tabs>
        <w:kinsoku/>
        <w:wordWrap/>
        <w:overflowPunct/>
        <w:topLinePunct w:val="false"/>
        <w:autoSpaceDE/>
        <w:autoSpaceDN/>
        <w:bidi w:val="false"/>
        <w:spacing w:lineRule="exact" w:line="560"/>
        <w:ind w:firstLine="640" w:firstLineChars="200"/>
        <w:rPr>
          <w:rFonts w:ascii="仿宋_GB2312" w:eastAsia="仿宋_GB2312" w:hAnsi="宋体" w:hint="eastAsia"/>
          <w:color w:val="auto"/>
          <w:sz w:val="32"/>
          <w:szCs w:val="32"/>
        </w:rPr>
      </w:pPr>
      <w:r>
        <w:rPr>
          <w:rFonts w:ascii="仿宋_GB2312" w:eastAsia="仿宋_GB2312" w:hAnsi="宋体" w:hint="eastAsia"/>
          <w:color w:val="auto"/>
          <w:sz w:val="32"/>
          <w:szCs w:val="32"/>
        </w:rPr>
        <w:t>规划范围为固镇县行政管辖范围，共计1363平方公里，辖11个多镇1个省级开发区:谷阳镇、王庄镇、新马桥镇、连城镇、刘集镇、任桥镇、湖沟镇、濠城镇、杨庙镇、仲兴镇、石湖乡。</w:t>
      </w:r>
    </w:p>
    <w:p w14:paraId="7AB6DB12">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楷体" w:cs="楷体" w:eastAsia="楷体" w:hAnsi="楷体" w:hint="default"/>
          <w:b/>
          <w:bCs w:val="false"/>
          <w:color w:val="auto"/>
          <w:sz w:val="32"/>
          <w:szCs w:val="32"/>
          <w:lang w:val="en-US" w:eastAsia="zh-CN"/>
        </w:rPr>
      </w:pPr>
      <w:r>
        <w:rPr>
          <w:rFonts w:ascii="楷体" w:cs="楷体" w:eastAsia="楷体" w:hAnsi="楷体" w:hint="eastAsia"/>
          <w:b/>
          <w:bCs w:val="false"/>
          <w:color w:val="auto"/>
          <w:sz w:val="32"/>
          <w:szCs w:val="32"/>
          <w:lang w:val="en-US" w:eastAsia="zh-CN"/>
        </w:rPr>
        <w:t>（二）规划期限</w:t>
      </w:r>
    </w:p>
    <w:p w14:paraId="5BCC3160">
      <w:pPr>
        <w:pStyle w:val="style0"/>
        <w:keepNext w:val="false"/>
        <w:keepLines w:val="false"/>
        <w:pageBreakBefore w:val="false"/>
        <w:kinsoku/>
        <w:wordWrap/>
        <w:overflowPunct/>
        <w:topLinePunct w:val="false"/>
        <w:autoSpaceDE/>
        <w:autoSpaceDN/>
        <w:bidi w:val="false"/>
        <w:spacing w:lineRule="exact" w:line="560"/>
        <w:ind w:firstLine="640" w:firstLineChars="200"/>
        <w:outlineLvl w:val="0"/>
        <w:rPr>
          <w:rFonts w:ascii="仿宋_GB2312" w:eastAsia="仿宋_GB2312" w:hAnsi="宋体" w:hint="eastAsia"/>
          <w:color w:val="auto"/>
          <w:sz w:val="32"/>
          <w:szCs w:val="32"/>
        </w:rPr>
      </w:pPr>
      <w:r>
        <w:rPr>
          <w:rFonts w:ascii="仿宋_GB2312" w:eastAsia="仿宋_GB2312" w:hAnsi="宋体" w:hint="eastAsia"/>
          <w:color w:val="auto"/>
          <w:sz w:val="32"/>
          <w:szCs w:val="32"/>
        </w:rPr>
        <w:t>规划期限:2024-2035年。近期规划至2025年，远期规划至 2035年，与《固镇县国土空间总体规划(2021-2035年)》期限保持一致。规划基期年为2023年。</w:t>
      </w:r>
    </w:p>
    <w:p w14:paraId="03309775">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楷体" w:cs="楷体" w:eastAsia="楷体" w:hAnsi="楷体" w:hint="eastAsia"/>
          <w:b/>
          <w:bCs w:val="false"/>
          <w:color w:val="auto"/>
          <w:sz w:val="32"/>
          <w:szCs w:val="32"/>
          <w:lang w:val="en-US" w:eastAsia="zh-CN"/>
        </w:rPr>
      </w:pPr>
      <w:r>
        <w:rPr>
          <w:rFonts w:ascii="楷体" w:cs="楷体" w:eastAsia="楷体" w:hAnsi="楷体" w:hint="eastAsia"/>
          <w:b/>
          <w:bCs w:val="false"/>
          <w:color w:val="auto"/>
          <w:sz w:val="32"/>
          <w:szCs w:val="32"/>
          <w:lang w:val="en-US" w:eastAsia="zh-CN"/>
        </w:rPr>
        <w:t>（三）规划目标</w:t>
      </w:r>
    </w:p>
    <w:p w14:paraId="3616BA16">
      <w:pPr>
        <w:pStyle w:val="style0"/>
        <w:keepNext w:val="false"/>
        <w:keepLines w:val="false"/>
        <w:pageBreakBefore w:val="false"/>
        <w:tabs>
          <w:tab w:val="left" w:leader="none" w:pos="720"/>
        </w:tabs>
        <w:kinsoku/>
        <w:wordWrap/>
        <w:overflowPunct/>
        <w:topLinePunct w:val="false"/>
        <w:autoSpaceDE/>
        <w:autoSpaceDN/>
        <w:bidi w:val="false"/>
        <w:spacing w:lineRule="exact" w:line="560"/>
        <w:ind w:firstLine="640" w:firstLineChars="200"/>
        <w:rPr>
          <w:rFonts w:ascii="仿宋_GB2312" w:eastAsia="仿宋_GB2312" w:hAnsi="宋体" w:hint="eastAsia"/>
          <w:color w:val="auto"/>
          <w:sz w:val="32"/>
          <w:szCs w:val="32"/>
        </w:rPr>
      </w:pPr>
      <w:r>
        <w:rPr>
          <w:rFonts w:ascii="仿宋_GB2312" w:eastAsia="仿宋_GB2312" w:hAnsi="宋体" w:hint="eastAsia"/>
          <w:color w:val="auto"/>
          <w:sz w:val="32"/>
          <w:szCs w:val="32"/>
        </w:rPr>
        <w:t>提高建筑垃圾处理资源化、减量化、无害化水平，切实健全完善建筑垃圾治理体系。坚持建筑垃圾综合利用的理念，合理、安全、环保地解决排放与处置的矛盾，逐步建成源头分类、再生利用、无害化处置的可持续化建筑废弃物处置体系:建立良性互动的管理体制和法规政策体系,实现建筑垃圾从源头减量到消纳处置的全过程管控:建立健康良性的建筑垃圾资源化产业体系。</w:t>
      </w:r>
    </w:p>
    <w:p w14:paraId="7DC29C1E">
      <w:pPr>
        <w:pStyle w:val="style0"/>
        <w:keepNext w:val="false"/>
        <w:keepLines w:val="false"/>
        <w:pageBreakBefore w:val="false"/>
        <w:tabs>
          <w:tab w:val="left" w:leader="none" w:pos="720"/>
        </w:tabs>
        <w:kinsoku/>
        <w:wordWrap/>
        <w:overflowPunct/>
        <w:topLinePunct w:val="false"/>
        <w:autoSpaceDE/>
        <w:autoSpaceDN/>
        <w:bidi w:val="false"/>
        <w:spacing w:lineRule="exact" w:line="560"/>
        <w:ind w:firstLine="640" w:firstLineChars="200"/>
        <w:rPr>
          <w:rFonts w:ascii="Times New Roman" w:cs="Times New Roman" w:eastAsia="宋体" w:hAnsi="Times New Roman" w:hint="eastAsia"/>
          <w:b w:val="false"/>
          <w:bCs/>
          <w:color w:val="auto"/>
          <w:kern w:val="0"/>
          <w:sz w:val="28"/>
          <w:szCs w:val="24"/>
          <w:lang w:val="en-US" w:bidi="ar-SA" w:eastAsia="zh-CN"/>
        </w:rPr>
      </w:pPr>
      <w:r>
        <w:rPr>
          <w:rFonts w:ascii="仿宋_GB2312" w:eastAsia="仿宋_GB2312" w:hAnsi="宋体" w:hint="eastAsia"/>
          <w:color w:val="auto"/>
          <w:sz w:val="32"/>
          <w:szCs w:val="32"/>
        </w:rPr>
        <w:t>通过科学系统的规划建设，提升建筑垃圾资源化利用和安全处置水平，逐步建立与城市发展需求相匹配的建筑垃圾治理体系，提高城市精细化治理水平，力争早日实现“无废城市”目标。</w:t>
      </w:r>
    </w:p>
    <w:p w14:paraId="65577647">
      <w:pPr>
        <w:pStyle w:val="style34"/>
        <w:rPr>
          <w:rFonts w:eastAsia="宋体" w:hint="default"/>
          <w:color w:val="auto"/>
          <w:sz w:val="21"/>
          <w:szCs w:val="28"/>
          <w:lang w:val="en-US" w:eastAsia="zh-CN"/>
        </w:rPr>
      </w:pPr>
      <w:r>
        <w:rPr>
          <w:rFonts w:hint="eastAsia"/>
          <w:color w:val="auto"/>
          <w:sz w:val="21"/>
          <w:szCs w:val="28"/>
          <w:lang w:val="en-US" w:eastAsia="zh-CN"/>
        </w:rPr>
        <w:t>建筑垃圾规划指标体系</w:t>
      </w:r>
    </w:p>
    <w:tbl>
      <w:tblPr>
        <w:tblStyle w:val="style10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596"/>
        <w:gridCol w:w="1051"/>
        <w:gridCol w:w="3434"/>
        <w:gridCol w:w="1620"/>
        <w:gridCol w:w="1822"/>
      </w:tblGrid>
      <w:tr w14:paraId="4D411ACA">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70E23CF6">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b/>
                <w:bCs/>
                <w:i w:val="false"/>
                <w:iCs w:val="false"/>
                <w:color w:val="auto"/>
                <w:sz w:val="22"/>
                <w:szCs w:val="22"/>
                <w:u w:val="none"/>
              </w:rPr>
            </w:pPr>
            <w:r>
              <w:rPr>
                <w:rFonts w:ascii="宋体" w:cs="宋体" w:eastAsia="宋体" w:hAnsi="宋体" w:hint="eastAsia"/>
                <w:b/>
                <w:bCs/>
                <w:i w:val="false"/>
                <w:iCs w:val="false"/>
                <w:color w:val="auto"/>
                <w:kern w:val="0"/>
                <w:sz w:val="22"/>
                <w:szCs w:val="22"/>
                <w:u w:val="none"/>
                <w:lang w:val="en-US" w:eastAsia="zh-CN"/>
              </w:rPr>
              <w:t>序号</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14A4DF99">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b/>
                <w:bCs/>
                <w:i w:val="false"/>
                <w:iCs w:val="false"/>
                <w:color w:val="auto"/>
                <w:sz w:val="22"/>
                <w:szCs w:val="22"/>
                <w:u w:val="none"/>
              </w:rPr>
            </w:pPr>
            <w:r>
              <w:rPr>
                <w:rFonts w:ascii="宋体" w:cs="宋体" w:eastAsia="宋体" w:hAnsi="宋体" w:hint="eastAsia"/>
                <w:b/>
                <w:bCs/>
                <w:i w:val="false"/>
                <w:iCs w:val="false"/>
                <w:color w:val="auto"/>
                <w:kern w:val="0"/>
                <w:sz w:val="22"/>
                <w:szCs w:val="22"/>
                <w:u w:val="none"/>
                <w:lang w:val="en-US" w:eastAsia="zh-CN"/>
              </w:rPr>
              <w:t>指标类别</w:t>
            </w: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181B7E6B">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b/>
                <w:bCs/>
                <w:i w:val="false"/>
                <w:iCs w:val="false"/>
                <w:color w:val="auto"/>
                <w:sz w:val="22"/>
                <w:szCs w:val="22"/>
                <w:u w:val="none"/>
              </w:rPr>
            </w:pPr>
            <w:r>
              <w:rPr>
                <w:rFonts w:ascii="宋体" w:cs="宋体" w:eastAsia="宋体" w:hAnsi="宋体" w:hint="eastAsia"/>
                <w:b/>
                <w:bCs/>
                <w:i w:val="false"/>
                <w:iCs w:val="false"/>
                <w:color w:val="auto"/>
                <w:kern w:val="0"/>
                <w:sz w:val="22"/>
                <w:szCs w:val="22"/>
                <w:u w:val="none"/>
                <w:lang w:val="en-US" w:eastAsia="zh-CN"/>
              </w:rPr>
              <w:t>指标内容</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5DDA2F16">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b/>
                <w:bCs/>
                <w:i w:val="false"/>
                <w:iCs w:val="false"/>
                <w:color w:val="auto"/>
                <w:sz w:val="22"/>
                <w:szCs w:val="22"/>
                <w:u w:val="none"/>
              </w:rPr>
            </w:pPr>
            <w:r>
              <w:rPr>
                <w:rFonts w:ascii="宋体" w:cs="宋体" w:eastAsia="宋体" w:hAnsi="宋体" w:hint="eastAsia"/>
                <w:b/>
                <w:bCs/>
                <w:i w:val="false"/>
                <w:iCs w:val="false"/>
                <w:color w:val="auto"/>
                <w:kern w:val="0"/>
                <w:sz w:val="22"/>
                <w:szCs w:val="22"/>
                <w:u w:val="none"/>
                <w:lang w:val="en-US" w:eastAsia="zh-CN"/>
              </w:rPr>
              <w:t>近期目标（20</w:t>
            </w:r>
            <w:r>
              <w:rPr>
                <w:rFonts w:ascii="宋体" w:cs="宋体" w:hAnsi="宋体" w:hint="eastAsia"/>
                <w:b/>
                <w:bCs/>
                <w:i w:val="false"/>
                <w:iCs w:val="false"/>
                <w:color w:val="auto"/>
                <w:kern w:val="0"/>
                <w:sz w:val="22"/>
                <w:szCs w:val="22"/>
                <w:u w:val="none"/>
                <w:lang w:val="en-US" w:eastAsia="zh-CN"/>
              </w:rPr>
              <w:t>25</w:t>
            </w:r>
            <w:r>
              <w:rPr>
                <w:rFonts w:ascii="宋体" w:cs="宋体" w:eastAsia="宋体" w:hAnsi="宋体" w:hint="eastAsia"/>
                <w:b/>
                <w:bCs/>
                <w:i w:val="false"/>
                <w:iCs w:val="false"/>
                <w:color w:val="auto"/>
                <w:kern w:val="0"/>
                <w:sz w:val="22"/>
                <w:szCs w:val="22"/>
                <w:u w:val="none"/>
                <w:lang w:val="en-US" w:eastAsia="zh-CN"/>
              </w:rPr>
              <w:t>年）</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1B2DF556">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b/>
                <w:bCs/>
                <w:i w:val="false"/>
                <w:iCs w:val="false"/>
                <w:color w:val="auto"/>
                <w:sz w:val="22"/>
                <w:szCs w:val="22"/>
                <w:u w:val="none"/>
              </w:rPr>
            </w:pPr>
            <w:r>
              <w:rPr>
                <w:rFonts w:ascii="宋体" w:cs="宋体" w:eastAsia="宋体" w:hAnsi="宋体" w:hint="eastAsia"/>
                <w:b/>
                <w:bCs/>
                <w:i w:val="false"/>
                <w:iCs w:val="false"/>
                <w:color w:val="auto"/>
                <w:kern w:val="0"/>
                <w:sz w:val="22"/>
                <w:szCs w:val="22"/>
                <w:u w:val="none"/>
                <w:lang w:val="en-US" w:eastAsia="zh-CN"/>
              </w:rPr>
              <w:t>远期目标（2035年）</w:t>
            </w:r>
          </w:p>
        </w:tc>
      </w:tr>
      <w:tr w14:paraId="4C130E78">
        <w:tblPrEx/>
        <w:trPr>
          <w:trHeight w:val="576"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0A9CE183">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w:t>
            </w:r>
          </w:p>
        </w:tc>
        <w:tc>
          <w:tcPr>
            <w:tcW w:w="616" w:type="pct"/>
            <w:vMerge w:val="restart"/>
            <w:tcBorders>
              <w:top w:val="single" w:sz="4" w:space="0" w:color="000000"/>
              <w:left w:val="single" w:sz="4" w:space="0" w:color="000000"/>
              <w:right w:val="single" w:sz="4" w:space="0" w:color="000000"/>
            </w:tcBorders>
            <w:noWrap/>
            <w:vAlign w:val="center"/>
          </w:tcPr>
          <w:p w14:paraId="4ECEF53A">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kern w:val="0"/>
                <w:sz w:val="22"/>
                <w:szCs w:val="22"/>
                <w:u w:val="none"/>
                <w:lang w:val="en-US" w:eastAsia="zh-CN"/>
              </w:rPr>
            </w:pPr>
            <w:r>
              <w:rPr>
                <w:rFonts w:ascii="宋体" w:cs="宋体" w:eastAsia="宋体" w:hAnsi="宋体" w:hint="eastAsia"/>
                <w:i w:val="false"/>
                <w:iCs w:val="false"/>
                <w:color w:val="auto"/>
                <w:kern w:val="0"/>
                <w:sz w:val="22"/>
                <w:szCs w:val="22"/>
                <w:u w:val="none"/>
                <w:lang w:val="en-US" w:eastAsia="zh-CN"/>
              </w:rPr>
              <w:t>减量化</w:t>
            </w:r>
          </w:p>
        </w:tc>
        <w:tc>
          <w:tcPr>
            <w:tcW w:w="2014" w:type="pct"/>
            <w:tcBorders>
              <w:top w:val="single" w:sz="4" w:space="0" w:color="000000"/>
              <w:left w:val="single" w:sz="4" w:space="0" w:color="000000"/>
              <w:bottom w:val="single" w:sz="4" w:space="0" w:color="000000"/>
              <w:right w:val="single" w:sz="4" w:space="0" w:color="000000"/>
            </w:tcBorders>
            <w:vAlign w:val="center"/>
          </w:tcPr>
          <w:p w14:paraId="03115C0E">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新建建筑施工现场建筑垃圾排放量（不包括工程渣土、工程泥浆）（t/万m²）</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2153D28B">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≤300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6E828911">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≤280</w:t>
            </w:r>
          </w:p>
        </w:tc>
      </w:tr>
      <w:tr w14:paraId="069316ED">
        <w:tblPrEx/>
        <w:trPr>
          <w:trHeight w:val="576"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63F6CBEC">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default"/>
                <w:i w:val="false"/>
                <w:iCs w:val="false"/>
                <w:color w:val="auto"/>
                <w:kern w:val="0"/>
                <w:sz w:val="22"/>
                <w:szCs w:val="22"/>
                <w:u w:val="none"/>
                <w:lang w:val="en-US" w:eastAsia="zh-CN"/>
              </w:rPr>
            </w:pPr>
            <w:r>
              <w:rPr>
                <w:rFonts w:ascii="宋体" w:cs="宋体" w:eastAsia="宋体" w:hAnsi="宋体" w:hint="eastAsia"/>
                <w:i w:val="false"/>
                <w:iCs w:val="false"/>
                <w:color w:val="auto"/>
                <w:kern w:val="0"/>
                <w:sz w:val="22"/>
                <w:szCs w:val="22"/>
                <w:u w:val="none"/>
                <w:lang w:val="en-US" w:eastAsia="zh-CN"/>
              </w:rPr>
              <w:t>2</w:t>
            </w:r>
          </w:p>
        </w:tc>
        <w:tc>
          <w:tcPr>
            <w:tcW w:w="616" w:type="pct"/>
            <w:vMerge w:val="continue"/>
            <w:tcBorders>
              <w:left w:val="single" w:sz="4" w:space="0" w:color="000000"/>
              <w:bottom w:val="single" w:sz="4" w:space="0" w:color="000000"/>
              <w:right w:val="single" w:sz="4" w:space="0" w:color="000000"/>
            </w:tcBorders>
            <w:noWrap/>
            <w:vAlign w:val="center"/>
          </w:tcPr>
          <w:p w14:paraId="7E47BACE">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kern w:val="0"/>
                <w:sz w:val="22"/>
                <w:szCs w:val="22"/>
                <w:u w:val="none"/>
                <w:lang w:val="en-US" w:eastAsia="zh-CN"/>
              </w:rPr>
            </w:pPr>
          </w:p>
        </w:tc>
        <w:tc>
          <w:tcPr>
            <w:tcW w:w="2014" w:type="pct"/>
            <w:tcBorders>
              <w:top w:val="single" w:sz="4" w:space="0" w:color="000000"/>
              <w:left w:val="single" w:sz="4" w:space="0" w:color="000000"/>
              <w:bottom w:val="single" w:sz="4" w:space="0" w:color="000000"/>
              <w:right w:val="single" w:sz="4" w:space="0" w:color="000000"/>
            </w:tcBorders>
            <w:vAlign w:val="center"/>
          </w:tcPr>
          <w:p w14:paraId="3AABEA42">
            <w:pPr>
              <w:pStyle w:val="style0"/>
              <w:bidi w:val="false"/>
              <w:rPr>
                <w:rFonts w:hint="eastAsia"/>
                <w:lang w:val="en-US" w:eastAsia="zh-CN"/>
              </w:rPr>
            </w:pPr>
            <w:r>
              <w:rPr>
                <w:rFonts w:hint="eastAsia"/>
              </w:rPr>
              <w:t>装配式建筑施工现场建筑垃圾排放量（不包括工程渣土、工程泥浆）（t/万m²）</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7C4427B3">
            <w:pPr>
              <w:pStyle w:val="style94"/>
              <w:keepNext w:val="false"/>
              <w:keepLines w:val="false"/>
              <w:widowControl/>
              <w:suppressLineNumbers w:val="false"/>
              <w:jc w:val="center"/>
              <w:rPr>
                <w:rFonts w:ascii="宋体" w:cs="宋体" w:eastAsia="宋体" w:hAnsi="宋体" w:hint="eastAsia"/>
                <w:i w:val="false"/>
                <w:iCs w:val="false"/>
                <w:color w:val="auto"/>
                <w:kern w:val="0"/>
                <w:sz w:val="22"/>
                <w:szCs w:val="22"/>
                <w:u w:val="none"/>
                <w:lang w:val="en-US" w:eastAsia="zh-CN"/>
              </w:rPr>
            </w:pPr>
            <w:r>
              <w:rPr>
                <w:rFonts w:ascii="宋体" w:cs="宋体" w:eastAsia="宋体" w:hAnsi="宋体" w:hint="eastAsia"/>
                <w:color w:val="000000"/>
                <w:sz w:val="22"/>
                <w:szCs w:val="22"/>
              </w:rPr>
              <w:t>≤200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537735E1">
            <w:pPr>
              <w:pStyle w:val="style94"/>
              <w:keepNext w:val="false"/>
              <w:keepLines w:val="false"/>
              <w:widowControl/>
              <w:suppressLineNumbers w:val="false"/>
              <w:jc w:val="center"/>
              <w:rPr>
                <w:rFonts w:ascii="宋体" w:cs="宋体" w:eastAsia="宋体" w:hAnsi="宋体" w:hint="eastAsia"/>
                <w:i w:val="false"/>
                <w:iCs w:val="false"/>
                <w:color w:val="auto"/>
                <w:kern w:val="0"/>
                <w:sz w:val="22"/>
                <w:szCs w:val="22"/>
                <w:u w:val="none"/>
                <w:lang w:val="en-US" w:eastAsia="zh-CN"/>
              </w:rPr>
            </w:pPr>
            <w:r>
              <w:rPr>
                <w:rFonts w:ascii="宋体" w:cs="宋体" w:eastAsia="宋体" w:hAnsi="宋体" w:hint="eastAsia"/>
                <w:color w:val="000000"/>
                <w:sz w:val="22"/>
                <w:szCs w:val="22"/>
              </w:rPr>
              <w:t>≤</w:t>
            </w:r>
            <w:r>
              <w:rPr>
                <w:rFonts w:ascii="宋体" w:cs="宋体" w:eastAsia="宋体" w:hAnsi="宋体" w:hint="eastAsia"/>
                <w:color w:val="000000"/>
                <w:sz w:val="22"/>
                <w:szCs w:val="22"/>
                <w:lang w:val="en-US" w:eastAsia="zh-CN"/>
              </w:rPr>
              <w:t>18</w:t>
            </w:r>
            <w:r>
              <w:rPr>
                <w:rFonts w:ascii="宋体" w:cs="宋体" w:eastAsia="宋体" w:hAnsi="宋体" w:hint="eastAsia"/>
                <w:color w:val="000000"/>
                <w:sz w:val="22"/>
                <w:szCs w:val="22"/>
              </w:rPr>
              <w:t>0</w:t>
            </w:r>
          </w:p>
        </w:tc>
      </w:tr>
      <w:tr w14:paraId="08B1F857">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1A265C24">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3</w:t>
            </w:r>
          </w:p>
        </w:tc>
        <w:tc>
          <w:tcPr>
            <w:tcW w:w="616" w:type="pct"/>
            <w:tcBorders>
              <w:top w:val="single" w:sz="4" w:space="0" w:color="000000"/>
              <w:left w:val="single" w:sz="4" w:space="0" w:color="000000"/>
              <w:bottom w:val="single" w:sz="4" w:space="0" w:color="000000"/>
              <w:right w:val="single" w:sz="4" w:space="0" w:color="000000"/>
            </w:tcBorders>
            <w:noWrap/>
            <w:vAlign w:val="center"/>
          </w:tcPr>
          <w:p w14:paraId="586E96D4">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资源化</w:t>
            </w: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5DEB8E18">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建筑垃圾综合利用率（%）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1CD620C0">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default"/>
                <w:i w:val="false"/>
                <w:iCs w:val="false"/>
                <w:color w:val="auto"/>
                <w:sz w:val="22"/>
                <w:szCs w:val="22"/>
                <w:u w:val="none"/>
                <w:lang w:val="en-US"/>
              </w:rPr>
            </w:pPr>
            <w:r>
              <w:rPr>
                <w:rFonts w:ascii="宋体" w:cs="宋体" w:eastAsia="宋体" w:hAnsi="宋体" w:hint="eastAsia"/>
                <w:i w:val="false"/>
                <w:iCs w:val="false"/>
                <w:color w:val="auto"/>
                <w:kern w:val="0"/>
                <w:sz w:val="22"/>
                <w:szCs w:val="22"/>
                <w:u w:val="none"/>
                <w:lang w:val="en-US" w:eastAsia="zh-CN"/>
              </w:rPr>
              <w:t>≥</w:t>
            </w:r>
            <w:r>
              <w:rPr>
                <w:rFonts w:ascii="宋体" w:cs="宋体" w:hAnsi="宋体" w:hint="eastAsia"/>
                <w:i w:val="false"/>
                <w:iCs w:val="false"/>
                <w:color w:val="auto"/>
                <w:kern w:val="0"/>
                <w:sz w:val="22"/>
                <w:szCs w:val="22"/>
                <w:u w:val="none"/>
                <w:lang w:val="en-US" w:eastAsia="zh-CN"/>
              </w:rPr>
              <w:t>60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3CF86765">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w:t>
            </w:r>
            <w:r>
              <w:rPr>
                <w:rFonts w:ascii="宋体" w:cs="宋体" w:hAnsi="宋体" w:hint="eastAsia"/>
                <w:i w:val="false"/>
                <w:iCs w:val="false"/>
                <w:color w:val="auto"/>
                <w:kern w:val="0"/>
                <w:sz w:val="22"/>
                <w:szCs w:val="22"/>
                <w:u w:val="none"/>
                <w:lang w:val="en-US" w:eastAsia="zh-CN"/>
              </w:rPr>
              <w:t>90</w:t>
            </w:r>
          </w:p>
        </w:tc>
      </w:tr>
      <w:tr w14:paraId="7E048BA0">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48AB5227">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4</w:t>
            </w:r>
          </w:p>
        </w:tc>
        <w:tc>
          <w:tcPr>
            <w:tcW w:w="616" w:type="pct"/>
            <w:vMerge w:val="restart"/>
            <w:tcBorders>
              <w:top w:val="single" w:sz="4" w:space="0" w:color="000000"/>
              <w:left w:val="single" w:sz="4" w:space="0" w:color="000000"/>
              <w:bottom w:val="single" w:sz="4" w:space="0" w:color="000000"/>
              <w:right w:val="single" w:sz="4" w:space="0" w:color="000000"/>
            </w:tcBorders>
            <w:noWrap/>
            <w:vAlign w:val="center"/>
          </w:tcPr>
          <w:p w14:paraId="09DD7C12">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无害化</w:t>
            </w: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0559CB9C">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建筑垃圾收运率（%）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4025498A">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3EEAF8E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r w14:paraId="7FAE1ACD">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4B27BCCC">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5</w:t>
            </w:r>
          </w:p>
        </w:tc>
        <w:tc>
          <w:tcPr>
            <w:tcW w:w="616" w:type="pct"/>
            <w:vMerge w:val="continue"/>
            <w:tcBorders>
              <w:top w:val="single" w:sz="4" w:space="0" w:color="000000"/>
              <w:left w:val="single" w:sz="4" w:space="0" w:color="000000"/>
              <w:bottom w:val="single" w:sz="4" w:space="0" w:color="000000"/>
              <w:right w:val="single" w:sz="4" w:space="0" w:color="000000"/>
            </w:tcBorders>
            <w:noWrap/>
            <w:vAlign w:val="center"/>
          </w:tcPr>
          <w:p w14:paraId="5BED911F">
            <w:pPr>
              <w:pStyle w:val="style0"/>
              <w:keepNext w:val="false"/>
              <w:keepLines w:val="false"/>
              <w:pageBreakBefore w:val="false"/>
              <w:widowControl/>
              <w:kinsoku/>
              <w:wordWrap/>
              <w:overflowPunct/>
              <w:topLinePunct w:val="false"/>
              <w:autoSpaceDE/>
              <w:autoSpaceDN/>
              <w:bidi w:val="false"/>
              <w:adjustRightInd/>
              <w:snapToGrid/>
              <w:ind w:firstLine="0" w:firstLineChars="0"/>
              <w:jc w:val="center"/>
              <w:rPr>
                <w:rFonts w:ascii="宋体" w:cs="宋体" w:eastAsia="宋体" w:hAnsi="宋体" w:hint="eastAsia"/>
                <w:i w:val="false"/>
                <w:iCs w:val="false"/>
                <w:color w:val="auto"/>
                <w:sz w:val="22"/>
                <w:szCs w:val="22"/>
                <w:u w:val="none"/>
              </w:rPr>
            </w:pP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18C8695D">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建筑垃圾密闭化收运率（%）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6EEA9F22">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177D967A">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r w14:paraId="6105E95C">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10D1E323">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6</w:t>
            </w:r>
          </w:p>
        </w:tc>
        <w:tc>
          <w:tcPr>
            <w:tcW w:w="616" w:type="pct"/>
            <w:vMerge w:val="continue"/>
            <w:tcBorders>
              <w:top w:val="single" w:sz="4" w:space="0" w:color="000000"/>
              <w:left w:val="single" w:sz="4" w:space="0" w:color="000000"/>
              <w:bottom w:val="single" w:sz="4" w:space="0" w:color="000000"/>
              <w:right w:val="single" w:sz="4" w:space="0" w:color="000000"/>
            </w:tcBorders>
            <w:noWrap/>
            <w:vAlign w:val="center"/>
          </w:tcPr>
          <w:p w14:paraId="7698D713">
            <w:pPr>
              <w:pStyle w:val="style0"/>
              <w:keepNext w:val="false"/>
              <w:keepLines w:val="false"/>
              <w:pageBreakBefore w:val="false"/>
              <w:widowControl/>
              <w:kinsoku/>
              <w:wordWrap/>
              <w:overflowPunct/>
              <w:topLinePunct w:val="false"/>
              <w:autoSpaceDE/>
              <w:autoSpaceDN/>
              <w:bidi w:val="false"/>
              <w:adjustRightInd/>
              <w:snapToGrid/>
              <w:ind w:firstLine="0" w:firstLineChars="0"/>
              <w:jc w:val="center"/>
              <w:rPr>
                <w:rFonts w:ascii="宋体" w:cs="宋体" w:eastAsia="宋体" w:hAnsi="宋体" w:hint="eastAsia"/>
                <w:i w:val="false"/>
                <w:iCs w:val="false"/>
                <w:color w:val="auto"/>
                <w:sz w:val="22"/>
                <w:szCs w:val="22"/>
                <w:u w:val="none"/>
              </w:rPr>
            </w:pP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5B9B9E4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建筑垃圾无害化处置率（%）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3F60B170">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28343EF8">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r w14:paraId="343E8ADA">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07A32AE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7</w:t>
            </w:r>
          </w:p>
        </w:tc>
        <w:tc>
          <w:tcPr>
            <w:tcW w:w="616" w:type="pct"/>
            <w:vMerge w:val="restart"/>
            <w:tcBorders>
              <w:top w:val="single" w:sz="4" w:space="0" w:color="000000"/>
              <w:left w:val="single" w:sz="4" w:space="0" w:color="000000"/>
              <w:bottom w:val="single" w:sz="4" w:space="0" w:color="000000"/>
              <w:right w:val="single" w:sz="4" w:space="0" w:color="000000"/>
            </w:tcBorders>
            <w:noWrap/>
            <w:vAlign w:val="center"/>
          </w:tcPr>
          <w:p w14:paraId="674C5E84">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数字化</w:t>
            </w: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5CACDF35">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建筑垃圾运输车卫星定位装置接入率（%）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6D3C4A63">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555C782E">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r w14:paraId="292D1982">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2FFB49A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8</w:t>
            </w:r>
          </w:p>
        </w:tc>
        <w:tc>
          <w:tcPr>
            <w:tcW w:w="616" w:type="pct"/>
            <w:vMerge w:val="continue"/>
            <w:tcBorders>
              <w:top w:val="single" w:sz="4" w:space="0" w:color="000000"/>
              <w:left w:val="single" w:sz="4" w:space="0" w:color="000000"/>
              <w:bottom w:val="single" w:sz="4" w:space="0" w:color="000000"/>
              <w:right w:val="single" w:sz="4" w:space="0" w:color="000000"/>
            </w:tcBorders>
            <w:noWrap/>
            <w:vAlign w:val="center"/>
          </w:tcPr>
          <w:p w14:paraId="190459B1">
            <w:pPr>
              <w:pStyle w:val="style0"/>
              <w:keepNext w:val="false"/>
              <w:keepLines w:val="false"/>
              <w:pageBreakBefore w:val="false"/>
              <w:widowControl/>
              <w:kinsoku/>
              <w:wordWrap/>
              <w:overflowPunct/>
              <w:topLinePunct w:val="false"/>
              <w:autoSpaceDE/>
              <w:autoSpaceDN/>
              <w:bidi w:val="false"/>
              <w:adjustRightInd/>
              <w:snapToGrid/>
              <w:ind w:firstLine="0" w:firstLineChars="0"/>
              <w:jc w:val="center"/>
              <w:rPr>
                <w:rFonts w:ascii="宋体" w:cs="宋体" w:eastAsia="宋体" w:hAnsi="宋体" w:hint="eastAsia"/>
                <w:i w:val="false"/>
                <w:iCs w:val="false"/>
                <w:color w:val="auto"/>
                <w:sz w:val="22"/>
                <w:szCs w:val="22"/>
                <w:u w:val="none"/>
              </w:rPr>
            </w:pP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75EEFD52">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工程项目视频监控接入率（%）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08A07FA8">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hAnsi="宋体" w:hint="eastAsia"/>
                <w:i w:val="false"/>
                <w:iCs w:val="false"/>
                <w:color w:val="auto"/>
                <w:kern w:val="0"/>
                <w:sz w:val="22"/>
                <w:szCs w:val="22"/>
                <w:u w:val="none"/>
                <w:lang w:val="en-US" w:eastAsia="zh-CN"/>
              </w:rPr>
              <w:t>/</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3F2248C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r w14:paraId="373DDF79">
        <w:tblPrEx/>
        <w:trPr>
          <w:trHeight w:val="288" w:hRule="atLeast"/>
        </w:trPr>
        <w:tc>
          <w:tcPr>
            <w:tcW w:w="349" w:type="pct"/>
            <w:tcBorders>
              <w:top w:val="single" w:sz="4" w:space="0" w:color="000000"/>
              <w:left w:val="single" w:sz="4" w:space="0" w:color="000000"/>
              <w:bottom w:val="single" w:sz="4" w:space="0" w:color="000000"/>
              <w:right w:val="single" w:sz="4" w:space="0" w:color="000000"/>
            </w:tcBorders>
            <w:noWrap/>
            <w:vAlign w:val="center"/>
          </w:tcPr>
          <w:p w14:paraId="01FC3838">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lang w:val="en-US" w:eastAsia="zh-CN"/>
              </w:rPr>
            </w:pPr>
            <w:r>
              <w:rPr>
                <w:rFonts w:ascii="宋体" w:cs="宋体" w:eastAsia="宋体" w:hAnsi="宋体" w:hint="eastAsia"/>
                <w:i w:val="false"/>
                <w:iCs w:val="false"/>
                <w:color w:val="auto"/>
                <w:sz w:val="22"/>
                <w:szCs w:val="22"/>
                <w:u w:val="none"/>
                <w:lang w:val="en-US" w:eastAsia="zh-CN"/>
              </w:rPr>
              <w:t>9</w:t>
            </w:r>
          </w:p>
        </w:tc>
        <w:tc>
          <w:tcPr>
            <w:tcW w:w="616" w:type="pct"/>
            <w:vMerge w:val="continue"/>
            <w:tcBorders>
              <w:top w:val="single" w:sz="4" w:space="0" w:color="000000"/>
              <w:left w:val="single" w:sz="4" w:space="0" w:color="000000"/>
              <w:bottom w:val="single" w:sz="4" w:space="0" w:color="000000"/>
              <w:right w:val="single" w:sz="4" w:space="0" w:color="000000"/>
            </w:tcBorders>
            <w:noWrap/>
            <w:vAlign w:val="center"/>
          </w:tcPr>
          <w:p w14:paraId="02411561">
            <w:pPr>
              <w:pStyle w:val="style0"/>
              <w:keepNext w:val="false"/>
              <w:keepLines w:val="false"/>
              <w:pageBreakBefore w:val="false"/>
              <w:widowControl/>
              <w:kinsoku/>
              <w:wordWrap/>
              <w:overflowPunct/>
              <w:topLinePunct w:val="false"/>
              <w:autoSpaceDE/>
              <w:autoSpaceDN/>
              <w:bidi w:val="false"/>
              <w:adjustRightInd/>
              <w:snapToGrid/>
              <w:ind w:firstLine="0" w:firstLineChars="0"/>
              <w:jc w:val="center"/>
              <w:rPr>
                <w:rFonts w:ascii="宋体" w:cs="宋体" w:eastAsia="宋体" w:hAnsi="宋体" w:hint="eastAsia"/>
                <w:i w:val="false"/>
                <w:iCs w:val="false"/>
                <w:color w:val="auto"/>
                <w:sz w:val="22"/>
                <w:szCs w:val="22"/>
                <w:u w:val="none"/>
              </w:rPr>
            </w:pPr>
          </w:p>
        </w:tc>
        <w:tc>
          <w:tcPr>
            <w:tcW w:w="2014" w:type="pct"/>
            <w:tcBorders>
              <w:top w:val="single" w:sz="4" w:space="0" w:color="000000"/>
              <w:left w:val="single" w:sz="4" w:space="0" w:color="000000"/>
              <w:bottom w:val="single" w:sz="4" w:space="0" w:color="000000"/>
              <w:right w:val="single" w:sz="4" w:space="0" w:color="000000"/>
            </w:tcBorders>
            <w:noWrap/>
            <w:vAlign w:val="center"/>
          </w:tcPr>
          <w:p w14:paraId="6CF01D7F">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建筑垃圾消纳场所视频监控接入率（%）</w:t>
            </w:r>
          </w:p>
        </w:tc>
        <w:tc>
          <w:tcPr>
            <w:tcW w:w="950" w:type="pct"/>
            <w:tcBorders>
              <w:top w:val="single" w:sz="4" w:space="0" w:color="000000"/>
              <w:left w:val="single" w:sz="4" w:space="0" w:color="000000"/>
              <w:bottom w:val="single" w:sz="4" w:space="0" w:color="000000"/>
              <w:right w:val="single" w:sz="4" w:space="0" w:color="000000"/>
            </w:tcBorders>
            <w:noWrap/>
            <w:vAlign w:val="center"/>
          </w:tcPr>
          <w:p w14:paraId="44AB6609">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default"/>
                <w:i w:val="false"/>
                <w:iCs w:val="false"/>
                <w:color w:val="auto"/>
                <w:sz w:val="22"/>
                <w:szCs w:val="22"/>
                <w:u w:val="none"/>
                <w:lang w:val="en-US"/>
              </w:rPr>
            </w:pPr>
            <w:r>
              <w:rPr>
                <w:rFonts w:ascii="宋体" w:cs="宋体" w:eastAsia="宋体" w:hAnsi="宋体" w:hint="eastAsia"/>
                <w:i w:val="false"/>
                <w:iCs w:val="false"/>
                <w:color w:val="auto"/>
                <w:kern w:val="0"/>
                <w:sz w:val="22"/>
                <w:szCs w:val="22"/>
                <w:u w:val="none"/>
                <w:lang w:val="en-US" w:eastAsia="zh-CN"/>
              </w:rPr>
              <w:t>/</w:t>
            </w:r>
          </w:p>
        </w:tc>
        <w:tc>
          <w:tcPr>
            <w:tcW w:w="1068" w:type="pct"/>
            <w:tcBorders>
              <w:top w:val="single" w:sz="4" w:space="0" w:color="000000"/>
              <w:left w:val="single" w:sz="4" w:space="0" w:color="000000"/>
              <w:bottom w:val="single" w:sz="4" w:space="0" w:color="000000"/>
              <w:right w:val="single" w:sz="4" w:space="0" w:color="000000"/>
            </w:tcBorders>
            <w:noWrap/>
            <w:vAlign w:val="center"/>
          </w:tcPr>
          <w:p w14:paraId="513A66B0">
            <w:pPr>
              <w:pStyle w:val="style0"/>
              <w:keepNext w:val="false"/>
              <w:keepLines w:val="false"/>
              <w:pageBreakBefore w:val="false"/>
              <w:widowControl/>
              <w:suppressLineNumbers w:val="false"/>
              <w:kinsoku/>
              <w:wordWrap/>
              <w:overflowPunct/>
              <w:topLinePunct w:val="false"/>
              <w:autoSpaceDE/>
              <w:autoSpaceDN/>
              <w:bidi w:val="false"/>
              <w:adjustRightInd/>
              <w:snapToGrid/>
              <w:ind w:firstLine="0" w:firstLineChars="0"/>
              <w:jc w:val="center"/>
              <w:textAlignment w:val="center"/>
              <w:rPr>
                <w:rFonts w:ascii="宋体" w:cs="宋体" w:eastAsia="宋体" w:hAnsi="宋体" w:hint="eastAsia"/>
                <w:i w:val="false"/>
                <w:iCs w:val="false"/>
                <w:color w:val="auto"/>
                <w:sz w:val="22"/>
                <w:szCs w:val="22"/>
                <w:u w:val="none"/>
              </w:rPr>
            </w:pPr>
            <w:r>
              <w:rPr>
                <w:rFonts w:ascii="宋体" w:cs="宋体" w:eastAsia="宋体" w:hAnsi="宋体" w:hint="eastAsia"/>
                <w:i w:val="false"/>
                <w:iCs w:val="false"/>
                <w:color w:val="auto"/>
                <w:kern w:val="0"/>
                <w:sz w:val="22"/>
                <w:szCs w:val="22"/>
                <w:u w:val="none"/>
                <w:lang w:val="en-US" w:eastAsia="zh-CN"/>
              </w:rPr>
              <w:t>100</w:t>
            </w:r>
          </w:p>
        </w:tc>
      </w:tr>
    </w:tbl>
    <w:p w14:paraId="1BF7C63D">
      <w:pPr>
        <w:pStyle w:val="style0"/>
        <w:bidi w:val="false"/>
        <w:rPr>
          <w:rFonts w:hint="default"/>
          <w:lang w:val="en-US" w:eastAsia="zh-CN"/>
        </w:rPr>
      </w:pPr>
    </w:p>
    <w:p w14:paraId="3F457903">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楷体" w:cs="楷体" w:eastAsia="楷体" w:hAnsi="楷体" w:hint="default"/>
          <w:b/>
          <w:bCs w:val="false"/>
          <w:color w:val="auto"/>
          <w:sz w:val="32"/>
          <w:szCs w:val="32"/>
          <w:lang w:val="en-US" w:eastAsia="zh-CN"/>
        </w:rPr>
      </w:pPr>
      <w:r>
        <w:rPr>
          <w:rFonts w:ascii="楷体" w:cs="楷体" w:eastAsia="楷体" w:hAnsi="楷体" w:hint="eastAsia"/>
          <w:b/>
          <w:bCs w:val="false"/>
          <w:color w:val="auto"/>
          <w:sz w:val="32"/>
          <w:szCs w:val="32"/>
          <w:lang w:val="en-US" w:eastAsia="zh-CN"/>
        </w:rPr>
        <w:t>（四）规划方案</w:t>
      </w:r>
    </w:p>
    <w:p w14:paraId="08A9AC94">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规划预测固镇县近期年工程渣土与工程泥浆产生量约为 80.64万吨/年,近期工程垃圾产生量约为 5.01万吨/年，拆除垃圾产生量约为16.20万吨/年，装修垃圾产生量约 5.67万吨/年，近期建筑垃圾合计约为107.52万吨/年。</w:t>
      </w:r>
    </w:p>
    <w:p w14:paraId="1DC35938">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规划预测固镇县远期工程渣土与工程泥浆产生量约为75.03万吨/年,远期工程垃圾产生量约为3.20万吨/年，拆除垃圾产生量约为13.24万吨/年，装修垃圾产生量约8.57万吨/年，远期建筑垃圾合计约为100.04万吨/年。</w:t>
      </w:r>
    </w:p>
    <w:p w14:paraId="1B5675E2">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3" w:firstLineChars="200"/>
        <w:textAlignment w:val="auto"/>
        <w:rPr>
          <w:rFonts w:ascii="仿宋_GB2312" w:cs="仿宋_GB2312" w:eastAsia="仿宋_GB2312" w:hAnsi="仿宋_GB2312" w:hint="eastAsia"/>
          <w:b/>
          <w:bCs w:val="false"/>
          <w:color w:val="auto"/>
          <w:kern w:val="2"/>
          <w:sz w:val="32"/>
          <w:szCs w:val="32"/>
          <w:lang w:val="en-US" w:bidi="ar-SA" w:eastAsia="zh-CN"/>
        </w:rPr>
      </w:pPr>
      <w:r>
        <w:rPr>
          <w:rFonts w:ascii="仿宋_GB2312" w:cs="仿宋_GB2312" w:eastAsia="仿宋_GB2312" w:hAnsi="仿宋_GB2312" w:hint="eastAsia"/>
          <w:b/>
          <w:bCs w:val="false"/>
          <w:color w:val="auto"/>
          <w:kern w:val="2"/>
          <w:sz w:val="32"/>
          <w:szCs w:val="32"/>
          <w:lang w:val="en-US" w:bidi="ar-SA" w:eastAsia="zh-CN"/>
        </w:rPr>
        <w:t>1.建筑垃圾源头减量规划</w:t>
      </w:r>
    </w:p>
    <w:bookmarkStart w:id="0" w:name="_Toc1684"/>
    <w:p w14:paraId="38364DBD">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建筑垃圾源头减量措施</w:t>
      </w:r>
      <w:bookmarkEnd w:id="0"/>
      <w:r>
        <w:rPr>
          <w:rFonts w:ascii="仿宋_GB2312" w:cs="仿宋_GB2312" w:eastAsia="仿宋_GB2312" w:hAnsi="仿宋_GB2312" w:hint="eastAsia"/>
          <w:color w:val="auto"/>
          <w:kern w:val="2"/>
          <w:sz w:val="32"/>
          <w:szCs w:val="32"/>
          <w:lang w:val="en-US" w:bidi="ar-SA" w:eastAsia="zh-CN"/>
        </w:rPr>
        <w:t>：开展绿色策划、实施绿色设计、推广绿色施工。</w:t>
      </w:r>
    </w:p>
    <w:p w14:paraId="230EACDF">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装修垃圾：通过推广全装修房、改善施工工艺和提高施工水平等多种方式，从源头上减少装修垃圾的产生量。</w:t>
      </w:r>
    </w:p>
    <w:p w14:paraId="3437BBE2">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560"/>
        <w:ind w:left="0" w:leftChars="0" w:right="0" w:rightChars="0" w:firstLine="640" w:firstLineChars="200"/>
        <w:jc w:val="left"/>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工程垃圾：优先使用绿色建材、发展预制装配式建筑。</w:t>
      </w:r>
    </w:p>
    <w:p w14:paraId="400EA9F4">
      <w:pPr>
        <w:pStyle w:val="style4097"/>
        <w:keepNext w:val="false"/>
        <w:keepLines w:val="false"/>
        <w:pageBreakBefore w:val="false"/>
        <w:widowControl w:val="false"/>
        <w:numPr>
          <w:ilvl w:val="0"/>
          <w:numId w:val="0"/>
        </w:numPr>
        <w:kinsoku/>
        <w:wordWrap/>
        <w:overflowPunct/>
        <w:topLinePunct w:val="false"/>
        <w:autoSpaceDE/>
        <w:autoSpaceDN/>
        <w:bidi w:val="false"/>
        <w:adjustRightInd w:val="false"/>
        <w:snapToGrid w:val="false"/>
        <w:spacing w:lineRule="exact" w:line="560"/>
        <w:ind w:left="0" w:leftChars="0" w:right="0" w:rightChars="0" w:firstLine="640" w:firstLineChars="200"/>
        <w:jc w:val="left"/>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工程渣土和工程泥浆：工程渣土和少量工程泥浆可采用区域土方调配的方式，减少最终产生的处理需要和填埋消纳的总量。</w:t>
      </w:r>
    </w:p>
    <w:p w14:paraId="09DE976C">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3" w:firstLineChars="200"/>
        <w:textAlignment w:val="auto"/>
        <w:rPr>
          <w:rFonts w:ascii="仿宋_GB2312" w:cs="仿宋_GB2312" w:eastAsia="仿宋_GB2312" w:hAnsi="仿宋_GB2312" w:hint="eastAsia"/>
          <w:b/>
          <w:bCs/>
          <w:color w:val="auto"/>
          <w:kern w:val="2"/>
          <w:sz w:val="32"/>
          <w:szCs w:val="32"/>
          <w:lang w:val="en-US" w:bidi="ar-SA" w:eastAsia="zh-CN"/>
        </w:rPr>
      </w:pPr>
      <w:r>
        <w:rPr>
          <w:rFonts w:ascii="仿宋_GB2312" w:cs="仿宋_GB2312" w:eastAsia="仿宋_GB2312" w:hAnsi="仿宋_GB2312" w:hint="eastAsia"/>
          <w:b/>
          <w:bCs w:val="false"/>
          <w:color w:val="auto"/>
          <w:kern w:val="2"/>
          <w:sz w:val="32"/>
          <w:szCs w:val="32"/>
          <w:lang w:val="en-US" w:bidi="ar-SA" w:eastAsia="zh-CN"/>
        </w:rPr>
        <w:t>2.建筑垃圾收运规划</w:t>
      </w:r>
    </w:p>
    <w:p w14:paraId="11FF8EFA">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sz w:val="32"/>
          <w:szCs w:val="32"/>
        </w:rPr>
      </w:pPr>
      <w:r>
        <w:rPr>
          <w:rFonts w:ascii="仿宋_GB2312" w:cs="仿宋_GB2312" w:eastAsia="仿宋_GB2312" w:hAnsi="仿宋_GB2312" w:hint="eastAsia"/>
          <w:color w:val="auto"/>
          <w:kern w:val="2"/>
          <w:sz w:val="32"/>
          <w:szCs w:val="32"/>
          <w:lang w:val="en-US" w:bidi="ar-SA" w:eastAsia="zh-CN"/>
        </w:rPr>
        <w:t>根据固镇县的实际情况，建筑垃圾采用“分类投放、分类运输、分类利用、分类处置”的模式，使固镇县的建筑垃圾能及时地收集、运输、处理，从而进一步提升城市的市容市貌。建筑垃圾收运、处理全过程不得混入生活垃圾、污泥、工业垃圾和危险废物。建筑垃圾进入收集系统前宜根据收运车辆和收运方式的需要进行破碎、脱水、压缩等预处理。</w:t>
      </w:r>
    </w:p>
    <w:p w14:paraId="5925B2F5">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3" w:firstLineChars="200"/>
        <w:textAlignment w:val="auto"/>
        <w:rPr>
          <w:rFonts w:ascii="仿宋_GB2312" w:cs="仿宋_GB2312" w:eastAsia="仿宋_GB2312" w:hAnsi="仿宋_GB2312" w:hint="eastAsia"/>
          <w:b/>
          <w:bCs w:val="false"/>
          <w:color w:val="auto"/>
          <w:kern w:val="2"/>
          <w:sz w:val="32"/>
          <w:szCs w:val="32"/>
          <w:lang w:val="en-US" w:bidi="ar-SA" w:eastAsia="zh-CN"/>
        </w:rPr>
      </w:pPr>
      <w:r>
        <w:rPr>
          <w:rFonts w:ascii="仿宋_GB2312" w:cs="仿宋_GB2312" w:eastAsia="仿宋_GB2312" w:hAnsi="仿宋_GB2312" w:hint="eastAsia"/>
          <w:b/>
          <w:bCs w:val="false"/>
          <w:color w:val="auto"/>
          <w:kern w:val="2"/>
          <w:sz w:val="32"/>
          <w:szCs w:val="32"/>
          <w:lang w:val="en-US" w:bidi="ar-SA" w:eastAsia="zh-CN"/>
        </w:rPr>
        <w:t>3.建筑垃圾利用及处置规划</w:t>
      </w:r>
    </w:p>
    <w:p w14:paraId="2ED8E3EC">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（1）工程垃圾与拆除垃圾性质相似，采用“资源化利用为主，消纳为辅”的处理模式，可资源化利用的建筑废物进入建筑垃圾资源化利用厂再生利用，最大化实现资源化利用。</w:t>
      </w:r>
    </w:p>
    <w:p w14:paraId="0026E7CB">
      <w:pPr>
        <w:pStyle w:val="style4097"/>
        <w:keepNext w:val="false"/>
        <w:keepLines w:val="false"/>
        <w:pageBreakBefore w:val="false"/>
        <w:widowControl w:val="false"/>
        <w:kinsoku/>
        <w:wordWrap/>
        <w:overflowPunct/>
        <w:topLinePunct w:val="false"/>
        <w:autoSpaceDE/>
        <w:autoSpaceDN/>
        <w:bidi w:val="false"/>
        <w:adjustRightInd/>
        <w:snapToGrid w:val="false"/>
        <w:spacing w:lineRule="exact" w:line="560"/>
        <w:ind w:left="0" w:leftChars="0" w:right="0" w:rightChars="0" w:firstLine="56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（2）装修垃圾：规划近期装修垃圾在产生源头进行人工分选减量后，可资源化利用的建筑废物进入建筑垃圾资源化利用厂再生利用，危险废弃物及有害垃圾进入危废处理设施处理</w:t>
      </w:r>
    </w:p>
    <w:p w14:paraId="531E5BE4">
      <w:pPr>
        <w:pStyle w:val="style4097"/>
        <w:keepNext w:val="false"/>
        <w:keepLines w:val="false"/>
        <w:pageBreakBefore w:val="false"/>
        <w:widowControl w:val="false"/>
        <w:kinsoku/>
        <w:wordWrap/>
        <w:overflowPunct/>
        <w:topLinePunct w:val="false"/>
        <w:autoSpaceDE/>
        <w:autoSpaceDN/>
        <w:bidi w:val="false"/>
        <w:adjustRightInd/>
        <w:snapToGrid w:val="false"/>
        <w:spacing w:lineRule="exact" w:line="560"/>
        <w:ind w:left="0" w:leftChars="0" w:right="0" w:rightChars="0" w:firstLine="56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可燃物进入垃圾焚烧厂进行处理。</w:t>
      </w:r>
    </w:p>
    <w:p w14:paraId="7E28EE7F">
      <w:pPr>
        <w:pStyle w:val="style4097"/>
        <w:keepNext w:val="false"/>
        <w:keepLines w:val="false"/>
        <w:pageBreakBefore w:val="false"/>
        <w:widowControl w:val="false"/>
        <w:kinsoku/>
        <w:wordWrap/>
        <w:overflowPunct/>
        <w:topLinePunct w:val="false"/>
        <w:autoSpaceDE/>
        <w:autoSpaceDN/>
        <w:bidi w:val="false"/>
        <w:adjustRightInd/>
        <w:snapToGrid w:val="false"/>
        <w:spacing w:lineRule="exact" w:line="560"/>
        <w:ind w:left="0" w:leftChars="0" w:right="0" w:rightChars="0" w:firstLine="56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（3）工程渣土和工程泥浆：工程渣土和经固化、脱水处理后的工程泥浆可用于资源化利用、域内平衡、跨区域调剂平衡、生态修复利用、场地平整。</w:t>
      </w:r>
    </w:p>
    <w:p w14:paraId="70810E11">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仿宋_GB2312" w:cs="仿宋_GB2312" w:eastAsia="仿宋_GB2312" w:hAnsi="仿宋_GB2312" w:hint="eastAsia"/>
          <w:b/>
          <w:bCs w:val="false"/>
          <w:color w:val="auto"/>
          <w:sz w:val="32"/>
          <w:szCs w:val="32"/>
          <w:lang w:val="en-US" w:eastAsia="zh-CN"/>
        </w:rPr>
      </w:pPr>
      <w:r>
        <w:rPr>
          <w:rFonts w:ascii="仿宋_GB2312" w:cs="仿宋_GB2312" w:eastAsia="仿宋_GB2312" w:hAnsi="仿宋_GB2312" w:hint="eastAsia"/>
          <w:b/>
          <w:bCs w:val="false"/>
          <w:color w:val="auto"/>
          <w:sz w:val="32"/>
          <w:szCs w:val="32"/>
          <w:lang w:val="en-US" w:eastAsia="zh-CN"/>
        </w:rPr>
        <w:t>4.建筑垃圾存量治理规划</w:t>
      </w:r>
    </w:p>
    <w:p w14:paraId="6E0DF4BC">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i w:val="false"/>
          <w:iCs w:val="false"/>
          <w:caps w:val="false"/>
          <w:color w:val="000000"/>
          <w:spacing w:val="0"/>
          <w:sz w:val="32"/>
          <w:szCs w:val="32"/>
          <w:shd w:val="clear" w:color="auto" w:fill="ffffff"/>
        </w:rPr>
        <w:t>对</w:t>
      </w:r>
      <w:r>
        <w:rPr>
          <w:rFonts w:ascii="仿宋_GB2312" w:cs="仿宋_GB2312" w:eastAsia="仿宋_GB2312" w:hAnsi="仿宋_GB2312" w:hint="eastAsia"/>
          <w:i w:val="false"/>
          <w:iCs w:val="false"/>
          <w:caps w:val="false"/>
          <w:color w:val="000000"/>
          <w:spacing w:val="0"/>
          <w:sz w:val="32"/>
          <w:szCs w:val="32"/>
          <w:shd w:val="clear" w:color="auto" w:fill="ffffff"/>
          <w:lang w:val="en-US" w:eastAsia="zh-CN"/>
        </w:rPr>
        <w:t>固镇县</w:t>
      </w:r>
      <w:r>
        <w:rPr>
          <w:rFonts w:ascii="仿宋_GB2312" w:cs="仿宋_GB2312" w:eastAsia="仿宋_GB2312" w:hAnsi="仿宋_GB2312" w:hint="eastAsia"/>
          <w:i w:val="false"/>
          <w:iCs w:val="false"/>
          <w:caps w:val="false"/>
          <w:color w:val="000000"/>
          <w:spacing w:val="0"/>
          <w:sz w:val="32"/>
          <w:szCs w:val="32"/>
          <w:shd w:val="clear" w:color="auto" w:fill="ffffff"/>
        </w:rPr>
        <w:t>全县域范围各类非正规垃圾堆放点进行了全面立体排查，以确保及时发现、及时整治、及时查处、及时销号，严防新增点位产生。</w:t>
      </w:r>
      <w:r>
        <w:rPr>
          <w:rFonts w:ascii="仿宋_GB2312" w:cs="仿宋_GB2312" w:eastAsia="仿宋_GB2312" w:hAnsi="仿宋_GB2312" w:hint="eastAsia"/>
          <w:color w:val="auto"/>
          <w:kern w:val="2"/>
          <w:sz w:val="32"/>
          <w:szCs w:val="32"/>
          <w:lang w:val="en-US" w:bidi="ar-SA" w:eastAsia="zh-CN"/>
        </w:rPr>
        <w:t>以源头非法出土、末端非法消纳、未经核准擅自运输为重点，依法从严追究单位主体责任及相关人员个人责任。</w:t>
      </w:r>
    </w:p>
    <w:p w14:paraId="22143BE9">
      <w:pPr>
        <w:pStyle w:val="style0"/>
        <w:keepNext w:val="false"/>
        <w:keepLines w:val="false"/>
        <w:pageBreakBefore w:val="false"/>
        <w:kinsoku/>
        <w:wordWrap/>
        <w:overflowPunct/>
        <w:topLinePunct w:val="false"/>
        <w:autoSpaceDE/>
        <w:autoSpaceDN/>
        <w:bidi w:val="false"/>
        <w:spacing w:lineRule="exact" w:line="560"/>
        <w:ind w:firstLine="643" w:firstLineChars="200"/>
        <w:outlineLvl w:val="0"/>
        <w:rPr>
          <w:rFonts w:ascii="仿宋_GB2312" w:cs="仿宋_GB2312" w:eastAsia="仿宋_GB2312" w:hAnsi="仿宋_GB2312" w:hint="eastAsia"/>
          <w:b/>
          <w:bCs w:val="false"/>
          <w:color w:val="auto"/>
          <w:sz w:val="32"/>
          <w:szCs w:val="32"/>
          <w:lang w:val="en-US" w:eastAsia="zh-CN"/>
        </w:rPr>
      </w:pPr>
      <w:r>
        <w:rPr>
          <w:rFonts w:ascii="仿宋_GB2312" w:cs="仿宋_GB2312" w:eastAsia="仿宋_GB2312" w:hAnsi="仿宋_GB2312" w:hint="eastAsia"/>
          <w:b/>
          <w:bCs w:val="false"/>
          <w:color w:val="auto"/>
          <w:sz w:val="32"/>
          <w:szCs w:val="32"/>
          <w:lang w:val="en-US" w:eastAsia="zh-CN"/>
        </w:rPr>
        <w:t>5.建筑垃圾监督管理规划</w:t>
      </w:r>
    </w:p>
    <w:p w14:paraId="0C73C48C">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（1）联合执法制度：住建、生态环境、交通、公安交管等部门应全面落实联勤联动机制，在切实强化日常执法管理的基础上，定期和不定期开展联合执法整治。</w:t>
      </w:r>
    </w:p>
    <w:p w14:paraId="60321B00">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2）建筑垃圾全过程监管制度：建设项目在规划设计阶段应同步编制建筑垃圾减量、分类和资源化利用等专项方案。加强建筑垃圾源头管理，工程建设单位要将建筑垃圾运输和处置费用纳入工程预算，保证运输和处置经费。</w:t>
      </w:r>
    </w:p>
    <w:p w14:paraId="54224CDC">
      <w:pPr>
        <w:pStyle w:val="style4097"/>
        <w:keepNext w:val="false"/>
        <w:keepLines w:val="false"/>
        <w:pageBreakBefore w:val="false"/>
        <w:widowControl w:val="false"/>
        <w:numPr>
          <w:ilvl w:val="0"/>
          <w:numId w:val="0"/>
        </w:numPr>
        <w:kinsoku/>
        <w:wordWrap/>
        <w:overflowPunct/>
        <w:topLinePunct w:val="false"/>
        <w:autoSpaceDE/>
        <w:autoSpaceDN/>
        <w:bidi w:val="false"/>
        <w:adjustRightInd/>
        <w:snapToGrid w:val="false"/>
        <w:spacing w:lineRule="exact" w:line="560"/>
        <w:ind w:right="0" w:rightChars="0" w:firstLine="640" w:firstLineChars="200"/>
        <w:textAlignment w:val="auto"/>
        <w:rPr>
          <w:rFonts w:ascii="仿宋_GB2312" w:cs="仿宋_GB2312" w:eastAsia="仿宋_GB2312" w:hAnsi="仿宋_GB2312" w:hint="eastAsia"/>
          <w:color w:val="auto"/>
          <w:kern w:val="2"/>
          <w:sz w:val="32"/>
          <w:szCs w:val="32"/>
          <w:lang w:val="en-US" w:bidi="ar-SA" w:eastAsia="zh-CN"/>
        </w:rPr>
      </w:pPr>
      <w:r>
        <w:rPr>
          <w:rFonts w:ascii="仿宋_GB2312" w:cs="仿宋_GB2312" w:eastAsia="仿宋_GB2312" w:hAnsi="仿宋_GB2312" w:hint="eastAsia"/>
          <w:color w:val="auto"/>
          <w:kern w:val="2"/>
          <w:sz w:val="32"/>
          <w:szCs w:val="32"/>
          <w:lang w:val="en-US" w:bidi="ar-SA" w:eastAsia="zh-CN"/>
        </w:rPr>
        <w:t>（3）建筑垃圾处置核准制度：从事建筑垃圾处置活动的单位，应当向所在地住建部门提出申请，办理建筑垃圾处置许可。</w:t>
      </w:r>
    </w:p>
    <w:p w14:paraId="6B7E5E3E">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auto"/>
    <w:pitch w:val="default"/>
    <w:sig w:usb0="E0002EFF" w:usb1="C000785B" w:usb2="00000009" w:usb3="00000000" w:csb0="400001FF" w:csb1="FFFF0000"/>
  </w:font>
  <w:font w:name="宋体">
    <w:altName w:val="宋体"/>
    <w:panose1 w:val="02010600030000010101"/>
    <w:charset w:val="81"/>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003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_GB2312"/>
    <w:panose1 w:val="02010609030000010101"/>
    <w:charset w:val="86"/>
    <w:family w:val="modern"/>
    <w:pitch w:val="default"/>
    <w:sig w:usb0="00000001" w:usb1="080E0000" w:usb2="00000000" w:usb3="00000000" w:csb0="00040000" w:csb1="00000000"/>
  </w:font>
  <w:font w:name="楷体">
    <w:altName w:val="楷体"/>
    <w:panose1 w:val="02010609060000010101"/>
    <w:charset w:val="86"/>
    <w:family w:val="auto"/>
    <w:pitch w:val="default"/>
    <w:sig w:usb0="800002BF" w:usb1="38CF7CFA" w:usb2="00000016" w:usb3="00000000" w:csb0="00040001" w:csb1="00000000"/>
  </w:font>
  <w:font w:name="仿宋">
    <w:altName w:val="仿宋"/>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5"/>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78">
    <w:name w:val="Body Text First Indent 2"/>
    <w:basedOn w:val="style67"/>
    <w:next w:val="style78"/>
    <w:uiPriority w:val="99"/>
    <w:pPr>
      <w:adjustRightInd w:val="false"/>
      <w:spacing w:lineRule="auto" w:line="360"/>
      <w:ind w:left="0" w:leftChars="0" w:firstLine="200" w:firstLineChars="200"/>
    </w:pPr>
    <w:rPr>
      <w:sz w:val="28"/>
    </w:rPr>
  </w:style>
  <w:style w:type="paragraph" w:styleId="style67">
    <w:name w:val="Body Text Indent"/>
    <w:basedOn w:val="style0"/>
    <w:next w:val="style37"/>
    <w:qFormat/>
    <w:uiPriority w:val="99"/>
    <w:pPr>
      <w:ind w:firstLine="480"/>
    </w:pPr>
    <w:rPr>
      <w:kern w:val="0"/>
      <w:sz w:val="24"/>
    </w:rPr>
  </w:style>
  <w:style w:type="paragraph" w:styleId="style37">
    <w:name w:val="envelope return"/>
    <w:basedOn w:val="style0"/>
    <w:next w:val="style37"/>
    <w:qFormat/>
    <w:uiPriority w:val="0"/>
    <w:pPr>
      <w:snapToGrid w:val="false"/>
    </w:pPr>
    <w:rPr>
      <w:rFonts w:ascii="Arial" w:hAnsi="Arial"/>
    </w:rPr>
  </w:style>
  <w:style w:type="paragraph" w:styleId="style34">
    <w:name w:val="caption"/>
    <w:basedOn w:val="style0"/>
    <w:next w:val="style0"/>
    <w:qFormat/>
    <w:uiPriority w:val="0"/>
    <w:pPr>
      <w:ind w:firstLine="0" w:firstLineChars="0"/>
      <w:jc w:val="center"/>
    </w:pPr>
    <w:rPr>
      <w:rFonts w:ascii="Times New Roman" w:eastAsia="宋体" w:hAnsi="Times New Roman"/>
      <w:b/>
      <w:sz w:val="20"/>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hAnsi="宋体"/>
      <w:kern w:val="0"/>
      <w:sz w:val="24"/>
    </w:rPr>
  </w:style>
  <w:style w:type="paragraph" w:customStyle="1" w:styleId="style4097">
    <w:name w:val="列出段落"/>
    <w:basedOn w:val="style0"/>
    <w:next w:val="style4097"/>
    <w:qFormat/>
    <w:uiPriority w:val="0"/>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2169</Words>
  <Pages>5</Pages>
  <Characters>2307</Characters>
  <Application>WPS Office</Application>
  <DocSecurity>0</DocSecurity>
  <Paragraphs>100</Paragraphs>
  <ScaleCrop>false</ScaleCrop>
  <LinksUpToDate>false</LinksUpToDate>
  <CharactersWithSpaces>2311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2025-09-04T07:23:00Z</dcterms:created>
  <dc:creator>小李飞砖</dc:creator>
  <lastModifiedBy>PFDM00</lastModifiedBy>
  <dcterms:modified xsi:type="dcterms:W3CDTF">2025-09-04T10:16:37Z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E6C17839C9794693958692B806C56FFE_11</vt:lpwstr>
  </property>
  <property fmtid="{D5CDD505-2E9C-101B-9397-08002B2CF9AE}" pid="4" name="KSOTemplateDocerSaveRecord">
    <vt:lpwstr>eyJoZGlkIjoiYmZkNjk1NjhmMTMwOGNjOTkwZDkyNjU2NWZlZTBhMGYiLCJ1c2VySWQiOiI0MjA0OTY4OTAifQ==</vt:lpwstr>
  </property>
</Properties>
</file>