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EFDDC">
      <w:pPr>
        <w:keepNext w:val="0"/>
        <w:keepLines w:val="0"/>
        <w:pageBreakBefore w:val="0"/>
        <w:widowControl w:val="0"/>
        <w:kinsoku/>
        <w:wordWrap/>
        <w:overflowPunct/>
        <w:topLinePunct w:val="0"/>
        <w:autoSpaceDE/>
        <w:autoSpaceDN/>
        <w:bidi w:val="0"/>
        <w:adjustRightInd/>
        <w:snapToGrid/>
        <w:spacing w:line="576" w:lineRule="exact"/>
        <w:jc w:val="left"/>
        <w:textAlignment w:val="auto"/>
        <w:rPr>
          <w:rFonts w:hint="eastAsia" w:ascii="Times New Roman" w:hAnsi="Times New Roman" w:eastAsia="方正小标宋简体" w:cs="Times New Roman"/>
          <w:b w:val="0"/>
          <w:i w:val="0"/>
          <w:color w:val="auto"/>
          <w:sz w:val="44"/>
          <w:szCs w:val="44"/>
          <w:lang w:val="en-US" w:eastAsia="zh-CN"/>
        </w:rPr>
      </w:pPr>
    </w:p>
    <w:p w14:paraId="12DBAD0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简体" w:cs="Times New Roman"/>
          <w:b w:val="0"/>
          <w:i w:val="0"/>
          <w:color w:val="auto"/>
          <w:sz w:val="44"/>
          <w:szCs w:val="44"/>
          <w:lang w:val="en-US" w:eastAsia="zh-CN"/>
        </w:rPr>
      </w:pPr>
    </w:p>
    <w:p w14:paraId="7DD13B83">
      <w:pPr>
        <w:keepNext w:val="0"/>
        <w:keepLines w:val="0"/>
        <w:pageBreakBefore w:val="0"/>
        <w:widowControl w:val="0"/>
        <w:kinsoku/>
        <w:wordWrap/>
        <w:overflowPunct/>
        <w:topLinePunct w:val="0"/>
        <w:autoSpaceDE/>
        <w:autoSpaceDN/>
        <w:spacing w:line="576" w:lineRule="exact"/>
        <w:jc w:val="both"/>
        <w:textAlignment w:val="auto"/>
        <w:rPr>
          <w:rFonts w:hint="eastAsia" w:ascii="仿宋_GB2312" w:eastAsia="仿宋_GB2312"/>
          <w:sz w:val="32"/>
          <w:szCs w:val="32"/>
          <w:lang w:eastAsia="zh-CN"/>
        </w:rPr>
      </w:pPr>
    </w:p>
    <w:p w14:paraId="0FBC2603">
      <w:pPr>
        <w:jc w:val="center"/>
        <w:rPr>
          <w:rFonts w:hint="default" w:ascii="Times New Roman" w:hAnsi="Times New Roman" w:eastAsia="仿宋_GB2312" w:cs="Times New Roman"/>
          <w:sz w:val="32"/>
          <w:szCs w:val="32"/>
          <w:lang w:eastAsia="zh-CN"/>
        </w:rPr>
      </w:pPr>
    </w:p>
    <w:p w14:paraId="6B462BE8">
      <w:pPr>
        <w:jc w:val="center"/>
        <w:rPr>
          <w:rFonts w:hint="eastAsia" w:eastAsia="方正小标宋简体"/>
          <w:color w:val="000000"/>
          <w:sz w:val="44"/>
          <w:szCs w:val="44"/>
          <w:lang w:val="en-US" w:eastAsia="zh-CN"/>
        </w:rPr>
      </w:pPr>
      <w:r>
        <w:rPr>
          <w:rFonts w:hint="default" w:ascii="Times New Roman" w:hAnsi="Times New Roman" w:eastAsia="仿宋_GB2312" w:cs="Times New Roman"/>
          <w:sz w:val="32"/>
          <w:szCs w:val="32"/>
          <w:lang w:eastAsia="zh-CN"/>
        </w:rPr>
        <w:t>固</w:t>
      </w:r>
      <w:r>
        <w:rPr>
          <w:rFonts w:hint="default" w:ascii="Times New Roman" w:hAnsi="Times New Roman" w:eastAsia="仿宋_GB2312" w:cs="Times New Roman"/>
          <w:sz w:val="32"/>
          <w:szCs w:val="32"/>
          <w:lang w:val="en-US" w:eastAsia="zh-CN"/>
        </w:rPr>
        <w:t>农字</w:t>
      </w:r>
      <w:r>
        <w:rPr>
          <w:rFonts w:hint="default" w:ascii="Times New Roman" w:hAnsi="Times New Roman" w:eastAsia="仿宋_GB2312" w:cs="Times New Roman"/>
          <w:sz w:val="32"/>
          <w:szCs w:val="32"/>
          <w:lang w:eastAsia="zh-CN"/>
        </w:rPr>
        <w:t>〔2026〕</w:t>
      </w:r>
      <w:r>
        <w:rPr>
          <w:rFonts w:hint="eastAsia" w:ascii="Times New Roman" w:hAnsi="Times New Roman" w:eastAsia="仿宋_GB2312" w:cs="Times New Roman"/>
          <w:sz w:val="32"/>
          <w:szCs w:val="32"/>
          <w:lang w:val="en-US" w:eastAsia="zh-CN"/>
        </w:rPr>
        <w:t>31</w:t>
      </w:r>
      <w:r>
        <w:rPr>
          <w:rFonts w:hint="default" w:ascii="Times New Roman" w:hAnsi="Times New Roman" w:eastAsia="仿宋_GB2312" w:cs="Times New Roman"/>
          <w:sz w:val="32"/>
          <w:szCs w:val="32"/>
          <w:lang w:eastAsia="zh-CN"/>
        </w:rPr>
        <w:t>号</w:t>
      </w:r>
      <w:r>
        <w:rPr>
          <w:rFonts w:hint="default" w:ascii="Times New Roman" w:hAnsi="Times New Roman" w:eastAsia="仿宋_GB2312" w:cs="Times New Roman"/>
          <w:sz w:val="32"/>
          <w:szCs w:val="32"/>
          <w:highlight w:val="none"/>
        </w:rPr>
        <w:t xml:space="preserve"> </w:t>
      </w:r>
      <w:r>
        <w:rPr>
          <w:rFonts w:hint="default" w:ascii="Times New Roman" w:hAnsi="Times New Roman" w:cs="Times New Roman"/>
          <w:sz w:val="32"/>
          <w:szCs w:val="32"/>
        </w:rPr>
        <w:t xml:space="preserve">                  </w:t>
      </w:r>
      <w:r>
        <w:rPr>
          <w:rFonts w:hint="default" w:ascii="Times New Roman" w:hAnsi="Times New Roman" w:eastAsia="仿宋_GB2312" w:cs="Times New Roman"/>
          <w:sz w:val="32"/>
          <w:szCs w:val="32"/>
          <w:highlight w:val="none"/>
        </w:rPr>
        <w:t>签发人：</w:t>
      </w:r>
      <w:r>
        <w:rPr>
          <w:rFonts w:hint="default" w:ascii="Times New Roman" w:hAnsi="Times New Roman" w:eastAsia="仿宋_GB2312" w:cs="Times New Roman"/>
          <w:sz w:val="32"/>
          <w:szCs w:val="32"/>
          <w:highlight w:val="none"/>
          <w:lang w:val="en-US" w:eastAsia="zh-CN"/>
        </w:rPr>
        <w:t>陈来璞</w:t>
      </w:r>
    </w:p>
    <w:p w14:paraId="023DF946">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Times New Roman" w:hAnsi="Times New Roman" w:eastAsia="方正小标宋简体" w:cs="Times New Roman"/>
          <w:b w:val="0"/>
          <w:i w:val="0"/>
          <w:color w:val="auto"/>
          <w:sz w:val="44"/>
          <w:szCs w:val="44"/>
          <w:lang w:val="en-US" w:eastAsia="zh-CN"/>
        </w:rPr>
      </w:pPr>
      <w:bookmarkStart w:id="0" w:name="_GoBack"/>
      <w:bookmarkEnd w:id="0"/>
    </w:p>
    <w:p w14:paraId="711EC8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jc w:val="center"/>
        <w:textAlignment w:val="auto"/>
        <w:rPr>
          <w:rFonts w:hint="eastAsia" w:ascii="Times New Roman" w:hAnsi="Times New Roman" w:eastAsia="方正小标宋简体" w:cs="Times New Roman"/>
          <w:b w:val="0"/>
          <w:bCs w:val="0"/>
          <w:color w:val="auto"/>
          <w:spacing w:val="0"/>
          <w:kern w:val="2"/>
          <w:sz w:val="44"/>
          <w:szCs w:val="44"/>
          <w:lang w:val="en-US" w:eastAsia="zh-CN" w:bidi="ar"/>
        </w:rPr>
      </w:pPr>
      <w:r>
        <w:rPr>
          <w:rFonts w:hint="eastAsia" w:ascii="Times New Roman" w:hAnsi="Times New Roman" w:eastAsia="方正小标宋简体" w:cs="Times New Roman"/>
          <w:b w:val="0"/>
          <w:bCs w:val="0"/>
          <w:color w:val="auto"/>
          <w:spacing w:val="0"/>
          <w:kern w:val="2"/>
          <w:sz w:val="44"/>
          <w:szCs w:val="44"/>
          <w:lang w:val="en-US" w:eastAsia="zh-CN" w:bidi="ar"/>
        </w:rPr>
        <w:t>关于固镇县2026年农作物秸秆综合利用</w:t>
      </w:r>
    </w:p>
    <w:p w14:paraId="25DAAB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jc w:val="center"/>
        <w:textAlignment w:val="auto"/>
        <w:rPr>
          <w:rFonts w:hint="eastAsia" w:ascii="Times New Roman" w:hAnsi="Times New Roman" w:eastAsia="方正小标宋简体" w:cs="Times New Roman"/>
          <w:b w:val="0"/>
          <w:bCs w:val="0"/>
          <w:color w:val="auto"/>
          <w:spacing w:val="0"/>
          <w:kern w:val="2"/>
          <w:sz w:val="44"/>
          <w:szCs w:val="44"/>
          <w:lang w:val="en-US" w:eastAsia="zh-CN" w:bidi="ar"/>
        </w:rPr>
      </w:pPr>
      <w:r>
        <w:rPr>
          <w:rFonts w:hint="eastAsia" w:ascii="Times New Roman" w:hAnsi="Times New Roman" w:eastAsia="方正小标宋简体" w:cs="Times New Roman"/>
          <w:b w:val="0"/>
          <w:bCs w:val="0"/>
          <w:color w:val="auto"/>
          <w:spacing w:val="0"/>
          <w:kern w:val="2"/>
          <w:sz w:val="44"/>
          <w:szCs w:val="44"/>
          <w:lang w:val="en-US" w:eastAsia="zh-CN" w:bidi="ar"/>
        </w:rPr>
        <w:t>奖补资金实施方案的补充通知</w:t>
      </w:r>
    </w:p>
    <w:p w14:paraId="60882C7B">
      <w:pPr>
        <w:widowControl/>
        <w:shd w:val="clear" w:color="auto" w:fill="FFFFFF"/>
        <w:spacing w:line="560" w:lineRule="exact"/>
        <w:ind w:firstLine="640"/>
        <w:textAlignment w:val="baseline"/>
        <w:rPr>
          <w:rFonts w:ascii="Times New Roman" w:hAnsi="仿宋_GB2312" w:eastAsia="仿宋_GB2312" w:cs="Times New Roman"/>
          <w:color w:val="auto"/>
          <w:kern w:val="0"/>
          <w:sz w:val="32"/>
          <w:szCs w:val="32"/>
        </w:rPr>
      </w:pPr>
    </w:p>
    <w:p w14:paraId="49CCE3F2">
      <w:pPr>
        <w:keepNext w:val="0"/>
        <w:keepLines w:val="0"/>
        <w:pageBreakBefore w:val="0"/>
        <w:widowControl/>
        <w:shd w:val="clear" w:color="auto" w:fill="FFFFFF"/>
        <w:kinsoku/>
        <w:wordWrap/>
        <w:overflowPunct/>
        <w:topLinePunct w:val="0"/>
        <w:autoSpaceDE/>
        <w:autoSpaceDN/>
        <w:bidi w:val="0"/>
        <w:adjustRightInd/>
        <w:snapToGrid/>
        <w:spacing w:line="576" w:lineRule="exact"/>
        <w:ind w:left="0" w:leftChars="0"/>
        <w:jc w:val="left"/>
        <w:textAlignment w:val="baseline"/>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各乡镇人民政府：</w:t>
      </w:r>
    </w:p>
    <w:p w14:paraId="016F45F8">
      <w:pPr>
        <w:keepNext w:val="0"/>
        <w:keepLines w:val="0"/>
        <w:pageBreakBefore w:val="0"/>
        <w:widowControl/>
        <w:suppressLineNumbers w:val="0"/>
        <w:kinsoku/>
        <w:wordWrap/>
        <w:overflowPunct/>
        <w:topLinePunct w:val="0"/>
        <w:autoSpaceDE/>
        <w:autoSpaceDN/>
        <w:bidi w:val="0"/>
        <w:adjustRightInd/>
        <w:snapToGrid/>
        <w:spacing w:line="576" w:lineRule="exact"/>
        <w:ind w:left="0" w:leftChars="0" w:firstLine="640" w:firstLineChars="200"/>
        <w:jc w:val="left"/>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根据《蚌埠市农业农村局关于做好省财政秸秆综合利用奖补激励资金实施工作的通知》文件精神，结合实际，现对我县2026年农作物秸秆综合利用奖补资金使用范围进一步补充完善，具体补充条款通知如下：</w:t>
      </w:r>
    </w:p>
    <w:p w14:paraId="4EBA14A5">
      <w:pPr>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一、奖补金额及来源</w:t>
      </w:r>
    </w:p>
    <w:p w14:paraId="2D25BBD9">
      <w:pPr>
        <w:keepNext w:val="0"/>
        <w:keepLines w:val="0"/>
        <w:pageBreakBefore w:val="0"/>
        <w:widowControl/>
        <w:suppressLineNumbers w:val="0"/>
        <w:kinsoku/>
        <w:wordWrap/>
        <w:overflowPunct/>
        <w:topLinePunct w:val="0"/>
        <w:autoSpaceDE/>
        <w:autoSpaceDN/>
        <w:bidi w:val="0"/>
        <w:adjustRightInd/>
        <w:snapToGrid/>
        <w:spacing w:line="576" w:lineRule="exact"/>
        <w:ind w:left="0" w:leftChars="0" w:firstLine="640" w:firstLineChars="200"/>
        <w:jc w:val="left"/>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2026年9月，市农业农村局分配我县</w:t>
      </w:r>
      <w:r>
        <w:rPr>
          <w:rFonts w:hint="default" w:ascii="Times New Roman" w:hAnsi="Times New Roman" w:eastAsia="仿宋_GB2312" w:cs="Times New Roman"/>
          <w:color w:val="auto"/>
          <w:kern w:val="0"/>
          <w:sz w:val="32"/>
          <w:szCs w:val="32"/>
          <w:lang w:val="en-US" w:eastAsia="zh-CN" w:bidi="ar"/>
        </w:rPr>
        <w:t>秸秆综合利用奖补资金50</w:t>
      </w:r>
      <w:r>
        <w:rPr>
          <w:rFonts w:hint="default" w:ascii="Times New Roman" w:hAnsi="Times New Roman" w:eastAsia="仿宋_GB2312" w:cs="Times New Roman"/>
          <w:bCs/>
          <w:color w:val="auto"/>
          <w:sz w:val="32"/>
          <w:szCs w:val="32"/>
          <w:lang w:val="en-US" w:eastAsia="zh-CN"/>
        </w:rPr>
        <w:t>万元。</w:t>
      </w:r>
    </w:p>
    <w:p w14:paraId="17D91AB3">
      <w:pPr>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40" w:firstLineChars="200"/>
        <w:rPr>
          <w:rFonts w:hint="default" w:ascii="黑体" w:hAnsi="黑体" w:eastAsia="黑体" w:cs="黑体"/>
          <w:color w:val="auto"/>
          <w:sz w:val="32"/>
          <w:szCs w:val="32"/>
          <w:lang w:val="en-US" w:eastAsia="zh-CN"/>
        </w:rPr>
      </w:pPr>
      <w:r>
        <w:rPr>
          <w:rFonts w:hint="default" w:ascii="黑体" w:hAnsi="黑体" w:eastAsia="黑体" w:cs="黑体"/>
          <w:color w:val="auto"/>
          <w:sz w:val="32"/>
          <w:szCs w:val="32"/>
          <w:lang w:val="en-US" w:eastAsia="zh-CN"/>
        </w:rPr>
        <w:t>二、资金安排范围及标准</w:t>
      </w:r>
    </w:p>
    <w:p w14:paraId="75E15CC5">
      <w:pPr>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43" w:firstLineChars="200"/>
        <w:rPr>
          <w:rFonts w:hint="eastAsia" w:ascii="Times New Roman" w:hAnsi="Times New Roman" w:eastAsia="仿宋_GB2312" w:cs="Times New Roman"/>
          <w:snapToGrid/>
          <w:color w:val="auto"/>
          <w:kern w:val="2"/>
          <w:sz w:val="32"/>
          <w:szCs w:val="32"/>
          <w:lang w:val="en-US" w:eastAsia="zh-CN" w:bidi="ar-SA"/>
        </w:rPr>
      </w:pPr>
      <w:r>
        <w:rPr>
          <w:rFonts w:hint="eastAsia" w:ascii="楷体_GB2312" w:hAnsi="楷体_GB2312" w:eastAsia="楷体_GB2312" w:cs="楷体_GB2312"/>
          <w:b/>
          <w:bCs/>
          <w:snapToGrid/>
          <w:color w:val="auto"/>
          <w:kern w:val="2"/>
          <w:sz w:val="32"/>
          <w:szCs w:val="32"/>
          <w:lang w:val="en-US" w:eastAsia="zh-CN" w:bidi="ar-SA"/>
        </w:rPr>
        <w:t>（一）秸秆产业化利用奖补</w:t>
      </w:r>
      <w:r>
        <w:rPr>
          <w:rFonts w:hint="eastAsia" w:ascii="楷体_GB2312" w:hAnsi="楷体_GB2312" w:eastAsia="楷体_GB2312" w:cs="楷体_GB2312"/>
          <w:b/>
          <w:bCs/>
          <w:color w:val="auto"/>
          <w:kern w:val="2"/>
          <w:sz w:val="32"/>
          <w:szCs w:val="32"/>
          <w:lang w:val="en-US" w:eastAsia="zh-CN" w:bidi="ar-SA"/>
        </w:rPr>
        <w:t>。</w:t>
      </w:r>
      <w:r>
        <w:rPr>
          <w:rFonts w:hint="default" w:ascii="Times New Roman" w:hAnsi="Times New Roman" w:eastAsia="仿宋_GB2312" w:cs="Times New Roman"/>
          <w:bCs/>
          <w:color w:val="auto"/>
          <w:sz w:val="32"/>
          <w:szCs w:val="32"/>
          <w:lang w:val="en-US" w:eastAsia="zh-CN"/>
        </w:rPr>
        <w:t>用于秸秆产业化利用项目，</w:t>
      </w:r>
      <w:r>
        <w:rPr>
          <w:rFonts w:hint="default" w:ascii="Times New Roman" w:hAnsi="Times New Roman" w:eastAsia="仿宋_GB2312" w:cs="Times New Roman"/>
          <w:color w:val="auto"/>
          <w:kern w:val="2"/>
          <w:sz w:val="32"/>
          <w:szCs w:val="32"/>
          <w:lang w:val="en-US" w:eastAsia="zh-CN" w:bidi="ar-SA"/>
        </w:rPr>
        <w:t>严格按照《固镇县2026年省级财政农作物秸秆综合利用奖补资金实施方案》</w:t>
      </w:r>
      <w:r>
        <w:rPr>
          <w:rFonts w:hint="default" w:ascii="Times New Roman" w:hAnsi="Times New Roman" w:eastAsia="仿宋_GB2312" w:cs="Times New Roman"/>
          <w:snapToGrid/>
          <w:color w:val="auto"/>
          <w:kern w:val="2"/>
          <w:sz w:val="32"/>
          <w:szCs w:val="32"/>
          <w:lang w:val="en-US" w:eastAsia="zh-CN" w:bidi="ar-SA"/>
        </w:rPr>
        <w:t>（固农字〔2026〕25号）文件规定执行</w:t>
      </w:r>
      <w:r>
        <w:rPr>
          <w:rFonts w:hint="eastAsia" w:ascii="Times New Roman" w:hAnsi="Times New Roman" w:eastAsia="仿宋_GB2312" w:cs="Times New Roman"/>
          <w:snapToGrid/>
          <w:color w:val="auto"/>
          <w:kern w:val="2"/>
          <w:sz w:val="32"/>
          <w:szCs w:val="32"/>
          <w:lang w:val="en-US" w:eastAsia="zh-CN" w:bidi="ar-SA"/>
        </w:rPr>
        <w:t>。</w:t>
      </w:r>
    </w:p>
    <w:p w14:paraId="22F852F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楷体_GB2312" w:hAnsi="楷体_GB2312" w:eastAsia="楷体_GB2312" w:cs="楷体_GB2312"/>
          <w:b/>
          <w:bCs/>
          <w:snapToGrid/>
          <w:color w:val="auto"/>
          <w:kern w:val="2"/>
          <w:sz w:val="32"/>
          <w:szCs w:val="32"/>
          <w:lang w:val="en-US" w:eastAsia="zh-CN" w:bidi="ar-SA"/>
        </w:rPr>
        <w:t>（二）秸秆综合利用保险补贴。</w:t>
      </w:r>
      <w:r>
        <w:rPr>
          <w:rFonts w:hint="default" w:ascii="Times New Roman" w:hAnsi="Times New Roman" w:eastAsia="仿宋_GB2312" w:cs="Times New Roman"/>
          <w:color w:val="auto"/>
          <w:kern w:val="2"/>
          <w:sz w:val="32"/>
          <w:szCs w:val="32"/>
          <w:lang w:val="en-US" w:eastAsia="zh-CN" w:bidi="ar-SA"/>
        </w:rPr>
        <w:t>对</w:t>
      </w:r>
      <w:r>
        <w:rPr>
          <w:rFonts w:hint="default" w:ascii="Times New Roman" w:hAnsi="Times New Roman" w:eastAsia="仿宋_GB2312" w:cs="Times New Roman"/>
          <w:color w:val="auto"/>
          <w:sz w:val="32"/>
          <w:szCs w:val="32"/>
          <w:lang w:val="en-US" w:eastAsia="zh-CN"/>
        </w:rPr>
        <w:t>投保收储中心秸秆火灾综合保险的</w:t>
      </w:r>
      <w:r>
        <w:rPr>
          <w:rFonts w:hint="default" w:ascii="Times New Roman" w:hAnsi="Times New Roman" w:eastAsia="仿宋_GB2312" w:cs="Times New Roman"/>
          <w:color w:val="auto"/>
          <w:kern w:val="2"/>
          <w:sz w:val="32"/>
          <w:szCs w:val="32"/>
          <w:lang w:val="en-US" w:eastAsia="zh-CN" w:bidi="ar-SA"/>
        </w:rPr>
        <w:t>主体（保险范围：秸秆、秸秆加工机械及场内车辆、秸秆标准化收储中心钢构厂房等），按照参保主体参保总保额的30%给予补贴,</w:t>
      </w:r>
      <w:r>
        <w:rPr>
          <w:rFonts w:hint="default" w:ascii="Times New Roman" w:hAnsi="Times New Roman" w:eastAsia="仿宋_GB2312" w:cs="Times New Roman"/>
          <w:color w:val="auto"/>
          <w:sz w:val="32"/>
          <w:szCs w:val="32"/>
          <w:lang w:val="en-US" w:eastAsia="zh-CN"/>
        </w:rPr>
        <w:t>奖补资金拨付至投保主体。</w:t>
      </w:r>
    </w:p>
    <w:p w14:paraId="0A1BA38A">
      <w:pPr>
        <w:pStyle w:val="8"/>
        <w:keepNext w:val="0"/>
        <w:keepLines w:val="0"/>
        <w:pageBreakBefore w:val="0"/>
        <w:widowControl/>
        <w:suppressLineNumbers w:val="0"/>
        <w:kinsoku/>
        <w:wordWrap/>
        <w:overflowPunct/>
        <w:topLinePunct w:val="0"/>
        <w:autoSpaceDE/>
        <w:autoSpaceDN/>
        <w:bidi w:val="0"/>
        <w:adjustRightInd/>
        <w:snapToGrid/>
        <w:spacing w:line="576" w:lineRule="exact"/>
        <w:ind w:left="0" w:leftChars="0" w:firstLine="643" w:firstLineChars="200"/>
        <w:rPr>
          <w:rFonts w:hint="default" w:ascii="Times New Roman" w:hAnsi="Times New Roman" w:eastAsia="仿宋_GB2312" w:cs="Times New Roman"/>
          <w:color w:val="auto"/>
          <w:sz w:val="32"/>
          <w:szCs w:val="32"/>
          <w:lang w:val="en-US" w:eastAsia="zh-CN"/>
        </w:rPr>
      </w:pPr>
      <w:r>
        <w:rPr>
          <w:rFonts w:hint="default" w:ascii="楷体_GB2312" w:hAnsi="楷体_GB2312" w:eastAsia="楷体_GB2312" w:cs="楷体_GB2312"/>
          <w:b/>
          <w:bCs/>
          <w:snapToGrid/>
          <w:color w:val="auto"/>
          <w:kern w:val="2"/>
          <w:sz w:val="32"/>
          <w:szCs w:val="32"/>
          <w:lang w:val="en-US" w:eastAsia="zh-CN" w:bidi="ar-SA"/>
        </w:rPr>
        <w:t>（三）秸秆综合利用相关工作支出。</w:t>
      </w:r>
      <w:r>
        <w:rPr>
          <w:rFonts w:hint="default" w:ascii="Times New Roman" w:hAnsi="Times New Roman" w:eastAsia="仿宋_GB2312" w:cs="Times New Roman"/>
          <w:color w:val="auto"/>
          <w:sz w:val="32"/>
          <w:szCs w:val="32"/>
          <w:lang w:val="en-US" w:eastAsia="zh-CN"/>
        </w:rPr>
        <w:t>对秸秆综合利用宣传、项目审计、台账建设、安全管理、督查指导等方面支出给予保障。</w:t>
      </w:r>
    </w:p>
    <w:p w14:paraId="73ADF307">
      <w:pPr>
        <w:pStyle w:val="8"/>
        <w:keepNext w:val="0"/>
        <w:keepLines w:val="0"/>
        <w:pageBreakBefore w:val="0"/>
        <w:widowControl/>
        <w:suppressLineNumbers w:val="0"/>
        <w:kinsoku/>
        <w:wordWrap/>
        <w:overflowPunct/>
        <w:topLinePunct w:val="0"/>
        <w:autoSpaceDE/>
        <w:autoSpaceDN/>
        <w:bidi w:val="0"/>
        <w:adjustRightInd/>
        <w:snapToGrid/>
        <w:spacing w:line="576" w:lineRule="exact"/>
        <w:ind w:left="0" w:leftChars="0" w:firstLine="643" w:firstLineChars="200"/>
        <w:rPr>
          <w:rFonts w:hint="default" w:ascii="Times New Roman" w:hAnsi="Times New Roman" w:eastAsia="仿宋_GB2312" w:cs="Times New Roman"/>
          <w:color w:val="auto"/>
          <w:kern w:val="2"/>
          <w:sz w:val="32"/>
          <w:szCs w:val="32"/>
          <w:lang w:val="en-US" w:eastAsia="zh-CN" w:bidi="ar-SA"/>
        </w:rPr>
      </w:pPr>
      <w:r>
        <w:rPr>
          <w:rFonts w:hint="default" w:ascii="楷体_GB2312" w:hAnsi="楷体_GB2312" w:eastAsia="楷体_GB2312" w:cs="楷体_GB2312"/>
          <w:b/>
          <w:bCs/>
          <w:snapToGrid/>
          <w:color w:val="auto"/>
          <w:kern w:val="2"/>
          <w:sz w:val="32"/>
          <w:szCs w:val="32"/>
          <w:lang w:val="en-US" w:eastAsia="zh-CN" w:bidi="ar-SA"/>
        </w:rPr>
        <w:t>（四）博览会参展补助。</w:t>
      </w:r>
      <w:r>
        <w:rPr>
          <w:rFonts w:hint="default" w:ascii="Times New Roman" w:hAnsi="Times New Roman" w:eastAsia="仿宋_GB2312" w:cs="Times New Roman"/>
          <w:color w:val="auto"/>
          <w:sz w:val="32"/>
          <w:szCs w:val="32"/>
          <w:lang w:val="en-US" w:eastAsia="zh-CN"/>
        </w:rPr>
        <w:t>省博览会参展人员食宿、机械运输、参展展品消耗等方面进行奖补，对秸秆博览会参展企业进行1000-3000元/家的补助</w:t>
      </w:r>
      <w:r>
        <w:rPr>
          <w:rFonts w:hint="default" w:ascii="Times New Roman" w:hAnsi="Times New Roman" w:eastAsia="仿宋_GB2312" w:cs="Times New Roman"/>
          <w:color w:val="auto"/>
          <w:kern w:val="2"/>
          <w:sz w:val="32"/>
          <w:szCs w:val="32"/>
          <w:lang w:val="en-US" w:eastAsia="zh-CN" w:bidi="ar-SA"/>
        </w:rPr>
        <w:t>。</w:t>
      </w:r>
    </w:p>
    <w:p w14:paraId="229399E6">
      <w:pPr>
        <w:pStyle w:val="8"/>
        <w:keepNext w:val="0"/>
        <w:keepLines w:val="0"/>
        <w:pageBreakBefore w:val="0"/>
        <w:widowControl/>
        <w:suppressLineNumbers w:val="0"/>
        <w:kinsoku/>
        <w:wordWrap/>
        <w:overflowPunct/>
        <w:topLinePunct w:val="0"/>
        <w:autoSpaceDE/>
        <w:autoSpaceDN/>
        <w:bidi w:val="0"/>
        <w:adjustRightInd/>
        <w:snapToGrid/>
        <w:spacing w:line="576" w:lineRule="exact"/>
        <w:ind w:left="0" w:leftChars="0" w:firstLine="640" w:firstLineChars="20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以上四项奖补累计金额不得超过50万元，如资金不足优先保证第（二）、第（三）、第（四）项资金使用。</w:t>
      </w:r>
    </w:p>
    <w:p w14:paraId="2E088436">
      <w:pPr>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40" w:firstLineChars="200"/>
        <w:rPr>
          <w:rFonts w:hint="default" w:ascii="黑体" w:hAnsi="黑体" w:eastAsia="黑体" w:cs="黑体"/>
          <w:color w:val="auto"/>
          <w:sz w:val="32"/>
          <w:szCs w:val="32"/>
          <w:lang w:val="en-US" w:eastAsia="zh-CN"/>
        </w:rPr>
      </w:pPr>
      <w:r>
        <w:rPr>
          <w:rFonts w:hint="default" w:ascii="黑体" w:hAnsi="黑体" w:eastAsia="黑体" w:cs="黑体"/>
          <w:color w:val="auto"/>
          <w:sz w:val="32"/>
          <w:szCs w:val="32"/>
          <w:lang w:val="en-US" w:eastAsia="zh-CN"/>
        </w:rPr>
        <w:t>三、工作要求</w:t>
      </w:r>
    </w:p>
    <w:p w14:paraId="312B06B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Autospacing="0" w:line="576" w:lineRule="exact"/>
        <w:ind w:left="0" w:leftChars="0" w:firstLine="640" w:firstLineChars="200"/>
        <w:jc w:val="left"/>
        <w:textAlignment w:val="baseline"/>
        <w:rPr>
          <w:rFonts w:hint="default" w:ascii="Times New Roman" w:hAnsi="Times New Roman" w:eastAsia="仿宋_GB2312" w:cs="Times New Roman"/>
          <w:b w:val="0"/>
          <w:bCs w:val="0"/>
          <w:i w:val="0"/>
          <w:caps w:val="0"/>
          <w:color w:val="auto"/>
          <w:spacing w:val="0"/>
          <w:w w:val="100"/>
          <w:kern w:val="2"/>
          <w:sz w:val="32"/>
          <w:szCs w:val="32"/>
          <w:lang w:val="en-US" w:eastAsia="zh-CN" w:bidi="ar-SA"/>
        </w:rPr>
      </w:pPr>
      <w:r>
        <w:rPr>
          <w:rFonts w:hint="default" w:ascii="Times New Roman" w:hAnsi="Times New Roman" w:eastAsia="仿宋_GB2312" w:cs="Times New Roman"/>
          <w:b w:val="0"/>
          <w:bCs w:val="0"/>
          <w:i w:val="0"/>
          <w:caps w:val="0"/>
          <w:color w:val="auto"/>
          <w:spacing w:val="0"/>
          <w:w w:val="100"/>
          <w:kern w:val="2"/>
          <w:sz w:val="32"/>
          <w:szCs w:val="32"/>
          <w:lang w:val="en-US" w:eastAsia="zh-CN" w:bidi="ar-SA"/>
        </w:rPr>
        <w:t>请各乡镇进一步加强秸秆奖补政策宣传，县农业农村局及时在县政府网站公开秸秆综合利用奖补政策，并对拟奖补对象、项目审计、补助资金发放等按要求予以公示，县财政局及时做好资金拨付工作，确保全县秸秆综合利用奖补工作公开、公平、公正。</w:t>
      </w:r>
    </w:p>
    <w:p w14:paraId="0C932A38">
      <w:pPr>
        <w:pStyle w:val="2"/>
        <w:keepNext w:val="0"/>
        <w:keepLines w:val="0"/>
        <w:pageBreakBefore w:val="0"/>
        <w:kinsoku/>
        <w:wordWrap/>
        <w:overflowPunct/>
        <w:topLinePunct w:val="0"/>
        <w:autoSpaceDE/>
        <w:autoSpaceDN/>
        <w:bidi w:val="0"/>
        <w:adjustRightInd/>
        <w:snapToGrid/>
        <w:spacing w:after="0" w:line="576" w:lineRule="exact"/>
        <w:ind w:left="0" w:leftChars="0" w:firstLine="0" w:firstLineChars="0"/>
        <w:rPr>
          <w:rFonts w:hint="default" w:ascii="Times New Roman" w:hAnsi="Times New Roman" w:eastAsia="仿宋_GB2312" w:cs="Times New Roman"/>
          <w:color w:val="auto"/>
          <w:sz w:val="32"/>
          <w:szCs w:val="32"/>
        </w:rPr>
      </w:pPr>
    </w:p>
    <w:p w14:paraId="7686BBDC">
      <w:pPr>
        <w:rPr>
          <w:rFonts w:hint="default"/>
          <w:color w:val="auto"/>
        </w:rPr>
      </w:pPr>
    </w:p>
    <w:p w14:paraId="1B956828">
      <w:pPr>
        <w:pStyle w:val="2"/>
        <w:keepNext w:val="0"/>
        <w:keepLines w:val="0"/>
        <w:pageBreakBefore w:val="0"/>
        <w:kinsoku/>
        <w:wordWrap/>
        <w:overflowPunct/>
        <w:topLinePunct w:val="0"/>
        <w:autoSpaceDE/>
        <w:autoSpaceDN/>
        <w:bidi w:val="0"/>
        <w:adjustRightInd/>
        <w:snapToGrid/>
        <w:spacing w:after="0" w:line="576" w:lineRule="exact"/>
        <w:ind w:left="0" w:leftChars="0" w:firstLine="2240" w:firstLineChars="700"/>
        <w:rPr>
          <w:rFonts w:hint="default" w:ascii="Times New Roman" w:hAnsi="Times New Roman" w:eastAsia="仿宋_GB2312" w:cs="Times New Roman"/>
          <w:b w:val="0"/>
          <w:bCs w:val="0"/>
          <w:i w:val="0"/>
          <w:caps w:val="0"/>
          <w:color w:val="auto"/>
          <w:spacing w:val="0"/>
          <w:w w:val="100"/>
          <w:kern w:val="2"/>
          <w:sz w:val="32"/>
          <w:szCs w:val="32"/>
          <w:lang w:val="en-US" w:eastAsia="zh-CN" w:bidi="ar-SA"/>
        </w:rPr>
      </w:pPr>
      <w:r>
        <w:rPr>
          <w:rFonts w:hint="default" w:ascii="Times New Roman" w:hAnsi="Times New Roman" w:eastAsia="仿宋_GB2312" w:cs="Times New Roman"/>
          <w:b w:val="0"/>
          <w:bCs w:val="0"/>
          <w:i w:val="0"/>
          <w:caps w:val="0"/>
          <w:color w:val="auto"/>
          <w:spacing w:val="0"/>
          <w:w w:val="100"/>
          <w:kern w:val="2"/>
          <w:sz w:val="32"/>
          <w:szCs w:val="32"/>
          <w:lang w:val="en-US" w:eastAsia="zh-CN" w:bidi="ar-SA"/>
        </w:rPr>
        <w:t>固镇县农业农村局      固镇县财政局</w:t>
      </w:r>
    </w:p>
    <w:p w14:paraId="7A222D85">
      <w:pPr>
        <w:pStyle w:val="2"/>
        <w:keepNext w:val="0"/>
        <w:keepLines w:val="0"/>
        <w:pageBreakBefore w:val="0"/>
        <w:kinsoku/>
        <w:wordWrap/>
        <w:overflowPunct/>
        <w:topLinePunct w:val="0"/>
        <w:autoSpaceDE/>
        <w:autoSpaceDN/>
        <w:bidi w:val="0"/>
        <w:adjustRightInd/>
        <w:snapToGrid/>
        <w:spacing w:after="0" w:line="576" w:lineRule="exact"/>
        <w:ind w:left="0" w:leftChars="0" w:firstLine="2560" w:firstLineChars="8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val="0"/>
          <w:bCs w:val="0"/>
          <w:i w:val="0"/>
          <w:caps w:val="0"/>
          <w:color w:val="auto"/>
          <w:spacing w:val="0"/>
          <w:w w:val="100"/>
          <w:kern w:val="2"/>
          <w:sz w:val="32"/>
          <w:szCs w:val="32"/>
          <w:lang w:val="en-US" w:eastAsia="zh-CN" w:bidi="ar-SA"/>
        </w:rPr>
        <w:t xml:space="preserve">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b w:val="0"/>
          <w:bCs w:val="0"/>
          <w:i w:val="0"/>
          <w:caps w:val="0"/>
          <w:color w:val="auto"/>
          <w:spacing w:val="0"/>
          <w:w w:val="100"/>
          <w:kern w:val="2"/>
          <w:sz w:val="32"/>
          <w:szCs w:val="32"/>
          <w:lang w:val="en-US" w:eastAsia="zh-CN" w:bidi="ar-SA"/>
        </w:rPr>
        <w:t>2026年10月16日</w:t>
      </w:r>
    </w:p>
    <w:p w14:paraId="673A8B40">
      <w:pPr>
        <w:pStyle w:val="10"/>
        <w:keepNext w:val="0"/>
        <w:keepLines w:val="0"/>
        <w:pageBreakBefore w:val="0"/>
        <w:widowControl w:val="0"/>
        <w:kinsoku/>
        <w:wordWrap/>
        <w:overflowPunct/>
        <w:topLinePunct w:val="0"/>
        <w:autoSpaceDE/>
        <w:autoSpaceDN/>
        <w:spacing w:line="576" w:lineRule="exact"/>
        <w:ind w:left="0" w:leftChars="0" w:firstLine="0" w:firstLineChars="0"/>
        <w:textAlignment w:val="auto"/>
        <w:rPr>
          <w:rFonts w:hint="default"/>
          <w:lang w:val="en-US" w:eastAsia="zh-CN"/>
        </w:rPr>
      </w:pPr>
    </w:p>
    <w:sectPr>
      <w:footerReference r:id="rId4" w:type="default"/>
      <w:headerReference r:id="rId3" w:type="even"/>
      <w:footerReference r:id="rId5" w:type="even"/>
      <w:pgSz w:w="11906" w:h="16838"/>
      <w:pgMar w:top="1440" w:right="1871" w:bottom="1440" w:left="187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350E9">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72EBE9">
                          <w:pPr>
                            <w:pStyle w:val="4"/>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572EBE9">
                    <w:pPr>
                      <w:pStyle w:val="4"/>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E98E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CA516">
                          <w:pPr>
                            <w:pStyle w:val="4"/>
                            <w:jc w:val="right"/>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10</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C9CA516">
                    <w:pPr>
                      <w:pStyle w:val="4"/>
                      <w:jc w:val="right"/>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10</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3741E">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F7228"/>
    <w:rsid w:val="06AA60E0"/>
    <w:rsid w:val="0E8C4A31"/>
    <w:rsid w:val="0F847DFE"/>
    <w:rsid w:val="13AC16D1"/>
    <w:rsid w:val="183A374F"/>
    <w:rsid w:val="1C202C5C"/>
    <w:rsid w:val="1D602C12"/>
    <w:rsid w:val="1DCA64DE"/>
    <w:rsid w:val="1EB1508D"/>
    <w:rsid w:val="22407C1B"/>
    <w:rsid w:val="25C64874"/>
    <w:rsid w:val="25E70CD1"/>
    <w:rsid w:val="2A02740E"/>
    <w:rsid w:val="36FA437E"/>
    <w:rsid w:val="382F62A9"/>
    <w:rsid w:val="39C77C5C"/>
    <w:rsid w:val="3ADC45D9"/>
    <w:rsid w:val="3B4F0A10"/>
    <w:rsid w:val="3C1934F8"/>
    <w:rsid w:val="3D7D2485"/>
    <w:rsid w:val="3D8C7CFA"/>
    <w:rsid w:val="3ED03C16"/>
    <w:rsid w:val="413D3F55"/>
    <w:rsid w:val="425D7E1B"/>
    <w:rsid w:val="455E39C5"/>
    <w:rsid w:val="45E75C12"/>
    <w:rsid w:val="4F277882"/>
    <w:rsid w:val="519328F2"/>
    <w:rsid w:val="51B34A88"/>
    <w:rsid w:val="569A32F9"/>
    <w:rsid w:val="56A63783"/>
    <w:rsid w:val="573C62DC"/>
    <w:rsid w:val="595526E7"/>
    <w:rsid w:val="5C8E0F41"/>
    <w:rsid w:val="5D9500AD"/>
    <w:rsid w:val="60B847DE"/>
    <w:rsid w:val="61355442"/>
    <w:rsid w:val="6B5C073A"/>
    <w:rsid w:val="6C223454"/>
    <w:rsid w:val="6F1E43A6"/>
    <w:rsid w:val="70652271"/>
    <w:rsid w:val="7744499A"/>
    <w:rsid w:val="78713799"/>
    <w:rsid w:val="79314CD6"/>
    <w:rsid w:val="7DB303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Indent 2"/>
    <w:basedOn w:val="1"/>
    <w:next w:val="1"/>
    <w:qFormat/>
    <w:uiPriority w:val="0"/>
    <w:pPr>
      <w:widowControl w:val="0"/>
      <w:spacing w:after="120" w:line="480" w:lineRule="auto"/>
      <w:ind w:left="420" w:leftChars="200"/>
      <w:jc w:val="both"/>
    </w:pPr>
    <w:rPr>
      <w:rFonts w:ascii="Times New Roman" w:hAnsi="Times New Roman" w:eastAsia="宋体" w:cs="Times New Roman"/>
      <w:kern w:val="2"/>
      <w:sz w:val="21"/>
      <w:szCs w:val="22"/>
      <w:lang w:val="en-US" w:eastAsia="zh-CN" w:bidi="ar-SA"/>
    </w:rPr>
  </w:style>
  <w:style w:type="paragraph" w:styleId="3">
    <w:name w:val="Body Text Indent"/>
    <w:basedOn w:val="1"/>
    <w:unhideWhenUsed/>
    <w:qFormat/>
    <w:uiPriority w:val="99"/>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Autospacing="1" w:afterAutospacing="1"/>
      <w:jc w:val="left"/>
    </w:pPr>
    <w:rPr>
      <w:kern w:val="0"/>
      <w:sz w:val="24"/>
    </w:rPr>
  </w:style>
  <w:style w:type="paragraph" w:styleId="10">
    <w:name w:val="Body Text First Indent 2"/>
    <w:basedOn w:val="3"/>
    <w:unhideWhenUsed/>
    <w:qFormat/>
    <w:uiPriority w:val="99"/>
    <w:pPr>
      <w:ind w:firstLine="420" w:firstLineChars="200"/>
    </w:pPr>
  </w:style>
  <w:style w:type="paragraph" w:customStyle="1" w:styleId="13">
    <w:name w:val="p0"/>
    <w:basedOn w:val="1"/>
    <w:qFormat/>
    <w:uiPriority w:val="0"/>
    <w:pPr>
      <w:widowControl/>
      <w:ind w:firstLine="420"/>
      <w:jc w:val="left"/>
    </w:pPr>
    <w:rPr>
      <w:kern w:val="0"/>
      <w:sz w:val="20"/>
      <w:szCs w:val="20"/>
    </w:rPr>
  </w:style>
  <w:style w:type="paragraph" w:customStyle="1" w:styleId="14">
    <w:name w:val="_Style 1"/>
    <w:basedOn w:val="1"/>
    <w:qFormat/>
    <w:uiPriority w:val="0"/>
    <w:pPr>
      <w:ind w:firstLine="420" w:firstLineChars="200"/>
    </w:pPr>
  </w:style>
  <w:style w:type="character" w:customStyle="1" w:styleId="15">
    <w:name w:val="font21"/>
    <w:basedOn w:val="12"/>
    <w:qFormat/>
    <w:uiPriority w:val="0"/>
    <w:rPr>
      <w:rFonts w:ascii="Times New Roman" w:hAnsi="Times New Roman" w:eastAsia="宋体" w:cs="Times New Roman"/>
      <w:color w:val="000000"/>
      <w:sz w:val="24"/>
      <w:szCs w:val="24"/>
    </w:rPr>
  </w:style>
  <w:style w:type="character" w:customStyle="1" w:styleId="16">
    <w:name w:val="font01"/>
    <w:basedOn w:val="12"/>
    <w:qFormat/>
    <w:uiPriority w:val="0"/>
    <w:rPr>
      <w:rFonts w:ascii="宋体" w:hAnsi="宋体" w:eastAsia="宋体" w:cs="宋体"/>
      <w:b/>
      <w:color w:val="000000"/>
      <w:sz w:val="24"/>
      <w:szCs w:val="24"/>
      <w:u w:val="none"/>
    </w:rPr>
  </w:style>
  <w:style w:type="character" w:customStyle="1" w:styleId="17">
    <w:name w:val="font61"/>
    <w:basedOn w:val="12"/>
    <w:qFormat/>
    <w:uiPriority w:val="0"/>
    <w:rPr>
      <w:rFonts w:hint="eastAsia" w:ascii="仿宋_GB2312" w:eastAsia="仿宋_GB2312" w:cs="仿宋_GB2312"/>
      <w:color w:val="000000"/>
      <w:sz w:val="32"/>
      <w:szCs w:val="32"/>
      <w:u w:val="none"/>
      <w:vertAlign w:val="superscript"/>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364</Words>
  <Characters>387</Characters>
  <Lines>0</Lines>
  <Paragraphs>0</Paragraphs>
  <TotalTime>4</TotalTime>
  <ScaleCrop>false</ScaleCrop>
  <LinksUpToDate>false</LinksUpToDate>
  <CharactersWithSpaces>406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2026-07-31T01:38:00Z</dcterms:created>
  <dc:creator>Lenovo</dc:creator>
  <cp:lastModifiedBy>愚公后人</cp:lastModifiedBy>
  <cp:lastPrinted>2026-10-21T07:45:00Z</cp:lastPrinted>
  <dcterms:modified xsi:type="dcterms:W3CDTF">2026-10-22T07:25:40Z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eyJoZGlkIjoiOGY0ODVlNjdkYmY4Njk4N2M4Y2M0ODBkZWU5YTUxMjEiLCJ1c2VySWQiOiIyNTgzMzIwMDEifQ==</vt:lpwstr>
  </property>
  <property fmtid="{D5CDD505-2E9C-101B-9397-08002B2CF9AE}" pid="4" name="ICV">
    <vt:lpwstr>5F5215A44C384EA8958B62C16C0F9409_12</vt:lpwstr>
  </property>
</Properties>
</file>