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安徽省物价局财政厅关于同意继续执行考录人民警察体能测试和专业技能测试收费标准的函</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lang w:val="en-US" w:eastAsia="zh-CN"/>
        </w:rPr>
        <w:t>皖价费函</w:t>
      </w:r>
      <w:r>
        <w:rPr>
          <w:rFonts w:hint="eastAsia" w:ascii="楷体_GB2312" w:hAnsi="楷体" w:eastAsia="楷体_GB2312" w:cs="Times New Roman"/>
          <w:kern w:val="0"/>
          <w:sz w:val="32"/>
          <w:szCs w:val="32"/>
        </w:rPr>
        <w:t>〔2010〕</w:t>
      </w:r>
      <w:r>
        <w:rPr>
          <w:rFonts w:hint="eastAsia" w:ascii="楷体_GB2312" w:hAnsi="楷体" w:eastAsia="楷体_GB2312" w:cs="Times New Roman"/>
          <w:kern w:val="0"/>
          <w:sz w:val="32"/>
          <w:szCs w:val="32"/>
          <w:lang w:val="en-US" w:eastAsia="zh-CN"/>
        </w:rPr>
        <w:t>103号  2010年6月18日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bookmarkStart w:id="0" w:name="_GoBack"/>
      <w:bookmarkEnd w:id="0"/>
      <w:r>
        <w:rPr>
          <w:rFonts w:hint="eastAsia" w:ascii="仿宋_GB2312" w:hAnsi="仿宋" w:eastAsia="仿宋_GB2312" w:cs="Times New Roman"/>
          <w:kern w:val="0"/>
          <w:sz w:val="32"/>
          <w:szCs w:val="32"/>
          <w:lang w:val="en-US" w:eastAsia="zh-CN"/>
        </w:rPr>
        <w:t>省人力资源和社会保障厅：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你厅《关于重新申报考录人民警察体能测试费和专业技能测试费收费标准的函》（皖人社函〔2010〕218号）悉。经研究，现就有关事项函复如下：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一、同意考录人民警察体能测试和专业技能测试收费继续按原标准执行：考录人民警察体能测试费每人55元；专业技能测试费每人70元。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二、本文批准的收费标准为最终收费，除此之外，不得再向考生收取其它任何费用，加重考生负担。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应及时到物价部门办理《收费许可证》变更手续，实行亮证收费，并向社会公布收费项目、收费标准、收费范围、收费依据以及价格投诉举报电话12358等，接受考生和社会的监督，同时要主动接受物价、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收费时，使用省财政厅统一印制的政府非税收入票据。考试费收入缴入省国库，纳入财政预算管理。缴库时，列“政府收支分类科目”103类“非税收入”04款“行政事业性收费收入”50项“人力资源和社会保障行政事业性收费收入”04目“考试考务费”。支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五、本文自下发之日起执行，执行期为3年，期满前3个月，按程序报批。原省物价局、财政厅《关于考录人民警察体能测试费和专业技能测试费的函》（皖价费函〔2007〕162号）同时作废。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2F001A4D-A5F5-4ABC-92B7-7A115784ACCC}"/>
  </w:font>
  <w:font w:name="楷体_GB2312">
    <w:panose1 w:val="02010609030101010101"/>
    <w:charset w:val="86"/>
    <w:family w:val="modern"/>
    <w:pitch w:val="default"/>
    <w:sig w:usb0="00000001" w:usb1="080E0000" w:usb2="00000000" w:usb3="00000000" w:csb0="00040000" w:csb1="00000000"/>
    <w:embedRegular r:id="rId2" w:fontKey="{77964E7E-85D3-4509-A8A3-D2B1D893F8BD}"/>
  </w:font>
  <w:font w:name="楷体">
    <w:panose1 w:val="02010609060101010101"/>
    <w:charset w:val="86"/>
    <w:family w:val="modern"/>
    <w:pitch w:val="default"/>
    <w:sig w:usb0="800002BF" w:usb1="38CF7CFA" w:usb2="00000016" w:usb3="00000000" w:csb0="00040001" w:csb1="00000000"/>
    <w:embedRegular r:id="rId3" w:fontKey="{0923809E-3E91-4EC0-BF2C-BB0AE6A14AFD}"/>
  </w:font>
  <w:font w:name="仿宋_GB2312">
    <w:panose1 w:val="02010609030101010101"/>
    <w:charset w:val="86"/>
    <w:family w:val="modern"/>
    <w:pitch w:val="default"/>
    <w:sig w:usb0="00000001" w:usb1="080E0000" w:usb2="00000000" w:usb3="00000000" w:csb0="00040000" w:csb1="00000000"/>
    <w:embedRegular r:id="rId4" w:fontKey="{4C015B65-9428-4770-B243-49001CA2402E}"/>
  </w:font>
  <w:font w:name="仿宋">
    <w:panose1 w:val="02010609060101010101"/>
    <w:charset w:val="86"/>
    <w:family w:val="auto"/>
    <w:pitch w:val="default"/>
    <w:sig w:usb0="800002BF" w:usb1="38CF7CFA" w:usb2="00000016" w:usb3="00000000" w:csb0="00040001" w:csb1="00000000"/>
    <w:embedRegular r:id="rId5" w:fontKey="{16DFCA9C-B4D6-403A-AB6E-9DE9CA7110A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6C5C74"/>
    <w:rsid w:val="4E216F76"/>
    <w:rsid w:val="6C6C5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2022-01-17T15:22:00Z</dcterms:created>
  <dc:creator>admin</dc:creator>
  <cp:lastModifiedBy>小梨涡er</cp:lastModifiedBy>
  <dcterms:modified xsi:type="dcterms:W3CDTF">2022-01-18T09:20:14Z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C5029AB89B564A1F819D42855F2D72C7</vt:lpwstr>
  </property>
</Properties>
</file>