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方正小标宋简体" w:hAnsi="宋体" w:eastAsia="方正小标宋简体" w:cs="Times New Roman"/>
          <w:b w:val="0"/>
          <w:bCs/>
          <w:kern w:val="0"/>
          <w:sz w:val="44"/>
          <w:szCs w:val="44"/>
          <w:lang w:val="en-US" w:eastAsia="zh-CN" w:bidi="ar-SA"/>
        </w:rPr>
      </w:pPr>
      <w:r>
        <w:rPr>
          <w:rFonts w:hint="eastAsia" w:ascii="方正小标宋简体" w:hAnsi="宋体" w:eastAsia="方正小标宋简体" w:cs="Times New Roman"/>
          <w:b w:val="0"/>
          <w:bCs/>
          <w:kern w:val="0"/>
          <w:sz w:val="44"/>
          <w:szCs w:val="44"/>
          <w:lang w:val="en-US" w:eastAsia="zh-CN" w:bidi="ar-SA"/>
        </w:rPr>
        <w:t>安徽省物价局关于核定我省民办高校成人高等教育收费标准的函</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 w:eastAsia="仿宋_GB2312" w:cs="Times New Roman"/>
          <w:kern w:val="0"/>
          <w:sz w:val="32"/>
          <w:szCs w:val="32"/>
          <w:lang w:val="en-US" w:eastAsia="zh-CN" w:bidi="ar-SA"/>
        </w:rPr>
      </w:pPr>
      <w:r>
        <w:rPr>
          <w:rFonts w:hint="eastAsia" w:ascii="楷体_GB2312" w:hAnsi="楷体" w:eastAsia="楷体_GB2312" w:cs="Times New Roman"/>
          <w:kern w:val="0"/>
          <w:sz w:val="32"/>
          <w:szCs w:val="32"/>
          <w:lang w:val="en-US" w:eastAsia="zh-CN" w:bidi="ar-SA"/>
        </w:rPr>
        <w:t>皖价费〔2007〕132号  2007年6月21日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楷体_GB2312" w:hAnsi="楷体" w:eastAsia="楷体_GB2312" w:cs="Times New Roman"/>
          <w:kern w:val="0"/>
          <w:sz w:val="32"/>
          <w:szCs w:val="32"/>
          <w:lang w:val="en-US" w:eastAsia="zh-CN" w:bidi="ar-SA"/>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省教育厅：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你厅《关于安徽新华学院和三联职业技术学院成人高等教育收费标准的函》（教秘计〔2007〕112号）悉。</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根据《中华人民共和国民办教育促进法》、《民办教育收费管理暂行办法》等法律法规，按照省物价局、财政厅、教育厅《关于民办高等职业技术学历教育学费有关问题的通知》（皖价电〔2006〕49号）规定，现就我省民办高校成人高等教育收费标准核定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一、民办高校成人高等教育实行浮动收费办法，在省制定的学费标准的基准价（详见附件）基础上，由各招生学校根据办学条件和生源情况浮动收费，上浮幅度不得超过20%。文理科专业的划分按省教育厅、省物价局、省财政厅《关于进一步完善我省高校收费政策有关问题的通知》（教计〔2006〕15号）规定执行。</w:t>
      </w:r>
      <w:bookmarkStart w:id="0" w:name="_GoBack"/>
      <w:bookmarkEnd w:id="0"/>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二、民办高校成人高等教育院校举办的全脱产自考助学班执行同科类成人高等教育全脱产办学形式的学费标准。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三、民办高校成人高等教育全脱产办学形式学生住宿费，可根据住宿条件参照普通高校住宿费标准执行。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四、民办高校应及时到价格主管部门办理《收费许可证》，并依法公示。学校要按学年收取学费，不得跨学年收费。严禁擅自增加收费项目和提高收费标准，否则按乱收费查处。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五、本通知规定的收费标准自2007年各民办高校招收的新生开始执行。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附件：安徽省民办高校成人高等教育学费标准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480" w:firstLineChars="200"/>
        <w:textAlignment w:val="auto"/>
      </w:pPr>
    </w:p>
    <w:p>
      <w:pPr>
        <w:keepNext w:val="0"/>
        <w:keepLines w:val="0"/>
        <w:pageBreakBefore w:val="0"/>
        <w:kinsoku/>
        <w:wordWrap/>
        <w:overflowPunct/>
        <w:topLinePunct w:val="0"/>
        <w:autoSpaceDE/>
        <w:autoSpaceDN/>
        <w:bidi w:val="0"/>
        <w:adjustRightInd/>
        <w:snapToGrid/>
        <w:spacing w:line="600" w:lineRule="exact"/>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附件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center"/>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安徽省民办高校成人高等教育学费标准</w:t>
      </w:r>
    </w:p>
    <w:tbl>
      <w:tblPr>
        <w:tblStyle w:val="4"/>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9"/>
        <w:gridCol w:w="1455"/>
        <w:gridCol w:w="1448"/>
        <w:gridCol w:w="1942"/>
        <w:gridCol w:w="2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9"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办学形式</w:t>
            </w:r>
          </w:p>
        </w:tc>
        <w:tc>
          <w:tcPr>
            <w:tcW w:w="1455"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科类</w:t>
            </w:r>
          </w:p>
        </w:tc>
        <w:tc>
          <w:tcPr>
            <w:tcW w:w="1448"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基准价</w:t>
            </w:r>
          </w:p>
        </w:tc>
        <w:tc>
          <w:tcPr>
            <w:tcW w:w="1942"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单位</w:t>
            </w:r>
          </w:p>
        </w:tc>
        <w:tc>
          <w:tcPr>
            <w:tcW w:w="2236"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9" w:type="dxa"/>
            <w:vMerge w:val="restart"/>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函授</w:t>
            </w:r>
          </w:p>
        </w:tc>
        <w:tc>
          <w:tcPr>
            <w:tcW w:w="1455"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文科类</w:t>
            </w:r>
          </w:p>
        </w:tc>
        <w:tc>
          <w:tcPr>
            <w:tcW w:w="1448"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1000</w:t>
            </w:r>
          </w:p>
        </w:tc>
        <w:tc>
          <w:tcPr>
            <w:tcW w:w="1942"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元/生·学年</w:t>
            </w:r>
          </w:p>
        </w:tc>
        <w:tc>
          <w:tcPr>
            <w:tcW w:w="2236"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9" w:type="dxa"/>
            <w:vMerge w:val="continue"/>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p>
        </w:tc>
        <w:tc>
          <w:tcPr>
            <w:tcW w:w="1455"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理科类</w:t>
            </w:r>
          </w:p>
        </w:tc>
        <w:tc>
          <w:tcPr>
            <w:tcW w:w="1448"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1200</w:t>
            </w:r>
          </w:p>
        </w:tc>
        <w:tc>
          <w:tcPr>
            <w:tcW w:w="1942" w:type="dxa"/>
            <w:vAlign w:val="top"/>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元/生·学年</w:t>
            </w:r>
          </w:p>
        </w:tc>
        <w:tc>
          <w:tcPr>
            <w:tcW w:w="2236"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9" w:type="dxa"/>
            <w:vMerge w:val="continue"/>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p>
        </w:tc>
        <w:tc>
          <w:tcPr>
            <w:tcW w:w="1455"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艺术类</w:t>
            </w:r>
          </w:p>
        </w:tc>
        <w:tc>
          <w:tcPr>
            <w:tcW w:w="1448"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1500</w:t>
            </w:r>
          </w:p>
        </w:tc>
        <w:tc>
          <w:tcPr>
            <w:tcW w:w="1942" w:type="dxa"/>
            <w:vAlign w:val="top"/>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元/生·学年</w:t>
            </w:r>
          </w:p>
        </w:tc>
        <w:tc>
          <w:tcPr>
            <w:tcW w:w="2236"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9" w:type="dxa"/>
            <w:vMerge w:val="restart"/>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夜大</w:t>
            </w:r>
          </w:p>
        </w:tc>
        <w:tc>
          <w:tcPr>
            <w:tcW w:w="1455" w:type="dxa"/>
            <w:vAlign w:val="top"/>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文科类</w:t>
            </w:r>
          </w:p>
        </w:tc>
        <w:tc>
          <w:tcPr>
            <w:tcW w:w="1448"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1200</w:t>
            </w:r>
          </w:p>
        </w:tc>
        <w:tc>
          <w:tcPr>
            <w:tcW w:w="1942" w:type="dxa"/>
            <w:vAlign w:val="top"/>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元/生·学年</w:t>
            </w:r>
          </w:p>
        </w:tc>
        <w:tc>
          <w:tcPr>
            <w:tcW w:w="2236"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9" w:type="dxa"/>
            <w:vMerge w:val="continue"/>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p>
        </w:tc>
        <w:tc>
          <w:tcPr>
            <w:tcW w:w="1455" w:type="dxa"/>
            <w:vAlign w:val="top"/>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理科类</w:t>
            </w:r>
          </w:p>
        </w:tc>
        <w:tc>
          <w:tcPr>
            <w:tcW w:w="1448"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1500</w:t>
            </w:r>
          </w:p>
        </w:tc>
        <w:tc>
          <w:tcPr>
            <w:tcW w:w="1942" w:type="dxa"/>
            <w:vAlign w:val="top"/>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元/生·学年</w:t>
            </w:r>
          </w:p>
        </w:tc>
        <w:tc>
          <w:tcPr>
            <w:tcW w:w="2236"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9" w:type="dxa"/>
            <w:vMerge w:val="continue"/>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p>
        </w:tc>
        <w:tc>
          <w:tcPr>
            <w:tcW w:w="1455" w:type="dxa"/>
            <w:vAlign w:val="top"/>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艺术类</w:t>
            </w:r>
          </w:p>
        </w:tc>
        <w:tc>
          <w:tcPr>
            <w:tcW w:w="1448"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2000</w:t>
            </w:r>
          </w:p>
        </w:tc>
        <w:tc>
          <w:tcPr>
            <w:tcW w:w="1942" w:type="dxa"/>
            <w:vAlign w:val="top"/>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元/生·学年</w:t>
            </w:r>
          </w:p>
        </w:tc>
        <w:tc>
          <w:tcPr>
            <w:tcW w:w="2236"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9" w:type="dxa"/>
            <w:vMerge w:val="restart"/>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脱产</w:t>
            </w:r>
          </w:p>
        </w:tc>
        <w:tc>
          <w:tcPr>
            <w:tcW w:w="1455" w:type="dxa"/>
            <w:vAlign w:val="top"/>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文科类</w:t>
            </w:r>
          </w:p>
        </w:tc>
        <w:tc>
          <w:tcPr>
            <w:tcW w:w="1448"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2200</w:t>
            </w:r>
          </w:p>
        </w:tc>
        <w:tc>
          <w:tcPr>
            <w:tcW w:w="1942" w:type="dxa"/>
            <w:vAlign w:val="top"/>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元/生·学年</w:t>
            </w:r>
          </w:p>
        </w:tc>
        <w:tc>
          <w:tcPr>
            <w:tcW w:w="2236"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9" w:type="dxa"/>
            <w:vMerge w:val="continue"/>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p>
        </w:tc>
        <w:tc>
          <w:tcPr>
            <w:tcW w:w="1455" w:type="dxa"/>
            <w:vAlign w:val="top"/>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理科类</w:t>
            </w:r>
          </w:p>
        </w:tc>
        <w:tc>
          <w:tcPr>
            <w:tcW w:w="1448"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2500</w:t>
            </w:r>
          </w:p>
        </w:tc>
        <w:tc>
          <w:tcPr>
            <w:tcW w:w="1942" w:type="dxa"/>
            <w:vAlign w:val="top"/>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元/生·学年</w:t>
            </w:r>
          </w:p>
        </w:tc>
        <w:tc>
          <w:tcPr>
            <w:tcW w:w="2236"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9" w:type="dxa"/>
            <w:vMerge w:val="continue"/>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p>
        </w:tc>
        <w:tc>
          <w:tcPr>
            <w:tcW w:w="1455" w:type="dxa"/>
            <w:vAlign w:val="top"/>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艺术类</w:t>
            </w:r>
          </w:p>
        </w:tc>
        <w:tc>
          <w:tcPr>
            <w:tcW w:w="1448"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3500</w:t>
            </w:r>
          </w:p>
        </w:tc>
        <w:tc>
          <w:tcPr>
            <w:tcW w:w="1942" w:type="dxa"/>
            <w:vAlign w:val="top"/>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元/生·学年</w:t>
            </w:r>
          </w:p>
        </w:tc>
        <w:tc>
          <w:tcPr>
            <w:tcW w:w="2236"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9"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半脱产（业余）</w:t>
            </w:r>
          </w:p>
        </w:tc>
        <w:tc>
          <w:tcPr>
            <w:tcW w:w="1455"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p>
        </w:tc>
        <w:tc>
          <w:tcPr>
            <w:tcW w:w="1448"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p>
        </w:tc>
        <w:tc>
          <w:tcPr>
            <w:tcW w:w="1942"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p>
        </w:tc>
        <w:tc>
          <w:tcPr>
            <w:tcW w:w="2236"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宋体" w:hAnsi="宋体" w:eastAsia="宋体" w:cs="宋体"/>
                <w:kern w:val="0"/>
                <w:sz w:val="24"/>
                <w:szCs w:val="24"/>
                <w:vertAlign w:val="baseline"/>
                <w:lang w:val="en-US" w:eastAsia="zh-CN" w:bidi="ar-SA"/>
              </w:rPr>
            </w:pPr>
            <w:r>
              <w:rPr>
                <w:rFonts w:hint="eastAsia" w:ascii="宋体" w:hAnsi="宋体" w:eastAsia="宋体" w:cs="宋体"/>
                <w:kern w:val="0"/>
                <w:sz w:val="24"/>
                <w:szCs w:val="24"/>
                <w:vertAlign w:val="baseline"/>
                <w:lang w:val="en-US" w:eastAsia="zh-CN" w:bidi="ar-SA"/>
              </w:rPr>
              <w:t>按夜大标准执行</w:t>
            </w:r>
          </w:p>
        </w:tc>
      </w:tr>
    </w:tbl>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center"/>
        <w:textAlignment w:val="auto"/>
        <w:rPr>
          <w:rFonts w:hint="eastAsia" w:ascii="仿宋_GB2312" w:hAnsi="仿宋" w:eastAsia="仿宋_GB2312" w:cs="Times New Roman"/>
          <w:kern w:val="0"/>
          <w:sz w:val="32"/>
          <w:szCs w:val="32"/>
          <w:lang w:val="en-US" w:eastAsia="zh-CN" w:bidi="ar-SA"/>
        </w:rPr>
      </w:pPr>
    </w:p>
    <w:p>
      <w:pPr>
        <w:keepNext w:val="0"/>
        <w:keepLines w:val="0"/>
        <w:pageBreakBefore w:val="0"/>
        <w:kinsoku/>
        <w:wordWrap/>
        <w:overflowPunct/>
        <w:topLinePunct w:val="0"/>
        <w:autoSpaceDE/>
        <w:autoSpaceDN/>
        <w:bidi w:val="0"/>
        <w:adjustRightInd/>
        <w:snapToGrid/>
        <w:spacing w:line="600" w:lineRule="exact"/>
        <w:jc w:val="both"/>
        <w:textAlignment w:val="auto"/>
        <w:rPr>
          <w:rFonts w:hint="eastAsia" w:ascii="仿宋_GB2312" w:hAnsi="仿宋" w:eastAsia="仿宋_GB2312" w:cs="Times New Roman"/>
          <w:kern w:val="0"/>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D6F40070-A95D-4BD0-B86B-ED50E391FEB4}"/>
  </w:font>
  <w:font w:name="仿宋_GB2312">
    <w:panose1 w:val="02010609030101010101"/>
    <w:charset w:val="86"/>
    <w:family w:val="auto"/>
    <w:pitch w:val="default"/>
    <w:sig w:usb0="00000001" w:usb1="080E0000" w:usb2="00000000" w:usb3="00000000" w:csb0="00040000" w:csb1="00000000"/>
    <w:embedRegular r:id="rId2" w:fontKey="{F5512D0E-0D9E-4BC3-8479-124C8AB75348}"/>
  </w:font>
  <w:font w:name="仿宋">
    <w:panose1 w:val="02010609060101010101"/>
    <w:charset w:val="86"/>
    <w:family w:val="modern"/>
    <w:pitch w:val="default"/>
    <w:sig w:usb0="800002BF" w:usb1="38CF7CFA" w:usb2="00000016" w:usb3="00000000" w:csb0="00040001" w:csb1="00000000"/>
    <w:embedRegular r:id="rId3" w:fontKey="{21AEA036-5B8A-4E71-9A85-0BBC518C23D5}"/>
  </w:font>
  <w:font w:name="楷体_GB2312">
    <w:panose1 w:val="02010609030101010101"/>
    <w:charset w:val="86"/>
    <w:family w:val="auto"/>
    <w:pitch w:val="default"/>
    <w:sig w:usb0="00000001" w:usb1="080E0000" w:usb2="00000000" w:usb3="00000000" w:csb0="00040000" w:csb1="00000000"/>
    <w:embedRegular r:id="rId4" w:fontKey="{19A08D12-44D2-4DBC-9052-380E2CE4A521}"/>
  </w:font>
  <w:font w:name="楷体">
    <w:panose1 w:val="02010609060101010101"/>
    <w:charset w:val="86"/>
    <w:family w:val="modern"/>
    <w:pitch w:val="default"/>
    <w:sig w:usb0="800002BF" w:usb1="38CF7CFA" w:usb2="00000016" w:usb3="00000000" w:csb0="00040001" w:csb1="00000000"/>
    <w:embedRegular r:id="rId5" w:fontKey="{B4B79A69-666D-4B3F-B6F3-076398107C2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71198D"/>
    <w:rsid w:val="29127BBE"/>
    <w:rsid w:val="528140A7"/>
    <w:rsid w:val="61E548F3"/>
    <w:rsid w:val="73950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2022-01-14T02:21:00Z</dcterms:created>
  <dc:creator>admin</dc:creator>
  <cp:lastModifiedBy>小梨涡er</cp:lastModifiedBy>
  <dcterms:modified xsi:type="dcterms:W3CDTF">2022-01-18T08:20:40Z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9B4C69B2B68A43DEBBBC76FC833E9C62</vt:lpwstr>
  </property>
</Properties>
</file>