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36"/>
          <w:szCs w:val="36"/>
        </w:rPr>
        <w:t>固镇县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未换卡农户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惠民惠农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补贴资金“一卡通”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存折换卡工作实施方案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为全面应用社会保障卡发放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补贴资金，深入推进惠民工程，做好未换卡农户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财政补贴资金“一卡通”存折换卡相关工作，根据安徽省财政厅等五部门《关于推广应用社会保障卡发放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补贴资金的通知》（皖财乡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〔2020〕272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号）和市、县有关文件精神，制定本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bCs/>
          <w:color w:val="333333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</w:rPr>
        <w:t>到2024年6月1日，在全县范围内，中央、省和市县已明确的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</w:rPr>
        <w:t>补贴资金，应全部通过社会保障卡发放。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二、方法步骤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（一）安排部署。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</w:rPr>
        <w:t>2024年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1月31日前，各乡镇应明确责任分工，细化工作方案，召开工作会议，作出安排部署，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组织开展相关业务培训，明确方法步骤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（二）逐村下发未换卡农户名册。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</w:rPr>
        <w:t>2024年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2月5日前，由当地财政所向村级提供到村到组的未换卡农户信息核对登记表（含姓名、住址、身份证号、原存折号、联系电话号码、人口、土地确权面积、待填入社会保障卡号栏等），并指导村级工作人员利用电子清册进行核对、完善，减少工作量、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（三）排查核对、变更登记。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发挥基层组织靠近群众的服务优势，对剩余的存折未换卡农户，由村（居）组织负责通知到户到人，并安排专人统一填写农户信息核对登记表（表格式样附后），同时使用电子表格填写，然后打印盖章连同电子清册一并上报乡镇财政所。要提前通知相关农户携带本人身份证、原“一卡通”存折和第三代社会保障卡，与原“一卡通”存折信息进行核对，确保信息一致。核实登记后，由农户签字或按手印。村（居）应按月推进，完成一村报送一村，原则上应于2024年3月底前全面完成核对登记工作。5月底前由财政所牵头完成“一卡通”系统录入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（四）区别情况进行处置。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1.对持折人（户主）去世、重复农户信息或查无着落等原因无法变更信息的农户存折账户，财政所要根据村（居）委证明（注销登记表），经乡镇领导批准后，在“一卡通”系统上进行注销处理。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2.对农户在外务工暂时不在家的，或者户主未办理社会保障卡的，村（居）委应与其预约在本通知规定时段内办理，及时核实登记。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3.对少数因残疾等健康原因确实不能亲自前来办理的居民，可通知代发银行组织人员上门制卡。安徽固镇农村商业银行、邮政储蓄银行固镇县支行等代发银行应大力配合。已经办卡的可由村干部上门核实登记。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4.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集中办理后，如仍有未注销的未换卡农户，请有关乡镇逐户说明原因并报县财政局。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（一）提高政治站位</w:t>
      </w: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  <w:lang w:val="en-US" w:eastAsia="zh-CN"/>
        </w:rPr>
        <w:t>抓好统筹协调。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补贴“一卡通”存折换卡工作，涉及部门多、影响范围广，与群众生活关系密切，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请各乡镇、各部门高度重视，切实发挥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政策落实的主体作用，以习近平新时代中国特色社会主义思想为指导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，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坚持“人民至上”，加强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组织领导，有序推进，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密切支持配合，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确保存折换卡工作全面完成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（二）加强源头管控，把好清册编制关口。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今后基层站（所、办）编制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财政补贴发放清册前，应要求补贴对象提供并录入户主社会保障卡信息，否则不应记入补贴清册。确保全面使用社会保障卡发放。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（三）加强工作调度。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各乡镇财政所每周向县财政局报一次工作进度。根据各地推进情况进行调度，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44"/>
          <w:shd w:val="clear" w:color="auto" w:fill="FFFFFF"/>
        </w:rPr>
        <w:t>并将结果予以通报。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kern w:val="36"/>
          <w:sz w:val="32"/>
          <w:szCs w:val="44"/>
        </w:rPr>
        <w:t>（四）进一步加强宣传，向社会发布通告。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由乡镇安排，将“关于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财政补贴资金“一卡通”存折换卡的通告”在乡镇政府、村（居）和基层站所公开栏等处广泛张贴，积极利用现代信息化手段宣传到户。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1.关于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财政补贴资金“一卡通”存折换卡的通告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2.</w:t>
      </w:r>
      <w:r>
        <w:rPr>
          <w:rFonts w:ascii="仿宋" w:hAnsi="仿宋" w:eastAsia="仿宋" w:cs="宋体"/>
          <w:bCs/>
          <w:color w:val="000000"/>
          <w:kern w:val="36"/>
          <w:sz w:val="32"/>
          <w:szCs w:val="44"/>
        </w:rPr>
        <w:t>乡（镇）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ascii="仿宋" w:hAnsi="仿宋" w:eastAsia="仿宋" w:cs="宋体"/>
          <w:bCs/>
          <w:color w:val="000000"/>
          <w:kern w:val="36"/>
          <w:sz w:val="32"/>
          <w:szCs w:val="44"/>
        </w:rPr>
        <w:t>“一卡通”未换卡农户信息核对登记表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3.</w:t>
      </w:r>
      <w:r>
        <w:rPr>
          <w:rFonts w:ascii="仿宋" w:hAnsi="仿宋" w:eastAsia="仿宋" w:cs="宋体"/>
          <w:bCs/>
          <w:color w:val="000000"/>
          <w:kern w:val="36"/>
          <w:sz w:val="32"/>
          <w:szCs w:val="44"/>
        </w:rPr>
        <w:t>乡（镇）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ascii="仿宋" w:hAnsi="仿宋" w:eastAsia="仿宋" w:cs="宋体"/>
          <w:bCs/>
          <w:color w:val="000000"/>
          <w:kern w:val="36"/>
          <w:sz w:val="32"/>
          <w:szCs w:val="44"/>
        </w:rPr>
        <w:t>“一卡通”未换卡农户应注销登记表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</w:p>
    <w:p>
      <w:pPr>
        <w:spacing w:line="500" w:lineRule="exact"/>
        <w:ind w:firstLine="640" w:firstLineChars="200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</w:p>
    <w:p>
      <w:pPr>
        <w:spacing w:line="500" w:lineRule="exact"/>
        <w:ind w:firstLine="640" w:firstLineChars="200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</w:p>
    <w:p>
      <w:pPr>
        <w:spacing w:line="500" w:lineRule="exact"/>
        <w:ind w:firstLine="640" w:firstLineChars="200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</w:p>
    <w:p>
      <w:pPr>
        <w:spacing w:line="500" w:lineRule="exact"/>
        <w:ind w:firstLine="640" w:firstLineChars="200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</w:p>
    <w:p>
      <w:pPr>
        <w:spacing w:line="500" w:lineRule="exac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抄送：县农业农村局、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县发展和改革委员会、县教育体育局、县民政局、县人力资源和社会保障局、县住建局、县退役军人事务局、县卫健委、县应急局、县医保局、县残疾人联合会</w:t>
      </w:r>
    </w:p>
    <w:p>
      <w:pPr>
        <w:spacing w:line="460" w:lineRule="exact"/>
        <w:jc w:val="left"/>
        <w:rPr>
          <w:rFonts w:hint="eastAsia" w:ascii="仿宋" w:hAnsi="仿宋" w:eastAsia="仿宋" w:cs="宋体"/>
          <w:bCs/>
          <w:color w:val="000000"/>
          <w:w w:val="88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w w:val="88"/>
          <w:kern w:val="36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</w:rPr>
        <w:t>关于</w:t>
      </w:r>
      <w:r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  <w:lang w:eastAsia="zh-CN"/>
        </w:rPr>
        <w:t>惠民惠农</w:t>
      </w:r>
      <w:r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</w:rPr>
        <w:t>财政补贴资金“一卡通”存折换卡的</w:t>
      </w:r>
      <w:r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 w:cs="宋体"/>
          <w:bCs/>
          <w:color w:val="000000"/>
          <w:w w:val="88"/>
          <w:kern w:val="36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微软雅黑" w:hAnsi="微软雅黑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广大农民朋友们：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推广应用社会保障卡发放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补贴资金是一项惠民、便民、利民工程，推行三年来，大部分农户已变更为社会保障卡发放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补贴资金。根据安徽省财政厅等五部门《关于推广应用社会保障卡发放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补贴资金的通知》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（皖财乡〔2020〕272号）等文件精神，为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32"/>
        </w:rPr>
        <w:t>做好未换卡农户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32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补贴资金“一卡通”存折换卡工作，现将有关事项通告如下：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36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一、集中时段更换原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补贴“一卡通”存折账户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2024年3月底前，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未更换为社会保障卡发放补贴资金的户主，应携带居民身份证、社会保障卡和原“一卡通”存折（即“粮补存折”），到当地村委会集中核对、登记，变更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补贴“一卡通”软件系统信息。新的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财政补贴资金“一卡通”账户是将你们原先登记的“粮补存折”账户变更为在我县代发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补贴资金银行开立的社会保障卡账户，同时每卡配发存款对账簿。为确保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>补贴资金安全并发放合规，请你们积极配合，提前做好信息核对、登记和变更工作。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集中变更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补贴“一卡通”账户活动结束后，将全面通过居民社会保障卡账户发放惠民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黑体" w:hAnsi="黑体" w:eastAsia="黑体" w:cs="宋体"/>
          <w:bCs/>
          <w:color w:val="000000"/>
          <w:kern w:val="36"/>
          <w:sz w:val="32"/>
          <w:szCs w:val="44"/>
        </w:rPr>
        <w:t>财政补贴资金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仿宋" w:hAnsi="仿宋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因村（居）民个人原因未办理存折换卡，造成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eastAsia="zh-CN"/>
        </w:rPr>
        <w:t>惠民惠农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补贴资金无法落实的，后果自负。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10"/>
        <w:textAlignment w:val="auto"/>
        <w:rPr>
          <w:rFonts w:hint="eastAsia" w:ascii="宋体" w:hAnsi="宋体" w:eastAsia="宋体" w:cs="宋体"/>
          <w:bCs/>
          <w:color w:val="000000"/>
          <w:kern w:val="36"/>
          <w:sz w:val="32"/>
          <w:szCs w:val="44"/>
        </w:rPr>
      </w:pPr>
      <w:r>
        <w:rPr>
          <w:rFonts w:ascii="微软雅黑" w:hAnsi="微软雅黑" w:eastAsia="仿宋" w:cs="宋体"/>
          <w:bCs/>
          <w:color w:val="000000"/>
          <w:kern w:val="36"/>
          <w:sz w:val="32"/>
          <w:szCs w:val="44"/>
        </w:rPr>
        <w:t>特此通告</w:t>
      </w:r>
      <w:r>
        <w:rPr>
          <w:rFonts w:hint="eastAsia" w:ascii="宋体" w:hAnsi="宋体" w:eastAsia="宋体" w:cs="宋体"/>
          <w:bCs/>
          <w:color w:val="000000"/>
          <w:kern w:val="36"/>
          <w:sz w:val="32"/>
          <w:szCs w:val="44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</w:pPr>
      <w:r>
        <w:rPr>
          <w:rFonts w:hint="eastAsia" w:ascii="微软雅黑" w:hAnsi="微软雅黑" w:eastAsia="仿宋" w:cs="宋体"/>
          <w:bCs/>
          <w:color w:val="000000"/>
          <w:kern w:val="36"/>
          <w:sz w:val="32"/>
          <w:szCs w:val="44"/>
        </w:rPr>
        <w:t xml:space="preserve">             固镇县财政局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644" w:bottom="1440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 xml:space="preserve">             2024年1月2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  <w:t>日</w:t>
      </w:r>
    </w:p>
    <w:tbl>
      <w:tblPr>
        <w:tblStyle w:val="7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30"/>
        <w:gridCol w:w="630"/>
        <w:gridCol w:w="15"/>
        <w:gridCol w:w="1785"/>
        <w:gridCol w:w="1725"/>
        <w:gridCol w:w="2040"/>
        <w:gridCol w:w="15"/>
        <w:gridCol w:w="1590"/>
        <w:gridCol w:w="795"/>
        <w:gridCol w:w="720"/>
        <w:gridCol w:w="15"/>
        <w:gridCol w:w="1605"/>
        <w:gridCol w:w="565"/>
        <w:gridCol w:w="140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16"/>
                <w:lang w:val="en-US" w:eastAsia="zh-CN" w:bidi="ar"/>
              </w:rPr>
              <w:t>乡（镇）惠民惠农“一卡通”未换卡农户信息核对登记表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1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18"/>
                <w:lang w:val="en-US" w:eastAsia="zh-CN" w:bidi="ar"/>
              </w:rPr>
              <w:t>村（居）民委员会（盖章）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原存折账号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原计税面积(亩)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确权面积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(亩)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第三代社会保障卡账号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村负责人签名：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村经办人签名：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255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99" w:hRule="atLeast"/>
        </w:trPr>
        <w:tc>
          <w:tcPr>
            <w:tcW w:w="13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乡（镇）惠民惠农“一卡通”未换卡农户应注销登记表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99" w:hRule="atLeast"/>
        </w:trPr>
        <w:tc>
          <w:tcPr>
            <w:tcW w:w="58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村（居）民委员会（盖章）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90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原存折账号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原计税面积(亩)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确权面积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(亩)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6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6" w:type="dxa"/>
          <w:trHeight w:val="449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村负责人签名：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村经办人签名：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宋体"/>
          <w:bCs/>
          <w:color w:val="000000"/>
          <w:kern w:val="36"/>
          <w:sz w:val="32"/>
          <w:szCs w:val="44"/>
        </w:rPr>
      </w:pPr>
    </w:p>
    <w:sectPr>
      <w:pgSz w:w="16838" w:h="11906" w:orient="landscape"/>
      <w:pgMar w:top="1587" w:right="1440" w:bottom="1644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32C3"/>
    <w:multiLevelType w:val="singleLevel"/>
    <w:tmpl w:val="5C7332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TgyNmRkNTE1MmU3NmMxY2E2NDg1YTg4YjVmOTUifQ=="/>
  </w:docVars>
  <w:rsids>
    <w:rsidRoot w:val="00172A27"/>
    <w:rsid w:val="00007EB2"/>
    <w:rsid w:val="00014405"/>
    <w:rsid w:val="000568CC"/>
    <w:rsid w:val="00061A89"/>
    <w:rsid w:val="0006587F"/>
    <w:rsid w:val="00073709"/>
    <w:rsid w:val="00080971"/>
    <w:rsid w:val="000863BA"/>
    <w:rsid w:val="000C2CDA"/>
    <w:rsid w:val="000C6437"/>
    <w:rsid w:val="000C6D76"/>
    <w:rsid w:val="000D11A2"/>
    <w:rsid w:val="00110565"/>
    <w:rsid w:val="00112E22"/>
    <w:rsid w:val="00114572"/>
    <w:rsid w:val="00123190"/>
    <w:rsid w:val="00124723"/>
    <w:rsid w:val="00130081"/>
    <w:rsid w:val="0014363F"/>
    <w:rsid w:val="00143B8A"/>
    <w:rsid w:val="001661E3"/>
    <w:rsid w:val="00171504"/>
    <w:rsid w:val="001A7AAC"/>
    <w:rsid w:val="001C1AC5"/>
    <w:rsid w:val="001C3080"/>
    <w:rsid w:val="001C5FCF"/>
    <w:rsid w:val="001D04FB"/>
    <w:rsid w:val="001F3F2B"/>
    <w:rsid w:val="001F43B0"/>
    <w:rsid w:val="00213639"/>
    <w:rsid w:val="002143DE"/>
    <w:rsid w:val="00225866"/>
    <w:rsid w:val="00225C2B"/>
    <w:rsid w:val="002C10A3"/>
    <w:rsid w:val="002D583E"/>
    <w:rsid w:val="002D6203"/>
    <w:rsid w:val="002D7941"/>
    <w:rsid w:val="002E4162"/>
    <w:rsid w:val="002F3F75"/>
    <w:rsid w:val="00315593"/>
    <w:rsid w:val="00331AA8"/>
    <w:rsid w:val="0033305D"/>
    <w:rsid w:val="003435F3"/>
    <w:rsid w:val="003611BE"/>
    <w:rsid w:val="00362E3C"/>
    <w:rsid w:val="0036772C"/>
    <w:rsid w:val="003B1A2A"/>
    <w:rsid w:val="003B75FB"/>
    <w:rsid w:val="003B7677"/>
    <w:rsid w:val="003D115F"/>
    <w:rsid w:val="003D3E9C"/>
    <w:rsid w:val="004068B5"/>
    <w:rsid w:val="00407F04"/>
    <w:rsid w:val="00414EA2"/>
    <w:rsid w:val="00424668"/>
    <w:rsid w:val="00427A46"/>
    <w:rsid w:val="00433C77"/>
    <w:rsid w:val="004341A0"/>
    <w:rsid w:val="00440031"/>
    <w:rsid w:val="00441D4C"/>
    <w:rsid w:val="00446AF2"/>
    <w:rsid w:val="00450BF0"/>
    <w:rsid w:val="00454DFA"/>
    <w:rsid w:val="004633F3"/>
    <w:rsid w:val="0047362D"/>
    <w:rsid w:val="00491456"/>
    <w:rsid w:val="00492483"/>
    <w:rsid w:val="004A335E"/>
    <w:rsid w:val="004B5BEA"/>
    <w:rsid w:val="004C6C04"/>
    <w:rsid w:val="004E4A85"/>
    <w:rsid w:val="004F5A50"/>
    <w:rsid w:val="00503141"/>
    <w:rsid w:val="0055346F"/>
    <w:rsid w:val="00585F33"/>
    <w:rsid w:val="00594E8E"/>
    <w:rsid w:val="0059513F"/>
    <w:rsid w:val="00595527"/>
    <w:rsid w:val="005A1DE4"/>
    <w:rsid w:val="005A31F3"/>
    <w:rsid w:val="005D50E3"/>
    <w:rsid w:val="005E6AA5"/>
    <w:rsid w:val="005E77C3"/>
    <w:rsid w:val="005E79B6"/>
    <w:rsid w:val="00607E82"/>
    <w:rsid w:val="00643762"/>
    <w:rsid w:val="006509DF"/>
    <w:rsid w:val="0065195E"/>
    <w:rsid w:val="0067499D"/>
    <w:rsid w:val="006878C6"/>
    <w:rsid w:val="006B58C4"/>
    <w:rsid w:val="006B6C73"/>
    <w:rsid w:val="006D63F9"/>
    <w:rsid w:val="00707995"/>
    <w:rsid w:val="00711087"/>
    <w:rsid w:val="00722071"/>
    <w:rsid w:val="007405B7"/>
    <w:rsid w:val="00760165"/>
    <w:rsid w:val="00763175"/>
    <w:rsid w:val="00770A80"/>
    <w:rsid w:val="007817F7"/>
    <w:rsid w:val="0079794F"/>
    <w:rsid w:val="007A4A1F"/>
    <w:rsid w:val="007A5DCC"/>
    <w:rsid w:val="007B2680"/>
    <w:rsid w:val="007E133A"/>
    <w:rsid w:val="007E57C9"/>
    <w:rsid w:val="007F0BFA"/>
    <w:rsid w:val="007F63BC"/>
    <w:rsid w:val="007F7039"/>
    <w:rsid w:val="0081337C"/>
    <w:rsid w:val="00826667"/>
    <w:rsid w:val="008420A8"/>
    <w:rsid w:val="00862373"/>
    <w:rsid w:val="0086449E"/>
    <w:rsid w:val="0088016F"/>
    <w:rsid w:val="008A1CEE"/>
    <w:rsid w:val="008A5127"/>
    <w:rsid w:val="008A7981"/>
    <w:rsid w:val="008C6F65"/>
    <w:rsid w:val="008D77B9"/>
    <w:rsid w:val="008F0251"/>
    <w:rsid w:val="008F4A9F"/>
    <w:rsid w:val="009101D8"/>
    <w:rsid w:val="00924369"/>
    <w:rsid w:val="009310EB"/>
    <w:rsid w:val="009330AD"/>
    <w:rsid w:val="00935880"/>
    <w:rsid w:val="00936A40"/>
    <w:rsid w:val="0093752B"/>
    <w:rsid w:val="00941920"/>
    <w:rsid w:val="00983F2C"/>
    <w:rsid w:val="009B20BA"/>
    <w:rsid w:val="009B7EFF"/>
    <w:rsid w:val="009D3886"/>
    <w:rsid w:val="009D4042"/>
    <w:rsid w:val="009E2DC1"/>
    <w:rsid w:val="009F6536"/>
    <w:rsid w:val="00A01B05"/>
    <w:rsid w:val="00A06185"/>
    <w:rsid w:val="00A46848"/>
    <w:rsid w:val="00A473AE"/>
    <w:rsid w:val="00A57B93"/>
    <w:rsid w:val="00A734DF"/>
    <w:rsid w:val="00A802FF"/>
    <w:rsid w:val="00AD3261"/>
    <w:rsid w:val="00B22BD2"/>
    <w:rsid w:val="00B232F7"/>
    <w:rsid w:val="00B24A2F"/>
    <w:rsid w:val="00B82FBC"/>
    <w:rsid w:val="00BB37AD"/>
    <w:rsid w:val="00BB6A30"/>
    <w:rsid w:val="00BD6E83"/>
    <w:rsid w:val="00BF2909"/>
    <w:rsid w:val="00BF722F"/>
    <w:rsid w:val="00C04866"/>
    <w:rsid w:val="00C21799"/>
    <w:rsid w:val="00C33854"/>
    <w:rsid w:val="00C445A6"/>
    <w:rsid w:val="00C56377"/>
    <w:rsid w:val="00C70D4C"/>
    <w:rsid w:val="00CA28B7"/>
    <w:rsid w:val="00CD1EC7"/>
    <w:rsid w:val="00CD275A"/>
    <w:rsid w:val="00D02A91"/>
    <w:rsid w:val="00D14F12"/>
    <w:rsid w:val="00D20C92"/>
    <w:rsid w:val="00D26D14"/>
    <w:rsid w:val="00D27388"/>
    <w:rsid w:val="00D42ACB"/>
    <w:rsid w:val="00D5364A"/>
    <w:rsid w:val="00D55152"/>
    <w:rsid w:val="00D70012"/>
    <w:rsid w:val="00D74D83"/>
    <w:rsid w:val="00DA28D4"/>
    <w:rsid w:val="00DB1D1B"/>
    <w:rsid w:val="00DB3739"/>
    <w:rsid w:val="00DC0774"/>
    <w:rsid w:val="00DC3EF0"/>
    <w:rsid w:val="00DD5EC7"/>
    <w:rsid w:val="00DF2CDC"/>
    <w:rsid w:val="00DF3536"/>
    <w:rsid w:val="00DF55F0"/>
    <w:rsid w:val="00E14EDB"/>
    <w:rsid w:val="00E261FB"/>
    <w:rsid w:val="00E53E45"/>
    <w:rsid w:val="00E53F85"/>
    <w:rsid w:val="00E72F18"/>
    <w:rsid w:val="00E85F75"/>
    <w:rsid w:val="00E97028"/>
    <w:rsid w:val="00EB196B"/>
    <w:rsid w:val="00EE4091"/>
    <w:rsid w:val="00EE6C78"/>
    <w:rsid w:val="00F04011"/>
    <w:rsid w:val="00F32C19"/>
    <w:rsid w:val="00F41CF4"/>
    <w:rsid w:val="00F42812"/>
    <w:rsid w:val="00F76CE0"/>
    <w:rsid w:val="00F8513B"/>
    <w:rsid w:val="00FA1312"/>
    <w:rsid w:val="00FC277E"/>
    <w:rsid w:val="00FC700F"/>
    <w:rsid w:val="00FE07DC"/>
    <w:rsid w:val="018F0D0D"/>
    <w:rsid w:val="022A7E74"/>
    <w:rsid w:val="032372E9"/>
    <w:rsid w:val="03857F05"/>
    <w:rsid w:val="04134A25"/>
    <w:rsid w:val="04F97F9D"/>
    <w:rsid w:val="0518367A"/>
    <w:rsid w:val="05224093"/>
    <w:rsid w:val="05D5038C"/>
    <w:rsid w:val="07AC383C"/>
    <w:rsid w:val="082E795C"/>
    <w:rsid w:val="085605D0"/>
    <w:rsid w:val="096E5CA9"/>
    <w:rsid w:val="0A200E55"/>
    <w:rsid w:val="0F3511BB"/>
    <w:rsid w:val="0F68163A"/>
    <w:rsid w:val="0F69684F"/>
    <w:rsid w:val="1030563E"/>
    <w:rsid w:val="10DA1B6A"/>
    <w:rsid w:val="116333CD"/>
    <w:rsid w:val="13A40B71"/>
    <w:rsid w:val="14262267"/>
    <w:rsid w:val="148E3224"/>
    <w:rsid w:val="14D00CD3"/>
    <w:rsid w:val="162E29AE"/>
    <w:rsid w:val="1754582C"/>
    <w:rsid w:val="176A4A76"/>
    <w:rsid w:val="17A74BD3"/>
    <w:rsid w:val="17CE523B"/>
    <w:rsid w:val="18176891"/>
    <w:rsid w:val="18FC32EC"/>
    <w:rsid w:val="18FF6CC1"/>
    <w:rsid w:val="1A5E0637"/>
    <w:rsid w:val="1B1F0BDC"/>
    <w:rsid w:val="1B3E20BF"/>
    <w:rsid w:val="1D1B1360"/>
    <w:rsid w:val="1D93055C"/>
    <w:rsid w:val="1FAA41BE"/>
    <w:rsid w:val="200A2425"/>
    <w:rsid w:val="20317AA2"/>
    <w:rsid w:val="20B860E9"/>
    <w:rsid w:val="20CA5CCB"/>
    <w:rsid w:val="215856E0"/>
    <w:rsid w:val="216E5966"/>
    <w:rsid w:val="21E21428"/>
    <w:rsid w:val="21E851B4"/>
    <w:rsid w:val="22983606"/>
    <w:rsid w:val="230452F8"/>
    <w:rsid w:val="23E2046A"/>
    <w:rsid w:val="24864B97"/>
    <w:rsid w:val="24BC2E0C"/>
    <w:rsid w:val="256921B5"/>
    <w:rsid w:val="265E60A1"/>
    <w:rsid w:val="26BA0C67"/>
    <w:rsid w:val="26E47635"/>
    <w:rsid w:val="27BB595B"/>
    <w:rsid w:val="27F73144"/>
    <w:rsid w:val="2854230C"/>
    <w:rsid w:val="28F53B69"/>
    <w:rsid w:val="29191446"/>
    <w:rsid w:val="296A4FA1"/>
    <w:rsid w:val="2A1F5799"/>
    <w:rsid w:val="2BD630B8"/>
    <w:rsid w:val="2C522376"/>
    <w:rsid w:val="2D17516E"/>
    <w:rsid w:val="2D42597C"/>
    <w:rsid w:val="2DE670FB"/>
    <w:rsid w:val="2F4D1780"/>
    <w:rsid w:val="31414021"/>
    <w:rsid w:val="3169453C"/>
    <w:rsid w:val="33FE4453"/>
    <w:rsid w:val="340F1FCC"/>
    <w:rsid w:val="346742FE"/>
    <w:rsid w:val="35FE0EFA"/>
    <w:rsid w:val="38224652"/>
    <w:rsid w:val="38336568"/>
    <w:rsid w:val="38A72935"/>
    <w:rsid w:val="39685B86"/>
    <w:rsid w:val="3B0A2C02"/>
    <w:rsid w:val="3CEF297F"/>
    <w:rsid w:val="3DBB0D49"/>
    <w:rsid w:val="3EC66069"/>
    <w:rsid w:val="405C75C2"/>
    <w:rsid w:val="40692B8B"/>
    <w:rsid w:val="429D3F9C"/>
    <w:rsid w:val="42E519D7"/>
    <w:rsid w:val="43DA5E66"/>
    <w:rsid w:val="442F79BA"/>
    <w:rsid w:val="44642DFA"/>
    <w:rsid w:val="44797F65"/>
    <w:rsid w:val="462B6883"/>
    <w:rsid w:val="469C28AD"/>
    <w:rsid w:val="46D60F7C"/>
    <w:rsid w:val="473D128A"/>
    <w:rsid w:val="47A40CEA"/>
    <w:rsid w:val="47A65B91"/>
    <w:rsid w:val="47FE1E4E"/>
    <w:rsid w:val="488C0A81"/>
    <w:rsid w:val="48AE2540"/>
    <w:rsid w:val="48DA7CC6"/>
    <w:rsid w:val="49167B9A"/>
    <w:rsid w:val="4A63317E"/>
    <w:rsid w:val="4CB6744F"/>
    <w:rsid w:val="4CB82DB4"/>
    <w:rsid w:val="4CF17107"/>
    <w:rsid w:val="4CF47A90"/>
    <w:rsid w:val="4DDA3B4B"/>
    <w:rsid w:val="4E0C68CA"/>
    <w:rsid w:val="4E3E0C47"/>
    <w:rsid w:val="4E486A32"/>
    <w:rsid w:val="4E9C44CC"/>
    <w:rsid w:val="4EF70452"/>
    <w:rsid w:val="4FA855CD"/>
    <w:rsid w:val="4FDB7E6E"/>
    <w:rsid w:val="50D37A2F"/>
    <w:rsid w:val="513762B7"/>
    <w:rsid w:val="52100719"/>
    <w:rsid w:val="521A73E6"/>
    <w:rsid w:val="527E4AB4"/>
    <w:rsid w:val="528578F2"/>
    <w:rsid w:val="538E2B84"/>
    <w:rsid w:val="53B67B65"/>
    <w:rsid w:val="53C567E1"/>
    <w:rsid w:val="5411750F"/>
    <w:rsid w:val="54272639"/>
    <w:rsid w:val="55D167F7"/>
    <w:rsid w:val="56266095"/>
    <w:rsid w:val="57720FE3"/>
    <w:rsid w:val="579450CE"/>
    <w:rsid w:val="57D51AE8"/>
    <w:rsid w:val="58173427"/>
    <w:rsid w:val="5855184F"/>
    <w:rsid w:val="58B573BC"/>
    <w:rsid w:val="59E52F65"/>
    <w:rsid w:val="5A8877D6"/>
    <w:rsid w:val="5B230AC5"/>
    <w:rsid w:val="5C435C6E"/>
    <w:rsid w:val="5CD9704D"/>
    <w:rsid w:val="5D234F04"/>
    <w:rsid w:val="5DA227F6"/>
    <w:rsid w:val="5DDF145F"/>
    <w:rsid w:val="5E4477D7"/>
    <w:rsid w:val="5EA563A5"/>
    <w:rsid w:val="5F201BDB"/>
    <w:rsid w:val="607834DC"/>
    <w:rsid w:val="60E407A3"/>
    <w:rsid w:val="62F21E9D"/>
    <w:rsid w:val="636E19D4"/>
    <w:rsid w:val="63D625A5"/>
    <w:rsid w:val="65E91B0D"/>
    <w:rsid w:val="66E42582"/>
    <w:rsid w:val="68210D61"/>
    <w:rsid w:val="69000C8D"/>
    <w:rsid w:val="6AC41339"/>
    <w:rsid w:val="6C632574"/>
    <w:rsid w:val="6CAC16FD"/>
    <w:rsid w:val="6CED2C36"/>
    <w:rsid w:val="6D2A2ECA"/>
    <w:rsid w:val="6D707CFA"/>
    <w:rsid w:val="6DD31123"/>
    <w:rsid w:val="6EE01F17"/>
    <w:rsid w:val="6F461713"/>
    <w:rsid w:val="6F917ECE"/>
    <w:rsid w:val="6FC7123C"/>
    <w:rsid w:val="70FC3C2F"/>
    <w:rsid w:val="71B56561"/>
    <w:rsid w:val="720A2D90"/>
    <w:rsid w:val="72F148E0"/>
    <w:rsid w:val="73A02B59"/>
    <w:rsid w:val="73CD68E4"/>
    <w:rsid w:val="741F48C7"/>
    <w:rsid w:val="75F51961"/>
    <w:rsid w:val="76061BAC"/>
    <w:rsid w:val="768D1EAF"/>
    <w:rsid w:val="76A52FC0"/>
    <w:rsid w:val="77602BFD"/>
    <w:rsid w:val="79CD72E0"/>
    <w:rsid w:val="7A105DDA"/>
    <w:rsid w:val="7A4F3A37"/>
    <w:rsid w:val="7ADB6E6B"/>
    <w:rsid w:val="7B813A05"/>
    <w:rsid w:val="7B910DC2"/>
    <w:rsid w:val="7BCC5C86"/>
    <w:rsid w:val="7C496FCF"/>
    <w:rsid w:val="7D255E7F"/>
    <w:rsid w:val="7E5007B8"/>
    <w:rsid w:val="7F5F7FB0"/>
    <w:rsid w:val="7FB31753"/>
    <w:rsid w:val="7FDC3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44"/>
    </w:rPr>
  </w:style>
  <w:style w:type="paragraph" w:styleId="3">
    <w:name w:val="Body Text Indent"/>
    <w:basedOn w:val="1"/>
    <w:qFormat/>
    <w:uiPriority w:val="0"/>
    <w:pPr>
      <w:ind w:firstLine="680"/>
    </w:pPr>
    <w:rPr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9"/>
    <w:uiPriority w:val="0"/>
    <w:rPr>
      <w:rFonts w:hint="default" w:ascii="Arial" w:hAnsi="Arial" w:cs="Arial"/>
      <w:b/>
      <w:bCs/>
      <w:color w:val="000000"/>
      <w:sz w:val="28"/>
      <w:szCs w:val="28"/>
      <w:u w:val="single"/>
    </w:rPr>
  </w:style>
  <w:style w:type="character" w:customStyle="1" w:styleId="16">
    <w:name w:val="font61"/>
    <w:basedOn w:val="9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71"/>
    <w:basedOn w:val="9"/>
    <w:uiPriority w:val="0"/>
    <w:rPr>
      <w:rFonts w:hint="default" w:ascii="Arial" w:hAnsi="Arial" w:cs="Arial"/>
      <w:b/>
      <w:bCs/>
      <w:color w:val="000000"/>
      <w:sz w:val="20"/>
      <w:szCs w:val="20"/>
      <w:u w:val="single"/>
    </w:rPr>
  </w:style>
  <w:style w:type="character" w:customStyle="1" w:styleId="18">
    <w:name w:val="font1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4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81"/>
    <w:basedOn w:val="9"/>
    <w:uiPriority w:val="0"/>
    <w:rPr>
      <w:rFonts w:hint="default" w:ascii="Arial" w:hAnsi="Arial" w:cs="Arial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2353</Words>
  <Characters>2395</Characters>
  <Lines>3</Lines>
  <Paragraphs>1</Paragraphs>
  <TotalTime>21</TotalTime>
  <ScaleCrop>false</ScaleCrop>
  <LinksUpToDate>false</LinksUpToDate>
  <CharactersWithSpaces>3356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2023-03-13T08:57:00Z</dcterms:created>
  <dc:creator>郭吉军</dc:creator>
  <cp:lastModifiedBy>:)</cp:lastModifiedBy>
  <cp:lastPrinted>2023-04-25T02:00:00Z</cp:lastPrinted>
  <dcterms:modified xsi:type="dcterms:W3CDTF">2024-09-23T08:52:41Z</dcterms:modified>
  <dc:title>关于申请批准第二批村级公益事业建设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E525746DBB164EC09AF021BAB99F090B_13</vt:lpwstr>
  </property>
</Properties>
</file>