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固镇县202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年秸秆禁烧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和综合利用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为切实做好202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年秸秆禁烧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和综合利用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工作，有效防治大气污染，促进秸秆资源化综合利用，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持续改善空气环境质量，根据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关于进一步加强秸秆禁烧工作的通知》（安环委〔2023〕1号）、《蚌埠市秸秆禁烧工作责任追究实施细则（试行）》（蚌环委〔2023〕7号）、《2024年蚌埠市秸秆禁烧工作方案》（蚌禁烧办〔2024〕9号）等文件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结合工作实际，制定以下实施方案。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坚持以习近平生态文明思想为指导，以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标本兼治、综合施策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原则，切实落实属地管理责任，全面提升秸秆禁烧和综合利用水平。支持秸秆产业发展，培育发展壮大龙头企业，建立健全农作物秸秆收储运体系，大力推广农作物秸秆饲料化、基料化、原料化、肥料化、能源化五化利用，为全县乡村振兴建设打下坚实的基础。落实秸秆禁烧网格化管理和常态化监管责任，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责任明确、上下联动、横向到边、纵向到底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的监管体系，实现全年全县秸秆禁烧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国家、省、市通报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零火点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工作目标。力争202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年全县秸秆综合利用率达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30" w:firstLineChars="19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  <w:lang w:eastAsia="zh-CN"/>
        </w:rPr>
        <w:t>（一）强力管控秸秆焚烧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0" w:firstLineChars="196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前期准备阶段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午季5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月20日前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秋季9月20日前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加强宣传营造禁烧氛围。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各乡镇要召开宣传动员大会，通过发放明白纸、制作标语条幅、播放广播等多种形式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大力宣传秸秆禁烧的意义及政策要求，乡镇、村主要进出口要悬挂秸秆禁烧宣传横幅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县经济开发区干部要深入企业，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县、乡、村、组干部要走村入户，宣传和引导群众积极参与秸秆禁烧工作，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做到企业、群众家喻户晓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县委宣传部、县经济开发区、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各乡镇）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签订秸秆离田和综合利用协议。包保人员要提前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入企、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入村，协助配合做好宣传发动及准备工作。乡镇要组织村（居）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摸清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农户秸秆离田方式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对秸秆不能离田的农户，由村（居）提前统计，统筹协调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与农机协会、经纪人等服务组织签订秸秆离田和综合利用协议，确保地块秸秆有着落。开展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小手拉大手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活动，动员和鼓励学生家长承诺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不焚烧秸秆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，共同强化生态环境保护意识。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各包保单位、县经济开发区、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各乡镇、县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教育局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组建秸秆禁烧应急处置队伍。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本级至少要成立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秸秆禁烧应急处置队伍，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每个自然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村（居）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至少成立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应急队伍，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每个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队伍要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配备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洒水车、灭火器等应急设备，发现火情时要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做到发现及时、联络畅通、集结迅速、处置有效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在抓好农作物秸秆禁烧的同时，也要抓好荒草、垃圾等田间地头废弃物禁烧管控。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各乡镇）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秸秆堆放场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。各乡镇要指导村（居）合理设置秸秆临时堆放场，要充分利用农村低效土地、空闲土地，远离生活区50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与公共设施保持安全防护距离，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远离高压线100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县经济开发区、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各乡镇要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安排专人驻点看守秸秆堆放场，每个秸秆标准化收储中心至少安排一名科级以上领导干部进行包保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各堆放场要配备测温仪器、抽水泵、灭火器等设备，确保正常运行，出现火情及时处置。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（责任单位：各乡镇）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蓝天卫士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科技监控作用。各乡镇要积极发挥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蓝天卫士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科技监控平台作用，安排专人值守，持续开展全区域实时监控，努力做到及时发现、及时扑救、及时通报。县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禁烧办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第三方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技术保障，确保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蓝天卫士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运行正常。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（责任单位：各乡镇、县禁烧办）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（6）强化基层基础工作。县经济开发区、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制定《秸秆禁烧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综合利用工作方案》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，村（居）制定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《秸秆禁烧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综合利用村级任务清单》，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乡镇、村（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居）要建立日常巡查监管队伍和相应工作机制，实行挂图作战，坚持“一村一挂图”，明确每个农户收、种和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秸秆综合利用方式，收种的农机数量、类型、耕作模式，挂图作战，按图推进。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各乡镇）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（7）指导秸秆综合利用、产业结构调整和农业特色产业发展等各项工作。协调督促农机保障，做好农作物收、种及秸秆综合利用机具调度服务工作。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（责任单位：秸秆综合利用工作督查指导组、各乡镇）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机动巡查包保阶段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午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季5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月21日-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月3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秋季9月21日-9月30日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四大班子负责同志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要到所联系的乡镇，检查指导秸秆禁烧工作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督导各包保单位按要求入驻并开展工作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。各包保单位要做好与包保村（居）对接和驻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村（居）准备工作，协助包保村（居）进一步完善和落实禁烧各项工作措施，形成浓厚的禁烧氛围。县督查巡查组适时对包保单位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包保工作开展情况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以及乡镇落实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禁烧工作情况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开展督查巡查。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各乡镇、各包保单位、县禁烧办）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全面驻村包保阶段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午季6月1日-6月30日，秋季10月1日-10月31日）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开展全面督查巡查。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各包保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落实驻村值班制度，制定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值班表，明确值班领导和成员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落实全天候驻守、巡查和值班制度，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深入田间地头，加强联防联控，坚守岗位，确保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不烧一把火、不冒一处烟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县经济开发区、各乡镇本级要建立督查巡查组，加强对辖区内秸秆禁烧开展情况的监督检查。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县督查巡查组要实行全天候督查，发现焚烧秸秆或处置秸秆不规范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（秸秆留茬过高、秸秆粉碎还田、秸秆堆放在“五边一上”）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等现象，要督促所在乡镇快速处置，同时定位取证，及时上报县禁烧办。县纪律监督组要强化对全县秸秆禁烧工作落实情况的全面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失职、渎职、履职不到位的进行追责问责。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秸秆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禁烧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纪律监督组和督查巡查组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县经济开发区、各乡镇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、各包保单位）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管控县域外秸秆焚烧对我县的影响。加强我县与周边县区毗邻区域的管控力度，要设立防火隔离带，严防外火侵入。要加大傍晚、夜间时段的巡查频次，一旦发生可能影响我县秸秆禁烧的，要及时向县禁烧办报告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（责任单位：各乡镇、各包保单位）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加大焚烧秸秆查处力度。对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露天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焚烧秸秆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荒草、杂物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乡镇、村（居）要及时上报县禁烧办或县督查巡查组，并配合县督查巡查组及时固定证据，县公安局、县生态环境分局和各乡镇要严格按照有关法律法规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迅速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查处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到位，对妨碍公务的，县公安局要依法予以严厉打击。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各乡镇、县公安局、县生态环境分局）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督导各乡镇落实秸秆收储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网络建设、秸秆清运、秸秆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堆场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情况，特别是秸秆收储站点人员值守及防火安全措施落实情况等。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（责任单位：秸秆综合利用工作督查指导组、各乡镇）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收尾阶段（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午季7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月1日-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月20日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秋季11月1日-11月20日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乡镇要及时组织人员对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边一上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”（沟边、河边、路边、田边、林边、坟上）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的秸秆进行清理，包保单位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撤出驻村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，要协助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村（居）加快推进秸秆清理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；在撤出后，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仍要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协助村（居）做好秸秆清理工作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及验收工作，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彻底消除秸秆对水体的污染及焚烧隐患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。县经济开发区、各乡镇秸秆禁烧分管领导要带队组织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各村（居）秸秆清理情况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，验收单由县经济开发区和乡镇分管领导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包保单位负责人、村（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共同签字确认后，报县禁烧办。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县督查巡查组将对各乡镇秸秆清理情况开展专项督查。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各乡镇、各包保单位、县禁烧办）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（二）持续推进秸秆综合利用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1.政策引导，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建立健全农作物秸秆收储运体系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加强对已建成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“百个秸秆标准化收储中心”运行监管，完善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农作物秸秆收储运体系建设，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支持企业和社会组织组建专业化农作物秸秆收储运销机构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社会资本参与农作物秸秆收储运销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体系建设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，建立以需求为导向、企业为龙头、专业合作经济组织为骨干、农户参与、市场化运作的农作物秸秆收储运销网络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，鼓励秸秆深加工及高值化利用，做到秸秆收得下、运得出、能利用。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乡镇要落实秸秆临时收储点和标准化收储中心属地管理责任，巩固建设成果，稳定覆盖区域，防止标准化收储中心与区域脱节造成闲置或挪作他用。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2.发挥优势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，大力推广秸秆饲料化利用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充分发挥全县秸秆资源丰富，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养殖基础相对较好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做大做强畜牧养殖业和饲料加工业，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大力推广玉米秸秆青贮、小麦秸秆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揉丝、秸秆发酵饲料技术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应用，充分发挥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县花生种植面积大，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花生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适口性好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的特点，在花生秸秆饲料化应用方面做文章，奖励扶持花生秸秆除膜作业，提高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化应用的比例，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充分发挥已建成的秸秆标准化收储中心的作用。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培育发展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饲料化应用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以上企业达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加工揉丝小麦秸秆10万吨以上、全株玉米青贮5万吨以上，秸秆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饲料化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总量达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万吨以上。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3.依托龙头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，大力推进秸秆能源化利用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依托县国能生物电厂，大力推广农作物秸秆发电，发展和规范秸秆经纪人，国能电厂要与秸秆经纪人签订秸秆收购协议，确保秸秆收储运管道畅通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满足生物质电厂秸秆利用需求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同时国能电厂应做到应收尽收，保障秸秆经纪人的合法利益，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大力推广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秸秆生物质压块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清洁化生产技术应用，做好除尘、降噪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安全生产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年实现秸秆能源化利用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万吨以上，其中电厂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万吨以上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各乡镇按照每万亩播种面积不少于1000吨交售农作物秸秆与国能电厂，国能电厂要保证合同内应收尽收。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4.典型示范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创建秸秆原料化示范基地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以蚌埠星河秸秆生物科技有限公司等为依托，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以农作物秸秆为原料，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高效有机肥，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发展秸秆制糖产业，提高秸秆综合利用价值，解决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秸秆禁烧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难题，促进农民增收，推动乡村振兴、实现共同富裕。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5.持续强化，提升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秸秆基料化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利用水平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丰原农业科技有限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为典型，鼓励秸秆基质商品化生产，优先扶持年生产消耗秸秆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吨以上的企业。重点推广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羊肚菌、松茸、金耳、秀珍菇等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能够充分消耗农作物秸秆的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高值化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种植模式，优先扶持年菌种生产达到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万瓶（袋）以上的菌种厂或年生产规模超过3万平方米（袋、棒、包）的食用菌龙头企业、合作社、家庭农场和专业种植大户。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</w:rPr>
        <w:t>营造舆论氛围，发挥示范效应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充分发挥新闻媒体舆论引导和监督作用，重点突出秸秆综合利用工作的重要意义，凸显农作物秸秆综合利用工作亮点，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参加秸秆综合利用产业博览会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落实招商、签约、推介项目任务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营造农作物秸秆禁烧和综合利用的浓厚氛围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打造农作物秸秆综合利用提升工程示范样板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增强工程辐射带动效应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提升全县农作物秸秆综合利用水平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确保完成各项目标任务。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奖补政策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2024年秸秆综合利用奖补政策待省市奖补政策出台后制定。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</w:rPr>
        <w:t>（一）加强组织领导，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  <w:lang w:eastAsia="zh-CN"/>
        </w:rPr>
        <w:t>压紧压实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</w:rPr>
        <w:t>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县四大班子领导包乡镇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机关单位和乡镇领导干部包村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乡镇一般干部和村干部包组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组干部包户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的秸秆禁烧防控网络体系。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县经济开发区、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各乡镇要切实压实人员包村、包组、包户、包地块、包料场的工作责任，进一步完善网格化包保体系。监管网格要细化到村民组，每个网格至少要设立1个值守点，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每个值守点不少于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值守点和值守人员要有明显标志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，配备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若干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灭火器、扫把等灭火设备，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电瓶车等便捷交通工具。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对驻固农（林）场和土地流转的地块，按照属地管理原则，由所在地乡镇加强对承包者的管理。乡镇可以通过签订《土地流转补充协议》《秸秆禁烧和综合利用监管协议》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联合开展禁烧防控、协同处置在田秸秆等措施，落实包保责任。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各乡镇要明确承办秸秆综合利用工作的具体部门和人员，做好奖补项目的审核、秸秆台账建立等工作。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</w:rPr>
        <w:t>（二）规范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费用报销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</w:rPr>
        <w:t>，落实资金保障。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驻村期间的伙食补助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依据安徽省财政厅《安徽省省直机关差旅费管理办法》（财行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）和蚌埠市财政局《蚌埠市市直机关差旅费管理办法》（财行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179号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）文件精神，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按《固镇县机关事业单位差旅费管理办法》中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阶段性重点工作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标准核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切实强化农作物秸秆综合利用提升工程相关奖补资金监管，提高资金使用效率。对资金使用单位和个人存在虚报冒领、骗取套取奖补资金等行为，一经查实，扣回奖补资金，并按有关规定严肃追究相关单位和人员责任。对于恶意骗补的企业，按照《财政违法行为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分条例》等法律法规予以处理，且三年内不允许申报秸秆综合利用奖补项目，涉嫌犯罪的，移交司法机关处理。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sz w:val="32"/>
          <w:szCs w:val="32"/>
          <w:highlight w:val="none"/>
        </w:rPr>
        <w:t>（三）严格督查考核，强化结果运用。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对违规焚烧秸秆、枯草等的，县生态环境分局、县公安局等部门依据各自职责，按照法律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对其进行责令改正、罚款、拘留等行政处罚，直至追究刑事责任。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因禁烧工作不力，造成我县被上级部门通报批评、约谈的，年度考核中取消生态环境领域评先评优资格，并移交组织和纪检部门追究相关责任单位和责任人的责任；围绕“第一把火”，对禁烧工作开展不力的，严格按照《蚌埠市秸秆禁烧工作责任追究实施细则（试行）》，追究相关单位和责任人的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农作物秸秆综合利用提升工程实施情况开展重点督查和总体评价，对建设进度快、质量好、秸秆回收量大、利用途径广泛、利用效率高的乡镇给予表彰；对不能保质保量完成任务、项目建成后闲置没有效益的乡镇，进行通报批评。对秸秆综合利用提升工程实施中发现的违规违纪现象，坚决从严从重查处，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87" w:bottom="1871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jNlMjA2MzRiZGE0YTA4NmY3OGEyODVlM2Y5ZjEifQ=="/>
  </w:docVars>
  <w:rsids>
    <w:rsidRoot w:val="10544416"/>
    <w:rsid w:val="03B473BC"/>
    <w:rsid w:val="0FAA1992"/>
    <w:rsid w:val="10544416"/>
    <w:rsid w:val="12463C8B"/>
    <w:rsid w:val="14A34C6D"/>
    <w:rsid w:val="17220751"/>
    <w:rsid w:val="17E85FF9"/>
    <w:rsid w:val="1E77328F"/>
    <w:rsid w:val="22B8599C"/>
    <w:rsid w:val="29721758"/>
    <w:rsid w:val="37774939"/>
    <w:rsid w:val="3F870779"/>
    <w:rsid w:val="42836174"/>
    <w:rsid w:val="49B61F9A"/>
    <w:rsid w:val="4A951FE6"/>
    <w:rsid w:val="513E0D64"/>
    <w:rsid w:val="55364B59"/>
    <w:rsid w:val="575D3387"/>
    <w:rsid w:val="5A6521CC"/>
    <w:rsid w:val="74337EC6"/>
    <w:rsid w:val="7B4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widowControl/>
      <w:spacing w:line="440" w:lineRule="atLeast"/>
      <w:ind w:firstLine="0"/>
      <w:jc w:val="both"/>
      <w:textAlignment w:val="baseline"/>
    </w:pPr>
    <w:rPr>
      <w:rFonts w:ascii="宋体" w:hAnsi="Calibri" w:eastAsia="宋体"/>
      <w:kern w:val="0"/>
      <w:sz w:val="21"/>
      <w:szCs w:val="20"/>
      <w:lang w:val="en-US" w:eastAsia="zh-CN" w:bidi="ar-SA"/>
    </w:rPr>
  </w:style>
  <w:style w:type="paragraph" w:styleId="3">
    <w:name w:val="Body Text"/>
    <w:basedOn w:val="1"/>
    <w:qFormat/>
    <w:uiPriority w:val="1"/>
    <w:pPr>
      <w:spacing w:after="120" w:afterLines="0" w:afterAutospacing="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15"/>
    <w:basedOn w:val="7"/>
    <w:qFormat/>
    <w:uiPriority w:val="99"/>
    <w:rPr>
      <w:rFonts w:ascii="Times New Roman" w:hAnsi="Times New Roman" w:eastAsia="宋体" w:cs="Times New Roman"/>
    </w:rPr>
  </w:style>
  <w:style w:type="paragraph" w:customStyle="1" w:styleId="10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10356</Words>
  <Characters>10879</Characters>
  <Lines>0</Lines>
  <Paragraphs>0</Paragraphs>
  <TotalTime>6</TotalTime>
  <ScaleCrop>false</ScaleCrop>
  <LinksUpToDate>false</LinksUpToDate>
  <CharactersWithSpaces>11115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2024-05-20T06:51:00Z</dcterms:created>
  <dc:creator>知足乐</dc:creator>
  <cp:lastModifiedBy>飛</cp:lastModifiedBy>
  <cp:lastPrinted>2024-05-20T08:15:00Z</cp:lastPrinted>
  <dcterms:modified xsi:type="dcterms:W3CDTF">2024-09-24T03:18:43Z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FC36C708A08444D2A8FCC4764277DB80_13</vt:lpwstr>
  </property>
</Properties>
</file>