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2D9E6">
      <w:pPr>
        <w:tabs>
          <w:tab w:val="left" w:pos="180"/>
        </w:tabs>
        <w:jc w:val="center"/>
        <w:rPr>
          <w:b/>
          <w:sz w:val="72"/>
          <w:szCs w:val="80"/>
        </w:rPr>
      </w:pPr>
    </w:p>
    <w:p w14:paraId="7DA0CE8C">
      <w:pPr>
        <w:tabs>
          <w:tab w:val="left" w:pos="180"/>
        </w:tabs>
        <w:jc w:val="center"/>
        <w:rPr>
          <w:b/>
          <w:sz w:val="72"/>
          <w:szCs w:val="80"/>
        </w:rPr>
      </w:pPr>
      <w:r>
        <w:rPr>
          <w:b/>
          <w:sz w:val="72"/>
          <w:szCs w:val="80"/>
        </w:rPr>
        <w:t>建设项目环境影响报告表</w:t>
      </w:r>
    </w:p>
    <w:p w14:paraId="50DE5BD8">
      <w:pPr>
        <w:adjustRightInd w:val="0"/>
        <w:snapToGrid w:val="0"/>
        <w:spacing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eastAsia="zh-CN"/>
        </w:rPr>
        <w:t>污染影响类</w:t>
      </w:r>
      <w:r>
        <w:rPr>
          <w:rFonts w:hint="eastAsia" w:ascii="楷体_GB2312" w:eastAsia="楷体_GB2312"/>
          <w:bCs/>
          <w:sz w:val="48"/>
          <w:szCs w:val="48"/>
        </w:rPr>
        <w:t>）</w:t>
      </w:r>
    </w:p>
    <w:p w14:paraId="3935D90A">
      <w:pPr>
        <w:adjustRightInd w:val="0"/>
        <w:snapToGrid w:val="0"/>
        <w:spacing w:beforeLines="80"/>
        <w:jc w:val="center"/>
        <w:rPr>
          <w:rFonts w:ascii="楷体_GB2312" w:eastAsia="楷体_GB2312"/>
          <w:bCs/>
          <w:sz w:val="48"/>
          <w:szCs w:val="48"/>
        </w:rPr>
      </w:pPr>
      <w:r>
        <w:rPr>
          <w:rFonts w:hint="eastAsia"/>
          <w:b w:val="0"/>
          <w:bCs/>
          <w:sz w:val="48"/>
          <w:szCs w:val="48"/>
          <w:lang w:eastAsia="zh-CN"/>
        </w:rPr>
        <w:t>送审稿</w:t>
      </w:r>
    </w:p>
    <w:p w14:paraId="426A77C7">
      <w:pPr>
        <w:rPr>
          <w:b/>
          <w:sz w:val="36"/>
          <w:szCs w:val="36"/>
        </w:rPr>
      </w:pPr>
    </w:p>
    <w:p w14:paraId="22DAFAF1">
      <w:pPr>
        <w:tabs>
          <w:tab w:val="left" w:pos="7740"/>
          <w:tab w:val="left" w:pos="7920"/>
          <w:tab w:val="left" w:pos="8100"/>
          <w:tab w:val="left" w:pos="8280"/>
          <w:tab w:val="left" w:pos="8640"/>
        </w:tabs>
        <w:ind w:left="718" w:leftChars="342"/>
        <w:rPr>
          <w:b/>
          <w:sz w:val="36"/>
          <w:szCs w:val="36"/>
        </w:rPr>
      </w:pPr>
    </w:p>
    <w:p w14:paraId="25EFA05F">
      <w:pPr>
        <w:tabs>
          <w:tab w:val="left" w:pos="7740"/>
          <w:tab w:val="left" w:pos="7920"/>
          <w:tab w:val="left" w:pos="8100"/>
          <w:tab w:val="left" w:pos="8280"/>
          <w:tab w:val="left" w:pos="8640"/>
        </w:tabs>
        <w:ind w:left="718" w:leftChars="342"/>
        <w:rPr>
          <w:b/>
          <w:sz w:val="36"/>
          <w:szCs w:val="36"/>
        </w:rPr>
      </w:pPr>
    </w:p>
    <w:p w14:paraId="28EDFD14">
      <w:pPr>
        <w:tabs>
          <w:tab w:val="left" w:pos="7740"/>
          <w:tab w:val="left" w:pos="7920"/>
          <w:tab w:val="left" w:pos="8100"/>
          <w:tab w:val="left" w:pos="8280"/>
          <w:tab w:val="left" w:pos="8460"/>
          <w:tab w:val="left" w:pos="8640"/>
          <w:tab w:val="left" w:pos="8820"/>
        </w:tabs>
        <w:jc w:val="left"/>
        <w:rPr>
          <w:b/>
          <w:sz w:val="36"/>
          <w:szCs w:val="36"/>
        </w:rPr>
      </w:pPr>
    </w:p>
    <w:p w14:paraId="7BB8DA66">
      <w:pPr>
        <w:keepNext w:val="0"/>
        <w:keepLines w:val="0"/>
        <w:pageBreakBefore w:val="0"/>
        <w:widowControl w:val="0"/>
        <w:tabs>
          <w:tab w:val="left" w:pos="7740"/>
          <w:tab w:val="left" w:pos="7920"/>
          <w:tab w:val="left" w:pos="8100"/>
          <w:tab w:val="left" w:pos="8280"/>
          <w:tab w:val="left" w:pos="8460"/>
          <w:tab w:val="left" w:pos="8640"/>
          <w:tab w:val="left" w:pos="8820"/>
        </w:tabs>
        <w:kinsoku/>
        <w:wordWrap/>
        <w:overflowPunct/>
        <w:topLinePunct w:val="0"/>
        <w:autoSpaceDE/>
        <w:autoSpaceDN/>
        <w:bidi w:val="0"/>
        <w:adjustRightInd/>
        <w:snapToGrid/>
        <w:ind w:firstLine="1280" w:firstLineChars="400"/>
        <w:jc w:val="both"/>
        <w:textAlignment w:val="auto"/>
        <w:rPr>
          <w:rFonts w:hint="default"/>
          <w:sz w:val="32"/>
          <w:szCs w:val="36"/>
          <w:u w:val="single"/>
          <w:lang w:val="en-US" w:eastAsia="zh-CN"/>
        </w:rPr>
      </w:pPr>
      <w:r>
        <w:rPr>
          <w:sz w:val="32"/>
          <w:szCs w:val="36"/>
        </w:rPr>
        <w:t>项目名称：</w:t>
      </w:r>
      <w:r>
        <w:rPr>
          <w:rFonts w:hint="eastAsia"/>
          <w:sz w:val="32"/>
          <w:szCs w:val="36"/>
          <w:u w:val="single"/>
          <w:lang w:val="en-US" w:eastAsia="zh-CN"/>
        </w:rPr>
        <w:t xml:space="preserve">       </w:t>
      </w:r>
      <w:r>
        <w:rPr>
          <w:rFonts w:hint="eastAsia"/>
          <w:sz w:val="32"/>
          <w:szCs w:val="36"/>
          <w:u w:val="single"/>
          <w:lang w:eastAsia="zh-CN"/>
        </w:rPr>
        <w:t>年产</w:t>
      </w:r>
      <w:r>
        <w:rPr>
          <w:rFonts w:hint="eastAsia"/>
          <w:sz w:val="32"/>
          <w:szCs w:val="36"/>
          <w:u w:val="single"/>
          <w:lang w:val="en-US" w:eastAsia="zh-CN"/>
        </w:rPr>
        <w:t xml:space="preserve">5000吨超级多孔碳项目     </w:t>
      </w:r>
    </w:p>
    <w:p w14:paraId="348AE58B">
      <w:pPr>
        <w:tabs>
          <w:tab w:val="left" w:pos="7740"/>
          <w:tab w:val="left" w:pos="7920"/>
          <w:tab w:val="left" w:pos="8100"/>
          <w:tab w:val="left" w:pos="8280"/>
          <w:tab w:val="left" w:pos="8460"/>
          <w:tab w:val="left" w:pos="8640"/>
          <w:tab w:val="left" w:pos="8820"/>
        </w:tabs>
        <w:ind w:firstLine="1280" w:firstLineChars="400"/>
        <w:jc w:val="both"/>
        <w:rPr>
          <w:rFonts w:hint="default"/>
          <w:sz w:val="32"/>
          <w:szCs w:val="36"/>
          <w:u w:val="single"/>
          <w:lang w:val="en-US"/>
        </w:rPr>
      </w:pPr>
      <w:r>
        <w:rPr>
          <w:sz w:val="32"/>
          <w:szCs w:val="36"/>
        </w:rPr>
        <w:t>建设单位（盖章）：</w:t>
      </w:r>
      <w:r>
        <w:rPr>
          <w:rFonts w:hint="eastAsia"/>
          <w:sz w:val="32"/>
          <w:szCs w:val="36"/>
          <w:u w:val="single"/>
          <w:lang w:eastAsia="zh-CN"/>
        </w:rPr>
        <w:t>蚌埠吉孚力新材料科技</w:t>
      </w:r>
      <w:r>
        <w:rPr>
          <w:rFonts w:hint="eastAsia"/>
          <w:sz w:val="32"/>
          <w:szCs w:val="36"/>
          <w:u w:val="single"/>
          <w:lang w:val="en-US" w:eastAsia="zh-CN"/>
        </w:rPr>
        <w:t xml:space="preserve">有限公司 </w:t>
      </w:r>
    </w:p>
    <w:p w14:paraId="4C072F82">
      <w:pPr>
        <w:ind w:firstLine="1280" w:firstLineChars="400"/>
        <w:jc w:val="both"/>
        <w:rPr>
          <w:rFonts w:hint="default" w:eastAsia="宋体"/>
          <w:sz w:val="36"/>
          <w:szCs w:val="36"/>
          <w:u w:val="single"/>
          <w:lang w:val="en-US" w:eastAsia="zh-CN"/>
        </w:rPr>
      </w:pPr>
      <w:r>
        <w:rPr>
          <w:rFonts w:hint="eastAsia"/>
          <w:sz w:val="32"/>
          <w:szCs w:val="36"/>
        </w:rPr>
        <w:t>编制日期：</w:t>
      </w:r>
      <w:r>
        <w:rPr>
          <w:rFonts w:hint="eastAsia"/>
          <w:sz w:val="32"/>
          <w:szCs w:val="36"/>
          <w:u w:val="single"/>
        </w:rPr>
        <w:t xml:space="preserve"> </w:t>
      </w:r>
      <w:r>
        <w:rPr>
          <w:sz w:val="32"/>
          <w:szCs w:val="36"/>
          <w:u w:val="single"/>
        </w:rPr>
        <w:t xml:space="preserve">          </w:t>
      </w:r>
      <w:r>
        <w:rPr>
          <w:rFonts w:hint="eastAsia"/>
          <w:sz w:val="32"/>
          <w:szCs w:val="36"/>
          <w:u w:val="single"/>
        </w:rPr>
        <w:t xml:space="preserve"> </w:t>
      </w:r>
      <w:r>
        <w:rPr>
          <w:rFonts w:hint="eastAsia"/>
          <w:sz w:val="32"/>
          <w:szCs w:val="36"/>
          <w:u w:val="single"/>
          <w:lang w:val="en-US" w:eastAsia="zh-CN"/>
        </w:rPr>
        <w:t xml:space="preserve"> </w:t>
      </w:r>
      <w:r>
        <w:rPr>
          <w:bCs/>
          <w:snapToGrid w:val="0"/>
          <w:kern w:val="0"/>
          <w:sz w:val="32"/>
          <w:u w:val="single"/>
        </w:rPr>
        <w:t>20</w:t>
      </w:r>
      <w:r>
        <w:rPr>
          <w:rFonts w:hint="eastAsia"/>
          <w:bCs/>
          <w:snapToGrid w:val="0"/>
          <w:kern w:val="0"/>
          <w:sz w:val="32"/>
          <w:u w:val="single"/>
          <w:lang w:val="en-US" w:eastAsia="zh-CN"/>
        </w:rPr>
        <w:t>24</w:t>
      </w:r>
      <w:r>
        <w:rPr>
          <w:bCs/>
          <w:snapToGrid w:val="0"/>
          <w:kern w:val="0"/>
          <w:sz w:val="32"/>
          <w:u w:val="single"/>
        </w:rPr>
        <w:t>年</w:t>
      </w:r>
      <w:r>
        <w:rPr>
          <w:rFonts w:hint="eastAsia"/>
          <w:bCs/>
          <w:snapToGrid w:val="0"/>
          <w:kern w:val="0"/>
          <w:sz w:val="32"/>
          <w:u w:val="single"/>
          <w:lang w:val="en-US" w:eastAsia="zh-CN"/>
        </w:rPr>
        <w:t>11</w:t>
      </w:r>
      <w:r>
        <w:rPr>
          <w:bCs/>
          <w:snapToGrid w:val="0"/>
          <w:kern w:val="0"/>
          <w:sz w:val="32"/>
          <w:u w:val="single"/>
        </w:rPr>
        <w:t>月</w:t>
      </w:r>
      <w:r>
        <w:rPr>
          <w:rFonts w:hint="eastAsia"/>
          <w:bCs/>
          <w:snapToGrid w:val="0"/>
          <w:kern w:val="0"/>
          <w:sz w:val="32"/>
          <w:u w:val="single"/>
          <w:lang w:val="en-US" w:eastAsia="zh-CN"/>
        </w:rPr>
        <w:t xml:space="preserve">             </w:t>
      </w:r>
    </w:p>
    <w:p w14:paraId="79E57696">
      <w:pPr>
        <w:rPr>
          <w:sz w:val="36"/>
          <w:szCs w:val="36"/>
        </w:rPr>
      </w:pPr>
    </w:p>
    <w:p w14:paraId="5341FAE0">
      <w:pPr>
        <w:rPr>
          <w:sz w:val="36"/>
          <w:szCs w:val="36"/>
        </w:rPr>
      </w:pPr>
    </w:p>
    <w:p w14:paraId="02A3AE13">
      <w:pPr>
        <w:rPr>
          <w:sz w:val="36"/>
          <w:szCs w:val="36"/>
        </w:rPr>
      </w:pPr>
    </w:p>
    <w:p w14:paraId="6C72746C">
      <w:pPr>
        <w:rPr>
          <w:sz w:val="36"/>
          <w:szCs w:val="36"/>
        </w:rPr>
      </w:pPr>
    </w:p>
    <w:p w14:paraId="444C71FB">
      <w:pPr>
        <w:rPr>
          <w:sz w:val="36"/>
          <w:szCs w:val="36"/>
        </w:rPr>
      </w:pPr>
    </w:p>
    <w:p w14:paraId="5679AB5F">
      <w:pPr>
        <w:rPr>
          <w:sz w:val="36"/>
          <w:szCs w:val="36"/>
        </w:rPr>
      </w:pPr>
    </w:p>
    <w:p w14:paraId="7FFB3B6D">
      <w:pPr>
        <w:jc w:val="center"/>
        <w:rPr>
          <w:b/>
          <w:sz w:val="32"/>
          <w:szCs w:val="32"/>
        </w:rPr>
      </w:pPr>
      <w:r>
        <w:rPr>
          <w:b/>
          <w:sz w:val="32"/>
          <w:szCs w:val="32"/>
        </w:rPr>
        <w:t>中华人民共和国生态环境部制</w:t>
      </w:r>
    </w:p>
    <w:p w14:paraId="02F35C51">
      <w:pPr>
        <w:pStyle w:val="23"/>
        <w:adjustRightInd w:val="0"/>
        <w:snapToGrid w:val="0"/>
        <w:spacing w:before="0" w:beforeAutospacing="0" w:after="0" w:afterAutospacing="0"/>
        <w:jc w:val="center"/>
        <w:rPr>
          <w:rFonts w:ascii="方正小标宋_GBK" w:hAnsi="黑体" w:eastAsia="方正小标宋_GBK"/>
          <w:bCs/>
          <w:snapToGrid w:val="0"/>
          <w:color w:val="000000"/>
          <w:kern w:val="2"/>
          <w:sz w:val="38"/>
          <w:szCs w:val="38"/>
        </w:rPr>
      </w:pPr>
    </w:p>
    <w:p w14:paraId="172D52FF">
      <w:pPr>
        <w:adjustRightInd w:val="0"/>
        <w:snapToGrid w:val="0"/>
        <w:spacing w:line="355" w:lineRule="auto"/>
        <w:ind w:firstLine="420" w:firstLineChars="200"/>
        <w:rPr>
          <w:rFonts w:ascii="仿宋_GB2312"/>
          <w:szCs w:val="30"/>
        </w:rPr>
      </w:pPr>
    </w:p>
    <w:p w14:paraId="40AD289D">
      <w:pPr>
        <w:pStyle w:val="15"/>
        <w:tabs>
          <w:tab w:val="right" w:leader="dot" w:pos="9345"/>
        </w:tabs>
        <w:jc w:val="center"/>
        <w:rPr>
          <w:rFonts w:hint="eastAsia" w:asciiTheme="majorEastAsia" w:hAnsiTheme="majorEastAsia" w:eastAsiaTheme="majorEastAsia"/>
          <w:b/>
          <w:sz w:val="44"/>
          <w:szCs w:val="44"/>
        </w:rPr>
        <w:sectPr>
          <w:footerReference r:id="rId3" w:type="default"/>
          <w:pgSz w:w="11906" w:h="16838"/>
          <w:pgMar w:top="1440" w:right="1134" w:bottom="1135"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45147FF">
      <w:pPr>
        <w:pStyle w:val="10"/>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91AAF5F">
      <w:pPr>
        <w:pStyle w:val="24"/>
        <w:rPr>
          <w:sz w:val="28"/>
          <w:szCs w:val="20"/>
        </w:rPr>
      </w:pPr>
      <w:bookmarkStart w:id="0" w:name="_Toc27601"/>
      <w:r>
        <w:t>一、建设项目基本情况</w:t>
      </w:r>
      <w:bookmarkEnd w:id="0"/>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161"/>
        <w:gridCol w:w="2024"/>
        <w:gridCol w:w="3592"/>
      </w:tblGrid>
      <w:tr w14:paraId="1B7D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73626F8D">
            <w:pPr>
              <w:ind w:left="-14"/>
              <w:jc w:val="center"/>
              <w:rPr>
                <w:sz w:val="24"/>
                <w:szCs w:val="24"/>
              </w:rPr>
            </w:pPr>
            <w:r>
              <w:rPr>
                <w:sz w:val="24"/>
                <w:szCs w:val="24"/>
              </w:rPr>
              <w:t>项目名称</w:t>
            </w:r>
          </w:p>
        </w:tc>
        <w:tc>
          <w:tcPr>
            <w:tcW w:w="7777" w:type="dxa"/>
            <w:gridSpan w:val="3"/>
            <w:vAlign w:val="center"/>
          </w:tcPr>
          <w:p w14:paraId="25D2DEE6">
            <w:pPr>
              <w:pStyle w:val="39"/>
              <w:rPr>
                <w:rFonts w:ascii="Times New Roman" w:hAnsi="Times New Roman"/>
                <w:sz w:val="24"/>
                <w:szCs w:val="24"/>
              </w:rPr>
            </w:pPr>
            <w:r>
              <w:rPr>
                <w:rFonts w:hint="eastAsia" w:ascii="Times New Roman" w:hAnsi="Times New Roman"/>
                <w:sz w:val="24"/>
                <w:szCs w:val="24"/>
                <w:lang w:val="en-US" w:eastAsia="zh-CN"/>
              </w:rPr>
              <w:t>年产5000吨超级多孔碳项目</w:t>
            </w:r>
          </w:p>
        </w:tc>
      </w:tr>
      <w:tr w14:paraId="29FA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691" w:type="dxa"/>
            <w:vAlign w:val="center"/>
          </w:tcPr>
          <w:p w14:paraId="317E79DA">
            <w:pPr>
              <w:ind w:left="-14"/>
              <w:jc w:val="center"/>
              <w:rPr>
                <w:sz w:val="24"/>
                <w:szCs w:val="24"/>
              </w:rPr>
            </w:pPr>
            <w:r>
              <w:rPr>
                <w:rFonts w:hint="eastAsia"/>
                <w:sz w:val="24"/>
                <w:szCs w:val="24"/>
              </w:rPr>
              <w:t>项目代码</w:t>
            </w:r>
          </w:p>
        </w:tc>
        <w:tc>
          <w:tcPr>
            <w:tcW w:w="7777" w:type="dxa"/>
            <w:gridSpan w:val="3"/>
            <w:vAlign w:val="center"/>
          </w:tcPr>
          <w:p w14:paraId="102062E9">
            <w:pPr>
              <w:pStyle w:val="3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w:t>
            </w:r>
            <w:r>
              <w:rPr>
                <w:rFonts w:hint="eastAsia" w:ascii="Times New Roman" w:hAnsi="Times New Roman" w:cs="Times New Roman"/>
                <w:color w:val="auto"/>
                <w:sz w:val="24"/>
                <w:szCs w:val="24"/>
                <w:lang w:val="en-US" w:eastAsia="zh-CN"/>
              </w:rPr>
              <w:t>402</w:t>
            </w:r>
            <w:r>
              <w:rPr>
                <w:rFonts w:hint="default" w:ascii="Times New Roman" w:hAnsi="Times New Roman" w:eastAsia="宋体" w:cs="Times New Roman"/>
                <w:color w:val="auto"/>
                <w:sz w:val="24"/>
                <w:szCs w:val="24"/>
              </w:rPr>
              <w:t>-3403</w:t>
            </w:r>
            <w:r>
              <w:rPr>
                <w:rFonts w:hint="eastAsia"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rPr>
              <w:t>-04-0</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319264</w:t>
            </w:r>
          </w:p>
        </w:tc>
      </w:tr>
      <w:tr w14:paraId="27B8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408A94C9">
            <w:pPr>
              <w:ind w:left="-14"/>
              <w:jc w:val="center"/>
              <w:rPr>
                <w:color w:val="auto"/>
                <w:sz w:val="24"/>
                <w:szCs w:val="24"/>
              </w:rPr>
            </w:pPr>
            <w:r>
              <w:rPr>
                <w:rFonts w:hint="eastAsia"/>
                <w:color w:val="auto"/>
                <w:sz w:val="24"/>
                <w:szCs w:val="24"/>
              </w:rPr>
              <w:t>建设单位联系人</w:t>
            </w:r>
          </w:p>
        </w:tc>
        <w:tc>
          <w:tcPr>
            <w:tcW w:w="2161" w:type="dxa"/>
            <w:vAlign w:val="center"/>
          </w:tcPr>
          <w:p w14:paraId="50AF68ED">
            <w:pPr>
              <w:pStyle w:val="39"/>
              <w:spacing w:before="0" w:after="0"/>
              <w:rPr>
                <w:rFonts w:hint="eastAsia"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沈旭东</w:t>
            </w:r>
          </w:p>
        </w:tc>
        <w:tc>
          <w:tcPr>
            <w:tcW w:w="2024" w:type="dxa"/>
            <w:vAlign w:val="center"/>
          </w:tcPr>
          <w:p w14:paraId="5847202E">
            <w:pPr>
              <w:ind w:left="-14" w:leftChars="0"/>
              <w:jc w:val="center"/>
              <w:rPr>
                <w:color w:val="auto"/>
                <w:kern w:val="0"/>
                <w:sz w:val="24"/>
                <w:szCs w:val="24"/>
              </w:rPr>
            </w:pPr>
            <w:r>
              <w:rPr>
                <w:rFonts w:hint="eastAsia"/>
                <w:color w:val="auto"/>
                <w:kern w:val="0"/>
                <w:sz w:val="24"/>
                <w:szCs w:val="24"/>
              </w:rPr>
              <w:t>联系方式</w:t>
            </w:r>
          </w:p>
        </w:tc>
        <w:tc>
          <w:tcPr>
            <w:tcW w:w="3592" w:type="dxa"/>
            <w:vAlign w:val="center"/>
          </w:tcPr>
          <w:p w14:paraId="0A6308CD">
            <w:pPr>
              <w:pStyle w:val="39"/>
              <w:spacing w:before="0" w:after="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5261128623</w:t>
            </w:r>
          </w:p>
        </w:tc>
      </w:tr>
      <w:tr w14:paraId="389D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0825AC35">
            <w:pPr>
              <w:ind w:left="-14"/>
              <w:jc w:val="center"/>
              <w:rPr>
                <w:sz w:val="24"/>
                <w:szCs w:val="24"/>
              </w:rPr>
            </w:pPr>
            <w:r>
              <w:rPr>
                <w:rFonts w:hint="eastAsia"/>
                <w:sz w:val="24"/>
                <w:szCs w:val="24"/>
              </w:rPr>
              <w:t>建设地点</w:t>
            </w:r>
          </w:p>
        </w:tc>
        <w:tc>
          <w:tcPr>
            <w:tcW w:w="7777" w:type="dxa"/>
            <w:gridSpan w:val="3"/>
            <w:vAlign w:val="center"/>
          </w:tcPr>
          <w:p w14:paraId="1BA5255D">
            <w:pPr>
              <w:widowControl/>
              <w:jc w:val="center"/>
              <w:rPr>
                <w:rFonts w:hint="default" w:eastAsia="宋体"/>
                <w:color w:val="auto"/>
                <w:sz w:val="24"/>
                <w:szCs w:val="24"/>
                <w:lang w:val="en-US" w:eastAsia="zh-CN"/>
              </w:rPr>
            </w:pPr>
            <w:r>
              <w:rPr>
                <w:rFonts w:hint="eastAsia"/>
                <w:color w:val="auto"/>
                <w:sz w:val="24"/>
                <w:szCs w:val="24"/>
                <w:lang w:val="en-US" w:eastAsia="zh-CN"/>
              </w:rPr>
              <w:t>安徽省蚌埠市固镇经济开发区门东路南侧、经二路西侧</w:t>
            </w:r>
          </w:p>
        </w:tc>
      </w:tr>
      <w:tr w14:paraId="1EA0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6CA765D7">
            <w:pPr>
              <w:ind w:left="-14"/>
              <w:jc w:val="center"/>
              <w:rPr>
                <w:color w:val="auto"/>
                <w:sz w:val="24"/>
                <w:szCs w:val="24"/>
              </w:rPr>
            </w:pPr>
            <w:r>
              <w:rPr>
                <w:color w:val="auto"/>
                <w:sz w:val="24"/>
                <w:szCs w:val="24"/>
              </w:rPr>
              <w:t>地理坐标</w:t>
            </w:r>
          </w:p>
        </w:tc>
        <w:tc>
          <w:tcPr>
            <w:tcW w:w="7777" w:type="dxa"/>
            <w:gridSpan w:val="3"/>
            <w:vAlign w:val="center"/>
          </w:tcPr>
          <w:p w14:paraId="43F4CD53">
            <w:pPr>
              <w:pStyle w:val="39"/>
              <w:rPr>
                <w:rFonts w:hint="eastAsia" w:ascii="Times New Roman" w:hAnsi="Times New Roman" w:eastAsia="宋体"/>
                <w:color w:val="auto"/>
                <w:kern w:val="2"/>
                <w:sz w:val="24"/>
                <w:szCs w:val="24"/>
                <w:lang w:val="en-US" w:eastAsia="zh-CN"/>
              </w:rPr>
            </w:pPr>
            <w:r>
              <w:rPr>
                <w:rFonts w:ascii="Times New Roman" w:hAnsi="Times New Roman"/>
                <w:color w:val="auto"/>
                <w:kern w:val="2"/>
                <w:sz w:val="24"/>
                <w:szCs w:val="24"/>
              </w:rPr>
              <w:t>经度</w:t>
            </w:r>
            <w:r>
              <w:rPr>
                <w:rFonts w:ascii="Times New Roman" w:hAnsi="Times New Roman"/>
                <w:color w:val="auto"/>
              </w:rPr>
              <w:t>117</w:t>
            </w:r>
            <w:r>
              <w:rPr>
                <w:rFonts w:hint="eastAsia" w:ascii="Times New Roman" w:hAnsi="Times New Roman"/>
                <w:color w:val="auto"/>
                <w:lang w:eastAsia="zh-CN"/>
              </w:rPr>
              <w:t>度</w:t>
            </w:r>
            <w:r>
              <w:rPr>
                <w:rFonts w:hint="eastAsia" w:ascii="Times New Roman" w:hAnsi="Times New Roman"/>
                <w:color w:val="auto"/>
                <w:lang w:val="en-US" w:eastAsia="zh-CN"/>
              </w:rPr>
              <w:t>20</w:t>
            </w:r>
            <w:r>
              <w:rPr>
                <w:rFonts w:hint="eastAsia" w:ascii="Times New Roman" w:hAnsi="Times New Roman"/>
                <w:color w:val="auto"/>
                <w:lang w:eastAsia="zh-CN"/>
              </w:rPr>
              <w:t>分</w:t>
            </w:r>
            <w:r>
              <w:rPr>
                <w:rFonts w:hint="eastAsia" w:ascii="Times New Roman" w:hAnsi="Times New Roman"/>
                <w:color w:val="auto"/>
                <w:lang w:val="en-US" w:eastAsia="zh-CN"/>
              </w:rPr>
              <w:t>36.564</w:t>
            </w:r>
            <w:r>
              <w:rPr>
                <w:rFonts w:hint="eastAsia" w:ascii="Times New Roman" w:hAnsi="Times New Roman"/>
                <w:color w:val="auto"/>
                <w:lang w:eastAsia="zh-CN"/>
              </w:rPr>
              <w:t>秒</w:t>
            </w:r>
            <w:r>
              <w:rPr>
                <w:color w:val="auto"/>
                <w:sz w:val="24"/>
                <w:szCs w:val="24"/>
              </w:rPr>
              <w:t>，</w:t>
            </w:r>
            <w:r>
              <w:rPr>
                <w:rFonts w:hint="eastAsia"/>
                <w:color w:val="auto"/>
                <w:sz w:val="24"/>
                <w:szCs w:val="24"/>
                <w:lang w:eastAsia="zh-CN"/>
              </w:rPr>
              <w:t>纬度</w:t>
            </w:r>
            <w:r>
              <w:rPr>
                <w:rFonts w:ascii="Times New Roman" w:hAnsi="Times New Roman"/>
                <w:color w:val="auto"/>
              </w:rPr>
              <w:t>3</w:t>
            </w:r>
            <w:r>
              <w:rPr>
                <w:rFonts w:hint="eastAsia" w:ascii="Times New Roman" w:hAnsi="Times New Roman"/>
                <w:color w:val="auto"/>
                <w:lang w:val="en-US" w:eastAsia="zh-CN"/>
              </w:rPr>
              <w:t>3</w:t>
            </w:r>
            <w:r>
              <w:rPr>
                <w:rFonts w:hint="eastAsia" w:ascii="Times New Roman" w:hAnsi="Times New Roman"/>
                <w:color w:val="auto"/>
                <w:lang w:eastAsia="zh-CN"/>
              </w:rPr>
              <w:t>度</w:t>
            </w:r>
            <w:r>
              <w:rPr>
                <w:rFonts w:hint="eastAsia" w:ascii="Times New Roman" w:hAnsi="Times New Roman"/>
                <w:color w:val="auto"/>
                <w:lang w:val="en-US" w:eastAsia="zh-CN"/>
              </w:rPr>
              <w:t>16</w:t>
            </w:r>
            <w:r>
              <w:rPr>
                <w:rFonts w:hint="eastAsia" w:ascii="Times New Roman" w:hAnsi="Times New Roman"/>
                <w:color w:val="auto"/>
                <w:lang w:eastAsia="zh-CN"/>
              </w:rPr>
              <w:t>分</w:t>
            </w:r>
            <w:r>
              <w:rPr>
                <w:rFonts w:hint="eastAsia" w:ascii="Times New Roman" w:hAnsi="Times New Roman"/>
                <w:color w:val="auto"/>
                <w:lang w:val="en-US" w:eastAsia="zh-CN"/>
              </w:rPr>
              <w:t>10.577</w:t>
            </w:r>
            <w:r>
              <w:rPr>
                <w:rFonts w:hint="eastAsia" w:ascii="Times New Roman" w:hAnsi="Times New Roman"/>
                <w:color w:val="auto"/>
                <w:lang w:eastAsia="zh-CN"/>
              </w:rPr>
              <w:t>秒</w:t>
            </w:r>
          </w:p>
        </w:tc>
      </w:tr>
      <w:tr w14:paraId="4773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7A67D4BB">
            <w:pPr>
              <w:adjustRightInd w:val="0"/>
              <w:snapToGrid w:val="0"/>
              <w:jc w:val="center"/>
              <w:rPr>
                <w:color w:val="auto"/>
                <w:sz w:val="24"/>
                <w:szCs w:val="24"/>
              </w:rPr>
            </w:pPr>
            <w:r>
              <w:rPr>
                <w:color w:val="auto"/>
                <w:sz w:val="24"/>
                <w:szCs w:val="24"/>
              </w:rPr>
              <w:t>国民经济</w:t>
            </w:r>
          </w:p>
          <w:p w14:paraId="2D157EA3">
            <w:pPr>
              <w:jc w:val="center"/>
              <w:rPr>
                <w:color w:val="auto"/>
                <w:sz w:val="24"/>
                <w:szCs w:val="24"/>
              </w:rPr>
            </w:pPr>
            <w:r>
              <w:rPr>
                <w:color w:val="auto"/>
                <w:sz w:val="24"/>
                <w:szCs w:val="24"/>
              </w:rPr>
              <w:t>行业类别</w:t>
            </w:r>
          </w:p>
        </w:tc>
        <w:tc>
          <w:tcPr>
            <w:tcW w:w="2161" w:type="dxa"/>
            <w:vAlign w:val="center"/>
          </w:tcPr>
          <w:p w14:paraId="3FA482EA">
            <w:pPr>
              <w:pStyle w:val="33"/>
              <w:widowControl/>
              <w:autoSpaceDE/>
              <w:autoSpaceDN/>
              <w:snapToGrid/>
              <w:spacing w:before="0" w:line="24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C</w:t>
            </w:r>
            <w:r>
              <w:rPr>
                <w:rFonts w:hint="eastAsia" w:ascii="Times New Roman" w:eastAsia="宋体" w:cs="Times New Roman"/>
                <w:color w:val="auto"/>
                <w:sz w:val="24"/>
                <w:lang w:val="en-US" w:eastAsia="zh-CN"/>
              </w:rPr>
              <w:t>3985电子专用材料制造</w:t>
            </w:r>
          </w:p>
        </w:tc>
        <w:tc>
          <w:tcPr>
            <w:tcW w:w="2024" w:type="dxa"/>
            <w:vAlign w:val="center"/>
          </w:tcPr>
          <w:p w14:paraId="0DC4465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21F222AE">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592" w:type="dxa"/>
            <w:vAlign w:val="center"/>
          </w:tcPr>
          <w:p w14:paraId="1CF7E278">
            <w:pPr>
              <w:pStyle w:val="33"/>
              <w:widowControl/>
              <w:autoSpaceDE/>
              <w:autoSpaceDN/>
              <w:snapToGrid/>
              <w:spacing w:before="0" w:line="240" w:lineRule="auto"/>
              <w:jc w:val="both"/>
              <w:rPr>
                <w:rFonts w:hint="default" w:ascii="Times New Roman" w:hAnsi="Times New Roman" w:eastAsia="宋体" w:cs="Times New Roman"/>
                <w:color w:val="auto"/>
                <w:sz w:val="24"/>
                <w:szCs w:val="24"/>
                <w:lang w:val="en-US" w:eastAsia="zh-CN"/>
              </w:rPr>
            </w:pPr>
            <w:r>
              <w:rPr>
                <w:rFonts w:hint="eastAsia" w:ascii="Times New Roman" w:eastAsia="宋体" w:cs="Times New Roman"/>
                <w:color w:val="auto"/>
                <w:sz w:val="24"/>
                <w:lang w:val="en-US" w:eastAsia="zh-CN"/>
              </w:rPr>
              <w:t>三十六、计算机、通信和其他电子设备制造业39</w:t>
            </w:r>
            <w:r>
              <w:rPr>
                <w:rFonts w:hint="default" w:ascii="Times New Roman" w:hAnsi="Times New Roman" w:eastAsia="宋体" w:cs="Times New Roman"/>
                <w:color w:val="auto"/>
                <w:sz w:val="24"/>
                <w:lang w:val="en-US" w:eastAsia="zh-CN"/>
              </w:rPr>
              <w:t>；</w:t>
            </w:r>
            <w:r>
              <w:rPr>
                <w:rFonts w:hint="eastAsia" w:ascii="Times New Roman" w:eastAsia="宋体" w:cs="Times New Roman"/>
                <w:color w:val="auto"/>
                <w:sz w:val="24"/>
                <w:lang w:val="en-US" w:eastAsia="zh-CN"/>
              </w:rPr>
              <w:t>81电子元件及电子专用材料制造398</w:t>
            </w:r>
            <w:r>
              <w:rPr>
                <w:rFonts w:hint="default" w:ascii="Times New Roman" w:hAnsi="Times New Roman" w:eastAsia="宋体" w:cs="Times New Roman"/>
                <w:color w:val="auto"/>
                <w:sz w:val="24"/>
                <w:lang w:val="en-US" w:eastAsia="zh-CN"/>
              </w:rPr>
              <w:t>；</w:t>
            </w:r>
            <w:r>
              <w:rPr>
                <w:rFonts w:hint="eastAsia" w:ascii="Times New Roman" w:eastAsia="宋体" w:cs="Times New Roman"/>
                <w:color w:val="auto"/>
                <w:sz w:val="24"/>
                <w:lang w:val="en-US" w:eastAsia="zh-CN"/>
              </w:rPr>
              <w:t>电子专用材料制造（电子化工材料制造除外）；有酸洗的 以上均不含仅分割、焊接、组装的</w:t>
            </w:r>
          </w:p>
        </w:tc>
      </w:tr>
      <w:tr w14:paraId="16B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537AF6C6">
            <w:pPr>
              <w:jc w:val="center"/>
              <w:rPr>
                <w:sz w:val="24"/>
                <w:szCs w:val="24"/>
              </w:rPr>
            </w:pPr>
            <w:r>
              <w:rPr>
                <w:sz w:val="24"/>
                <w:szCs w:val="24"/>
              </w:rPr>
              <w:t>建设性质</w:t>
            </w:r>
          </w:p>
        </w:tc>
        <w:tc>
          <w:tcPr>
            <w:tcW w:w="2161" w:type="dxa"/>
            <w:vAlign w:val="center"/>
          </w:tcPr>
          <w:p w14:paraId="413D939C">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☑新建（迁建）</w:t>
            </w:r>
          </w:p>
          <w:p w14:paraId="4986BA13">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□改建</w:t>
            </w:r>
          </w:p>
          <w:p w14:paraId="2C7F9C75">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□扩建</w:t>
            </w:r>
          </w:p>
          <w:p w14:paraId="54F55FC4">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□技术改造</w:t>
            </w:r>
          </w:p>
        </w:tc>
        <w:tc>
          <w:tcPr>
            <w:tcW w:w="2024" w:type="dxa"/>
            <w:vAlign w:val="center"/>
          </w:tcPr>
          <w:p w14:paraId="57FF918D">
            <w:pPr>
              <w:adjustRightInd w:val="0"/>
              <w:snapToGrid w:val="0"/>
              <w:jc w:val="center"/>
              <w:rPr>
                <w:rFonts w:ascii="宋体" w:hAnsi="宋体" w:cs="宋体"/>
                <w:sz w:val="24"/>
                <w:szCs w:val="24"/>
              </w:rPr>
            </w:pPr>
            <w:r>
              <w:rPr>
                <w:rFonts w:hint="eastAsia" w:ascii="宋体" w:hAnsi="宋体" w:cs="宋体"/>
                <w:sz w:val="24"/>
                <w:szCs w:val="24"/>
              </w:rPr>
              <w:t>建设项目</w:t>
            </w:r>
          </w:p>
          <w:p w14:paraId="33BD0A28">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3592" w:type="dxa"/>
            <w:vAlign w:val="center"/>
          </w:tcPr>
          <w:p w14:paraId="05BD3056">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☑首次申报项目</w:t>
            </w:r>
          </w:p>
          <w:p w14:paraId="4BA0A5A8">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□不予批准后再次申报项目</w:t>
            </w:r>
          </w:p>
          <w:p w14:paraId="3DD2A692">
            <w:pPr>
              <w:pStyle w:val="39"/>
              <w:spacing w:before="0" w:beforeAutospacing="0" w:after="0" w:afterAutospacing="0"/>
              <w:jc w:val="left"/>
              <w:rPr>
                <w:rFonts w:ascii="Times New Roman" w:hAnsi="Times New Roman"/>
                <w:kern w:val="2"/>
                <w:sz w:val="24"/>
                <w:szCs w:val="24"/>
              </w:rPr>
            </w:pPr>
            <w:r>
              <w:rPr>
                <w:rFonts w:hint="eastAsia" w:ascii="Times New Roman" w:hAnsi="Times New Roman"/>
                <w:kern w:val="2"/>
                <w:sz w:val="24"/>
                <w:szCs w:val="24"/>
              </w:rPr>
              <w:t>□超五年重新审核项目</w:t>
            </w:r>
          </w:p>
          <w:p w14:paraId="19513E30">
            <w:pPr>
              <w:pStyle w:val="39"/>
              <w:spacing w:before="0" w:beforeAutospacing="0" w:after="0" w:afterAutospacing="0"/>
              <w:jc w:val="left"/>
              <w:rPr>
                <w:rFonts w:cs="宋体"/>
                <w:sz w:val="24"/>
                <w:szCs w:val="24"/>
              </w:rPr>
            </w:pPr>
            <w:r>
              <w:rPr>
                <w:rFonts w:hint="eastAsia" w:ascii="Times New Roman" w:hAnsi="Times New Roman"/>
                <w:kern w:val="2"/>
                <w:sz w:val="24"/>
                <w:szCs w:val="24"/>
              </w:rPr>
              <w:t>□重大变动重新报批项目</w:t>
            </w:r>
          </w:p>
        </w:tc>
      </w:tr>
      <w:tr w14:paraId="2C40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91" w:type="dxa"/>
            <w:vAlign w:val="center"/>
          </w:tcPr>
          <w:p w14:paraId="441E0D9B">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项目审批（核准</w:t>
            </w:r>
            <w:r>
              <w:rPr>
                <w:rFonts w:ascii="Times New Roman" w:hAnsi="Times New Roman"/>
                <w:color w:val="auto"/>
                <w:kern w:val="2"/>
                <w:sz w:val="24"/>
                <w:szCs w:val="24"/>
              </w:rPr>
              <w:t>/</w:t>
            </w:r>
            <w:r>
              <w:rPr>
                <w:rFonts w:hint="eastAsia" w:ascii="Times New Roman" w:hAnsi="Times New Roman"/>
                <w:color w:val="auto"/>
                <w:kern w:val="2"/>
                <w:sz w:val="24"/>
                <w:szCs w:val="24"/>
              </w:rPr>
              <w:t>备案）部门</w:t>
            </w:r>
          </w:p>
        </w:tc>
        <w:tc>
          <w:tcPr>
            <w:tcW w:w="2161" w:type="dxa"/>
            <w:vAlign w:val="center"/>
          </w:tcPr>
          <w:p w14:paraId="0C290A46">
            <w:pPr>
              <w:pStyle w:val="39"/>
              <w:spacing w:before="0" w:beforeAutospacing="0" w:after="0" w:afterAutospacing="0"/>
              <w:rPr>
                <w:rFonts w:hint="eastAsia" w:ascii="Times New Roman" w:hAnsi="Times New Roman" w:eastAsia="宋体"/>
                <w:color w:val="auto"/>
                <w:kern w:val="2"/>
                <w:sz w:val="24"/>
                <w:szCs w:val="24"/>
                <w:lang w:eastAsia="zh-CN"/>
              </w:rPr>
            </w:pPr>
            <w:r>
              <w:rPr>
                <w:rFonts w:hint="eastAsia" w:ascii="Times New Roman" w:hAnsi="Times New Roman"/>
                <w:color w:val="auto"/>
                <w:kern w:val="2"/>
                <w:sz w:val="24"/>
                <w:szCs w:val="24"/>
                <w:lang w:eastAsia="zh-CN"/>
              </w:rPr>
              <w:t>蚌埠市固镇县发展和改革委员会</w:t>
            </w:r>
          </w:p>
        </w:tc>
        <w:tc>
          <w:tcPr>
            <w:tcW w:w="2024" w:type="dxa"/>
            <w:vAlign w:val="center"/>
          </w:tcPr>
          <w:p w14:paraId="50A33675">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项目审批（核准</w:t>
            </w:r>
            <w:r>
              <w:rPr>
                <w:rFonts w:ascii="Times New Roman" w:hAnsi="Times New Roman"/>
                <w:color w:val="auto"/>
                <w:kern w:val="2"/>
                <w:sz w:val="24"/>
                <w:szCs w:val="24"/>
              </w:rPr>
              <w:t>/</w:t>
            </w:r>
            <w:r>
              <w:rPr>
                <w:rFonts w:hint="eastAsia" w:ascii="Times New Roman" w:hAnsi="Times New Roman"/>
                <w:color w:val="auto"/>
                <w:kern w:val="2"/>
                <w:sz w:val="24"/>
                <w:szCs w:val="24"/>
              </w:rPr>
              <w:t>备案）文号</w:t>
            </w:r>
          </w:p>
        </w:tc>
        <w:tc>
          <w:tcPr>
            <w:tcW w:w="3592" w:type="dxa"/>
            <w:vAlign w:val="center"/>
          </w:tcPr>
          <w:p w14:paraId="135ED2A3">
            <w:pPr>
              <w:pStyle w:val="39"/>
              <w:spacing w:before="0" w:beforeAutospacing="0" w:after="0" w:afterAutospacing="0"/>
              <w:rPr>
                <w:rFonts w:hint="default" w:ascii="Times New Roman" w:hAnsi="Times New Roman"/>
                <w:color w:val="auto"/>
                <w:kern w:val="2"/>
                <w:sz w:val="24"/>
                <w:szCs w:val="24"/>
                <w:lang w:val="en-US"/>
              </w:rPr>
            </w:pPr>
            <w:r>
              <w:rPr>
                <w:rFonts w:hint="eastAsia" w:ascii="Times New Roman" w:hAnsi="Times New Roman"/>
                <w:color w:val="auto"/>
                <w:kern w:val="2"/>
                <w:sz w:val="24"/>
                <w:szCs w:val="24"/>
                <w:lang w:eastAsia="zh-CN"/>
              </w:rPr>
              <w:t>固经开项字【</w:t>
            </w:r>
            <w:r>
              <w:rPr>
                <w:rFonts w:hint="eastAsia" w:ascii="Times New Roman" w:hAnsi="Times New Roman"/>
                <w:color w:val="auto"/>
                <w:kern w:val="2"/>
                <w:sz w:val="24"/>
                <w:szCs w:val="24"/>
                <w:lang w:val="en-US" w:eastAsia="zh-CN"/>
              </w:rPr>
              <w:t>2024】15号</w:t>
            </w:r>
          </w:p>
        </w:tc>
      </w:tr>
      <w:tr w14:paraId="2F9D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791A324F">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总投资（万元）</w:t>
            </w:r>
          </w:p>
        </w:tc>
        <w:tc>
          <w:tcPr>
            <w:tcW w:w="2161" w:type="dxa"/>
            <w:vAlign w:val="center"/>
          </w:tcPr>
          <w:p w14:paraId="0A4040AF">
            <w:pPr>
              <w:pStyle w:val="39"/>
              <w:spacing w:before="0" w:beforeAutospacing="0" w:after="0" w:afterAutospacing="0"/>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25000</w:t>
            </w:r>
          </w:p>
        </w:tc>
        <w:tc>
          <w:tcPr>
            <w:tcW w:w="2024" w:type="dxa"/>
            <w:vAlign w:val="center"/>
          </w:tcPr>
          <w:p w14:paraId="70DC15FC">
            <w:pPr>
              <w:pStyle w:val="39"/>
              <w:spacing w:before="0" w:beforeAutospacing="0" w:after="0" w:afterAutospacing="0"/>
              <w:rPr>
                <w:rFonts w:ascii="Times New Roman" w:hAnsi="Times New Roman"/>
                <w:color w:val="auto"/>
                <w:kern w:val="2"/>
                <w:sz w:val="24"/>
                <w:szCs w:val="24"/>
              </w:rPr>
            </w:pPr>
            <w:r>
              <w:rPr>
                <w:rFonts w:hint="eastAsia" w:cs="宋体"/>
                <w:color w:val="auto"/>
                <w:sz w:val="24"/>
                <w:szCs w:val="24"/>
              </w:rPr>
              <w:t>环保投资（万元）</w:t>
            </w:r>
          </w:p>
        </w:tc>
        <w:tc>
          <w:tcPr>
            <w:tcW w:w="3592" w:type="dxa"/>
            <w:vAlign w:val="center"/>
          </w:tcPr>
          <w:p w14:paraId="264E1F31">
            <w:pPr>
              <w:pStyle w:val="39"/>
              <w:spacing w:before="0" w:beforeAutospacing="0" w:after="0" w:afterAutospacing="0"/>
              <w:jc w:val="center"/>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125</w:t>
            </w:r>
          </w:p>
        </w:tc>
      </w:tr>
      <w:tr w14:paraId="464B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1CB142D2">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环保投资占比（%）</w:t>
            </w:r>
          </w:p>
        </w:tc>
        <w:tc>
          <w:tcPr>
            <w:tcW w:w="2161" w:type="dxa"/>
            <w:vAlign w:val="center"/>
          </w:tcPr>
          <w:p w14:paraId="475541E6">
            <w:pPr>
              <w:pStyle w:val="39"/>
              <w:spacing w:before="0" w:beforeAutospacing="0" w:after="0" w:afterAutospacing="0"/>
              <w:rPr>
                <w:rFonts w:hint="default" w:ascii="Times New Roman" w:hAnsi="Times New Roman"/>
                <w:color w:val="auto"/>
                <w:kern w:val="2"/>
                <w:sz w:val="24"/>
                <w:szCs w:val="24"/>
                <w:lang w:val="en-US"/>
              </w:rPr>
            </w:pPr>
            <w:r>
              <w:rPr>
                <w:rFonts w:hint="eastAsia" w:ascii="Times New Roman" w:hAnsi="Times New Roman"/>
                <w:color w:val="auto"/>
                <w:kern w:val="2"/>
                <w:sz w:val="24"/>
                <w:szCs w:val="24"/>
                <w:lang w:val="en-US" w:eastAsia="zh-CN"/>
              </w:rPr>
              <w:t>0.5</w:t>
            </w:r>
          </w:p>
        </w:tc>
        <w:tc>
          <w:tcPr>
            <w:tcW w:w="2024" w:type="dxa"/>
            <w:vAlign w:val="center"/>
          </w:tcPr>
          <w:p w14:paraId="27F2F974">
            <w:pPr>
              <w:pStyle w:val="39"/>
              <w:spacing w:before="0" w:beforeAutospacing="0" w:after="0" w:afterAutospacing="0"/>
              <w:rPr>
                <w:rFonts w:cs="宋体"/>
                <w:color w:val="auto"/>
                <w:sz w:val="24"/>
                <w:szCs w:val="24"/>
              </w:rPr>
            </w:pPr>
            <w:r>
              <w:rPr>
                <w:rFonts w:hint="eastAsia" w:cs="宋体"/>
                <w:color w:val="auto"/>
                <w:sz w:val="24"/>
                <w:szCs w:val="24"/>
              </w:rPr>
              <w:t>施工工期</w:t>
            </w:r>
          </w:p>
        </w:tc>
        <w:tc>
          <w:tcPr>
            <w:tcW w:w="3592" w:type="dxa"/>
            <w:vAlign w:val="center"/>
          </w:tcPr>
          <w:p w14:paraId="04D4784E">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lang w:val="en-US" w:eastAsia="zh-CN"/>
              </w:rPr>
              <w:t>6</w:t>
            </w:r>
            <w:r>
              <w:rPr>
                <w:rFonts w:hint="eastAsia" w:ascii="Times New Roman" w:hAnsi="Times New Roman"/>
                <w:color w:val="auto"/>
                <w:kern w:val="2"/>
                <w:sz w:val="24"/>
                <w:szCs w:val="24"/>
              </w:rPr>
              <w:t>个月</w:t>
            </w:r>
          </w:p>
        </w:tc>
      </w:tr>
      <w:tr w14:paraId="5843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25D8857D">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是否开工建设</w:t>
            </w:r>
          </w:p>
        </w:tc>
        <w:tc>
          <w:tcPr>
            <w:tcW w:w="2161" w:type="dxa"/>
            <w:vAlign w:val="center"/>
          </w:tcPr>
          <w:p w14:paraId="42B3D8FC">
            <w:pPr>
              <w:pStyle w:val="39"/>
              <w:spacing w:before="0" w:beforeAutospacing="0" w:after="0" w:afterAutospacing="0"/>
              <w:jc w:val="left"/>
              <w:rPr>
                <w:rFonts w:ascii="Times New Roman" w:hAnsi="Times New Roman"/>
                <w:color w:val="auto"/>
                <w:kern w:val="2"/>
                <w:sz w:val="24"/>
                <w:szCs w:val="24"/>
              </w:rPr>
            </w:pPr>
            <w:r>
              <w:rPr>
                <w:rFonts w:hint="eastAsia" w:ascii="MS Mincho" w:hAnsi="MS Mincho" w:eastAsia="MS Mincho" w:cs="MS Mincho"/>
                <w:color w:val="auto"/>
                <w:kern w:val="2"/>
                <w:sz w:val="24"/>
                <w:szCs w:val="24"/>
              </w:rPr>
              <w:t>☑</w:t>
            </w:r>
            <w:r>
              <w:rPr>
                <w:rFonts w:hint="eastAsia" w:ascii="Times New Roman" w:hAnsi="Times New Roman"/>
                <w:color w:val="auto"/>
                <w:kern w:val="2"/>
                <w:sz w:val="24"/>
                <w:szCs w:val="24"/>
              </w:rPr>
              <w:t>否</w:t>
            </w:r>
          </w:p>
          <w:p w14:paraId="2B4C21D6">
            <w:pPr>
              <w:pStyle w:val="39"/>
              <w:spacing w:before="0" w:beforeAutospacing="0" w:after="0" w:afterAutospacing="0"/>
              <w:jc w:val="left"/>
              <w:rPr>
                <w:rFonts w:ascii="Times New Roman" w:hAnsi="Times New Roman"/>
                <w:color w:val="auto"/>
                <w:kern w:val="2"/>
                <w:sz w:val="24"/>
                <w:szCs w:val="24"/>
              </w:rPr>
            </w:pPr>
            <w:r>
              <w:rPr>
                <w:rFonts w:hint="eastAsia" w:ascii="Times New Roman" w:hAnsi="Times New Roman"/>
                <w:color w:val="auto"/>
                <w:kern w:val="2"/>
                <w:sz w:val="24"/>
                <w:szCs w:val="24"/>
              </w:rPr>
              <w:sym w:font="Wingdings 2" w:char="00A3"/>
            </w:r>
            <w:r>
              <w:rPr>
                <w:rFonts w:hint="eastAsia" w:ascii="Times New Roman" w:hAnsi="Times New Roman"/>
                <w:color w:val="auto"/>
                <w:kern w:val="2"/>
                <w:sz w:val="24"/>
                <w:szCs w:val="24"/>
              </w:rPr>
              <w:t>是：</w:t>
            </w:r>
            <w:r>
              <w:rPr>
                <w:rFonts w:hint="eastAsia" w:ascii="Times New Roman" w:hAnsi="Times New Roman"/>
                <w:color w:val="auto"/>
                <w:kern w:val="2"/>
                <w:sz w:val="24"/>
                <w:szCs w:val="24"/>
                <w:u w:val="single"/>
              </w:rPr>
              <w:t xml:space="preserve">      </w:t>
            </w:r>
          </w:p>
        </w:tc>
        <w:tc>
          <w:tcPr>
            <w:tcW w:w="2024" w:type="dxa"/>
            <w:vAlign w:val="center"/>
          </w:tcPr>
          <w:p w14:paraId="4BCDCC33">
            <w:pPr>
              <w:pStyle w:val="39"/>
              <w:spacing w:before="0" w:beforeAutospacing="0" w:after="0" w:afterAutospacing="0"/>
              <w:rPr>
                <w:rFonts w:ascii="Times New Roman" w:hAnsi="Times New Roman"/>
                <w:color w:val="auto"/>
                <w:kern w:val="2"/>
                <w:sz w:val="24"/>
                <w:szCs w:val="24"/>
              </w:rPr>
            </w:pPr>
            <w:r>
              <w:rPr>
                <w:rFonts w:hint="eastAsia" w:ascii="Times New Roman" w:hAnsi="Times New Roman"/>
                <w:color w:val="auto"/>
                <w:kern w:val="2"/>
                <w:sz w:val="24"/>
                <w:szCs w:val="24"/>
              </w:rPr>
              <w:t>用地面积（</w:t>
            </w:r>
            <w:r>
              <w:rPr>
                <w:rFonts w:ascii="Times New Roman" w:hAnsi="Times New Roman"/>
                <w:color w:val="auto"/>
                <w:kern w:val="2"/>
                <w:sz w:val="24"/>
                <w:szCs w:val="24"/>
              </w:rPr>
              <w:t>m</w:t>
            </w:r>
            <w:r>
              <w:rPr>
                <w:rFonts w:ascii="Times New Roman" w:hAnsi="Times New Roman"/>
                <w:color w:val="auto"/>
                <w:kern w:val="2"/>
                <w:sz w:val="24"/>
                <w:szCs w:val="24"/>
                <w:vertAlign w:val="superscript"/>
              </w:rPr>
              <w:t>2</w:t>
            </w:r>
            <w:r>
              <w:rPr>
                <w:rFonts w:hint="eastAsia" w:ascii="Times New Roman" w:hAnsi="Times New Roman"/>
                <w:color w:val="auto"/>
                <w:kern w:val="2"/>
                <w:sz w:val="24"/>
                <w:szCs w:val="24"/>
              </w:rPr>
              <w:t>）</w:t>
            </w:r>
          </w:p>
        </w:tc>
        <w:tc>
          <w:tcPr>
            <w:tcW w:w="3592" w:type="dxa"/>
            <w:vAlign w:val="center"/>
          </w:tcPr>
          <w:p w14:paraId="309A9B61">
            <w:pPr>
              <w:pStyle w:val="39"/>
              <w:spacing w:before="0" w:beforeAutospacing="0" w:after="0" w:afterAutospacing="0"/>
              <w:rPr>
                <w:rFonts w:hint="default" w:ascii="Times New Roman" w:hAnsi="Times New Roman" w:eastAsia="宋体"/>
                <w:color w:val="auto"/>
                <w:kern w:val="2"/>
                <w:sz w:val="24"/>
                <w:szCs w:val="24"/>
                <w:lang w:val="en-US" w:eastAsia="zh-CN"/>
              </w:rPr>
            </w:pPr>
            <w:r>
              <w:rPr>
                <w:rFonts w:hint="eastAsia" w:ascii="Times New Roman" w:hAnsi="Times New Roman"/>
                <w:color w:val="auto"/>
                <w:kern w:val="2"/>
                <w:sz w:val="24"/>
                <w:szCs w:val="24"/>
                <w:lang w:val="en-US" w:eastAsia="zh-CN"/>
              </w:rPr>
              <w:t>60218.95</w:t>
            </w:r>
          </w:p>
        </w:tc>
      </w:tr>
      <w:tr w14:paraId="7CD6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1" w:type="dxa"/>
            <w:vAlign w:val="center"/>
          </w:tcPr>
          <w:p w14:paraId="0C71A0E6">
            <w:pPr>
              <w:pStyle w:val="39"/>
              <w:spacing w:before="0" w:beforeAutospacing="0" w:after="0" w:afterAutospacing="0"/>
              <w:rPr>
                <w:rFonts w:ascii="Times New Roman" w:hAnsi="Times New Roman"/>
                <w:color w:val="auto"/>
                <w:kern w:val="2"/>
              </w:rPr>
            </w:pPr>
            <w:r>
              <w:rPr>
                <w:rFonts w:hint="eastAsia" w:ascii="Times New Roman" w:hAnsi="Times New Roman"/>
                <w:color w:val="auto"/>
                <w:kern w:val="2"/>
              </w:rPr>
              <w:t>专项评价设置情况</w:t>
            </w:r>
          </w:p>
        </w:tc>
        <w:tc>
          <w:tcPr>
            <w:tcW w:w="7777" w:type="dxa"/>
            <w:gridSpan w:val="3"/>
            <w:vAlign w:val="center"/>
          </w:tcPr>
          <w:p w14:paraId="22E09C0C">
            <w:pPr>
              <w:pStyle w:val="39"/>
              <w:spacing w:before="0" w:beforeAutospacing="0" w:after="0" w:afterAutospacing="0"/>
              <w:rPr>
                <w:rFonts w:hint="default" w:ascii="Times New Roman" w:hAnsi="Times New Roman" w:eastAsia="宋体"/>
                <w:color w:val="auto"/>
                <w:kern w:val="2"/>
                <w:lang w:val="en-US" w:eastAsia="zh-CN"/>
              </w:rPr>
            </w:pPr>
            <w:r>
              <w:rPr>
                <w:rFonts w:hint="eastAsia" w:ascii="Times New Roman" w:hAnsi="Times New Roman"/>
                <w:color w:val="auto"/>
                <w:kern w:val="2"/>
                <w:lang w:eastAsia="zh-CN"/>
              </w:rPr>
              <w:t>本项目</w:t>
            </w:r>
            <w:r>
              <w:rPr>
                <w:rFonts w:hint="eastAsia" w:ascii="Times New Roman" w:hAnsi="Times New Roman"/>
                <w:color w:val="auto"/>
                <w:kern w:val="2"/>
                <w:lang w:val="en-US" w:eastAsia="zh-CN"/>
              </w:rPr>
              <w:t>盐酸存储量超过临界量，设置环境风险专项评价。</w:t>
            </w:r>
          </w:p>
        </w:tc>
      </w:tr>
      <w:tr w14:paraId="101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1691" w:type="dxa"/>
            <w:vAlign w:val="center"/>
          </w:tcPr>
          <w:p w14:paraId="44AF6CD4">
            <w:pPr>
              <w:pStyle w:val="39"/>
              <w:spacing w:before="0" w:beforeAutospacing="0" w:after="0" w:afterAutospacing="0"/>
              <w:rPr>
                <w:rFonts w:ascii="Times New Roman" w:hAnsi="Times New Roman"/>
                <w:kern w:val="2"/>
              </w:rPr>
            </w:pPr>
            <w:r>
              <w:rPr>
                <w:rFonts w:hint="eastAsia" w:ascii="Times New Roman" w:hAnsi="Times New Roman"/>
                <w:kern w:val="2"/>
              </w:rPr>
              <w:t>规划情况</w:t>
            </w:r>
          </w:p>
        </w:tc>
        <w:tc>
          <w:tcPr>
            <w:tcW w:w="7777" w:type="dxa"/>
            <w:gridSpan w:val="3"/>
            <w:vAlign w:val="center"/>
          </w:tcPr>
          <w:p w14:paraId="0E032447">
            <w:pPr>
              <w:numPr>
                <w:ilvl w:val="0"/>
                <w:numId w:val="0"/>
              </w:numPr>
              <w:spacing w:line="360" w:lineRule="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园区规划名称：《安徽固镇经济开发区总体发展规划（2021-2035年）》</w:t>
            </w:r>
          </w:p>
          <w:p w14:paraId="2C8CA0B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eastAsia="宋体"/>
                <w:sz w:val="18"/>
                <w:szCs w:val="18"/>
                <w:lang w:eastAsia="zh-CN"/>
              </w:rPr>
            </w:pPr>
            <w:r>
              <w:rPr>
                <w:rFonts w:hint="eastAsia" w:ascii="Times New Roman" w:hAnsi="Times New Roman" w:eastAsia="宋体" w:cs="Times New Roman"/>
                <w:color w:val="auto"/>
                <w:sz w:val="24"/>
                <w:lang w:val="en-US" w:eastAsia="zh-CN"/>
              </w:rPr>
              <w:t>园区规划审批机关：</w:t>
            </w:r>
            <w:r>
              <w:rPr>
                <w:rFonts w:hint="default" w:ascii="Times New Roman" w:hAnsi="Times New Roman" w:eastAsia="宋体" w:cs="Times New Roman"/>
                <w:color w:val="auto"/>
                <w:sz w:val="24"/>
                <w:lang w:val="en-US" w:eastAsia="zh-CN"/>
              </w:rPr>
              <w:t>安徽省人民政府</w:t>
            </w:r>
          </w:p>
        </w:tc>
      </w:tr>
      <w:tr w14:paraId="135E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691" w:type="dxa"/>
            <w:vAlign w:val="center"/>
          </w:tcPr>
          <w:p w14:paraId="1ED52760">
            <w:pPr>
              <w:pStyle w:val="39"/>
              <w:spacing w:before="0" w:beforeAutospacing="0" w:after="0" w:afterAutospacing="0"/>
              <w:rPr>
                <w:rFonts w:hint="eastAsia" w:ascii="Times New Roman" w:hAnsi="Times New Roman" w:eastAsia="宋体" w:cs="Times New Roman"/>
                <w:kern w:val="2"/>
                <w:sz w:val="24"/>
                <w:szCs w:val="24"/>
                <w:lang w:val="en-US" w:eastAsia="zh-CN" w:bidi="ar-SA"/>
              </w:rPr>
            </w:pPr>
            <w:r>
              <w:rPr>
                <w:rFonts w:hint="eastAsia" w:ascii="Times New Roman" w:hAnsi="Times New Roman"/>
                <w:kern w:val="2"/>
              </w:rPr>
              <w:t>规划环境影响评价情况</w:t>
            </w:r>
          </w:p>
        </w:tc>
        <w:tc>
          <w:tcPr>
            <w:tcW w:w="7777" w:type="dxa"/>
            <w:gridSpan w:val="3"/>
            <w:vAlign w:val="center"/>
          </w:tcPr>
          <w:p w14:paraId="586726C8">
            <w:pPr>
              <w:pStyle w:val="39"/>
              <w:spacing w:before="0" w:beforeAutospacing="0" w:after="0" w:afterAutospacing="0" w:line="360" w:lineRule="auto"/>
              <w:jc w:val="left"/>
              <w:rPr>
                <w:rFonts w:hint="eastAsia" w:ascii="Times New Roman" w:hAnsi="Times New Roman"/>
                <w:color w:val="000000" w:themeColor="text1"/>
                <w:kern w:val="2"/>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规划环评名称：</w:t>
            </w:r>
            <w:r>
              <w:rPr>
                <w:rFonts w:hint="eastAsia" w:ascii="Times New Roman" w:hAnsi="Times New Roman"/>
                <w:color w:val="000000" w:themeColor="text1"/>
                <w:kern w:val="2"/>
                <w14:textFill>
                  <w14:solidFill>
                    <w14:schemeClr w14:val="tx1"/>
                  </w14:solidFill>
                </w14:textFill>
              </w:rPr>
              <w:t>《安徽固镇经济开发区总体发展规划</w:t>
            </w:r>
            <w:r>
              <w:rPr>
                <w:rFonts w:hint="eastAsia" w:ascii="Times New Roman" w:hAnsi="Times New Roman"/>
                <w:color w:val="000000" w:themeColor="text1"/>
                <w:kern w:val="2"/>
                <w:lang w:eastAsia="zh-CN"/>
                <w14:textFill>
                  <w14:solidFill>
                    <w14:schemeClr w14:val="tx1"/>
                  </w14:solidFill>
                </w14:textFill>
              </w:rPr>
              <w:t>（</w:t>
            </w:r>
            <w:r>
              <w:rPr>
                <w:rFonts w:hint="eastAsia" w:ascii="Times New Roman" w:hAnsi="Times New Roman"/>
                <w:color w:val="000000" w:themeColor="text1"/>
                <w:kern w:val="2"/>
                <w:lang w:val="en-US" w:eastAsia="zh-CN"/>
                <w14:textFill>
                  <w14:solidFill>
                    <w14:schemeClr w14:val="tx1"/>
                  </w14:solidFill>
                </w14:textFill>
              </w:rPr>
              <w:t>2021-2035</w:t>
            </w:r>
            <w:r>
              <w:rPr>
                <w:rFonts w:hint="eastAsia" w:ascii="Times New Roman" w:hAnsi="Times New Roman"/>
                <w:color w:val="000000" w:themeColor="text1"/>
                <w:kern w:val="2"/>
                <w:lang w:eastAsia="zh-CN"/>
                <w14:textFill>
                  <w14:solidFill>
                    <w14:schemeClr w14:val="tx1"/>
                  </w14:solidFill>
                </w14:textFill>
              </w:rPr>
              <w:t>）</w:t>
            </w:r>
            <w:r>
              <w:rPr>
                <w:rFonts w:hint="eastAsia" w:ascii="Times New Roman" w:hAnsi="Times New Roman"/>
                <w:color w:val="000000" w:themeColor="text1"/>
                <w:kern w:val="2"/>
                <w14:textFill>
                  <w14:solidFill>
                    <w14:schemeClr w14:val="tx1"/>
                  </w14:solidFill>
                </w14:textFill>
              </w:rPr>
              <w:t>环境影响报告书》</w:t>
            </w:r>
          </w:p>
          <w:p w14:paraId="08285985">
            <w:pPr>
              <w:pStyle w:val="39"/>
              <w:spacing w:before="0" w:beforeAutospacing="0" w:after="0" w:afterAutospacing="0" w:line="360" w:lineRule="auto"/>
              <w:jc w:val="left"/>
              <w:rPr>
                <w:rFonts w:hint="eastAsia" w:ascii="Times New Roman" w:hAnsi="Times New Roman"/>
                <w:color w:val="000000" w:themeColor="text1"/>
                <w:kern w:val="2"/>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规划环评</w:t>
            </w:r>
            <w:r>
              <w:rPr>
                <w:rFonts w:hint="eastAsia" w:ascii="Times New Roman" w:hAnsi="Times New Roman"/>
                <w:color w:val="000000" w:themeColor="text1"/>
                <w:kern w:val="2"/>
                <w:lang w:eastAsia="zh-CN"/>
                <w14:textFill>
                  <w14:solidFill>
                    <w14:schemeClr w14:val="tx1"/>
                  </w14:solidFill>
                </w14:textFill>
              </w:rPr>
              <w:t>审批机关：安徽省生态环境厅</w:t>
            </w:r>
          </w:p>
          <w:p w14:paraId="3E28E485">
            <w:pPr>
              <w:pStyle w:val="39"/>
              <w:spacing w:before="0" w:beforeAutospacing="0" w:after="0" w:afterAutospacing="0" w:line="360" w:lineRule="auto"/>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规划环评</w:t>
            </w:r>
            <w:r>
              <w:rPr>
                <w:rFonts w:hint="eastAsia" w:ascii="Times New Roman" w:hAnsi="Times New Roman"/>
                <w:color w:val="000000" w:themeColor="text1"/>
                <w:kern w:val="2"/>
                <w:lang w:eastAsia="zh-CN"/>
                <w14:textFill>
                  <w14:solidFill>
                    <w14:schemeClr w14:val="tx1"/>
                  </w14:solidFill>
                </w14:textFill>
              </w:rPr>
              <w:t>审批文件名称：</w:t>
            </w:r>
            <w:r>
              <w:rPr>
                <w:rFonts w:hint="eastAsia" w:ascii="Times New Roman" w:hAnsi="Times New Roman"/>
                <w:color w:val="000000" w:themeColor="text1"/>
                <w:kern w:val="2"/>
                <w14:textFill>
                  <w14:solidFill>
                    <w14:schemeClr w14:val="tx1"/>
                  </w14:solidFill>
                </w14:textFill>
              </w:rPr>
              <w:t>《</w:t>
            </w:r>
            <w:r>
              <w:rPr>
                <w:rFonts w:hint="eastAsia" w:ascii="Times New Roman" w:hAnsi="Times New Roman"/>
                <w:color w:val="000000" w:themeColor="text1"/>
                <w:kern w:val="2"/>
                <w:lang w:eastAsia="zh-CN"/>
                <w14:textFill>
                  <w14:solidFill>
                    <w14:schemeClr w14:val="tx1"/>
                  </w14:solidFill>
                </w14:textFill>
              </w:rPr>
              <w:t>安徽省生态环境厅关于印送</w:t>
            </w:r>
            <w:r>
              <w:rPr>
                <w:rFonts w:hint="eastAsia" w:ascii="Times New Roman" w:hAnsi="Times New Roman"/>
                <w:color w:val="000000" w:themeColor="text1"/>
                <w:kern w:val="2"/>
                <w:lang w:val="en-US" w:eastAsia="zh-CN"/>
                <w14:textFill>
                  <w14:solidFill>
                    <w14:schemeClr w14:val="tx1"/>
                  </w14:solidFill>
                </w14:textFill>
              </w:rPr>
              <w:t>&lt;</w:t>
            </w:r>
            <w:r>
              <w:rPr>
                <w:rFonts w:hint="eastAsia" w:ascii="Times New Roman" w:hAnsi="Times New Roman"/>
                <w:color w:val="000000" w:themeColor="text1"/>
                <w:kern w:val="2"/>
                <w14:textFill>
                  <w14:solidFill>
                    <w14:schemeClr w14:val="tx1"/>
                  </w14:solidFill>
                </w14:textFill>
              </w:rPr>
              <w:t>安徽固镇经济开发区总体发展规划</w:t>
            </w:r>
            <w:r>
              <w:rPr>
                <w:rFonts w:hint="eastAsia" w:ascii="Times New Roman" w:hAnsi="Times New Roman"/>
                <w:color w:val="000000" w:themeColor="text1"/>
                <w:kern w:val="2"/>
                <w:lang w:eastAsia="zh-CN"/>
                <w14:textFill>
                  <w14:solidFill>
                    <w14:schemeClr w14:val="tx1"/>
                  </w14:solidFill>
                </w14:textFill>
              </w:rPr>
              <w:t>（</w:t>
            </w:r>
            <w:r>
              <w:rPr>
                <w:rFonts w:hint="eastAsia" w:ascii="Times New Roman" w:hAnsi="Times New Roman"/>
                <w:color w:val="000000" w:themeColor="text1"/>
                <w:kern w:val="2"/>
                <w:lang w:val="en-US" w:eastAsia="zh-CN"/>
                <w14:textFill>
                  <w14:solidFill>
                    <w14:schemeClr w14:val="tx1"/>
                  </w14:solidFill>
                </w14:textFill>
              </w:rPr>
              <w:t>2021-2035</w:t>
            </w:r>
            <w:r>
              <w:rPr>
                <w:rFonts w:hint="eastAsia" w:ascii="Times New Roman" w:hAnsi="Times New Roman"/>
                <w:color w:val="000000" w:themeColor="text1"/>
                <w:kern w:val="2"/>
                <w:lang w:eastAsia="zh-CN"/>
                <w14:textFill>
                  <w14:solidFill>
                    <w14:schemeClr w14:val="tx1"/>
                  </w14:solidFill>
                </w14:textFill>
              </w:rPr>
              <w:t>）</w:t>
            </w:r>
            <w:r>
              <w:rPr>
                <w:rFonts w:hint="eastAsia" w:ascii="Times New Roman" w:hAnsi="Times New Roman"/>
                <w:color w:val="000000" w:themeColor="text1"/>
                <w:kern w:val="2"/>
                <w14:textFill>
                  <w14:solidFill>
                    <w14:schemeClr w14:val="tx1"/>
                  </w14:solidFill>
                </w14:textFill>
              </w:rPr>
              <w:t>环境影响评价报告书审查意见</w:t>
            </w:r>
            <w:r>
              <w:rPr>
                <w:rFonts w:hint="eastAsia" w:ascii="Times New Roman" w:hAnsi="Times New Roman"/>
                <w:color w:val="000000" w:themeColor="text1"/>
                <w:kern w:val="2"/>
                <w:lang w:val="en-US" w:eastAsia="zh-CN"/>
                <w14:textFill>
                  <w14:solidFill>
                    <w14:schemeClr w14:val="tx1"/>
                  </w14:solidFill>
                </w14:textFill>
              </w:rPr>
              <w:t>&gt;的函</w:t>
            </w:r>
            <w:r>
              <w:rPr>
                <w:rFonts w:hint="eastAsia" w:ascii="Times New Roman" w:hAnsi="Times New Roman"/>
                <w:color w:val="000000" w:themeColor="text1"/>
                <w:kern w:val="2"/>
                <w14:textFill>
                  <w14:solidFill>
                    <w14:schemeClr w14:val="tx1"/>
                  </w14:solidFill>
                </w14:textFill>
              </w:rPr>
              <w:t>》</w:t>
            </w:r>
          </w:p>
          <w:p w14:paraId="278DB15D">
            <w:pPr>
              <w:pStyle w:val="39"/>
              <w:spacing w:before="0" w:beforeAutospacing="0" w:after="0" w:afterAutospacing="0" w:line="360" w:lineRule="auto"/>
              <w:jc w:val="left"/>
              <w:rPr>
                <w:rFonts w:ascii="Times New Roman" w:hAnsi="Times New Roman" w:eastAsia="宋体" w:cs="Times New Roman"/>
                <w:kern w:val="2"/>
                <w:sz w:val="24"/>
                <w:szCs w:val="24"/>
                <w:lang w:val="en-US" w:eastAsia="zh-CN" w:bidi="ar-SA"/>
              </w:rPr>
            </w:pPr>
            <w:r>
              <w:rPr>
                <w:rFonts w:hint="eastAsia"/>
                <w:color w:val="000000" w:themeColor="text1"/>
                <w:sz w:val="24"/>
                <w:szCs w:val="24"/>
                <w:lang w:eastAsia="zh-CN"/>
                <w14:textFill>
                  <w14:solidFill>
                    <w14:schemeClr w14:val="tx1"/>
                  </w14:solidFill>
                </w14:textFill>
              </w:rPr>
              <w:t>规划环评</w:t>
            </w:r>
            <w:r>
              <w:rPr>
                <w:rFonts w:hint="eastAsia" w:ascii="Times New Roman" w:hAnsi="Times New Roman"/>
                <w:color w:val="000000" w:themeColor="text1"/>
                <w:kern w:val="2"/>
                <w:lang w:eastAsia="zh-CN"/>
                <w14:textFill>
                  <w14:solidFill>
                    <w14:schemeClr w14:val="tx1"/>
                  </w14:solidFill>
                </w14:textFill>
              </w:rPr>
              <w:t>审批文件文号：</w:t>
            </w:r>
            <w:r>
              <w:rPr>
                <w:rFonts w:hint="eastAsia" w:ascii="Times New Roman" w:hAnsi="Times New Roman"/>
                <w:color w:val="000000" w:themeColor="text1"/>
                <w:kern w:val="2"/>
                <w14:textFill>
                  <w14:solidFill>
                    <w14:schemeClr w14:val="tx1"/>
                  </w14:solidFill>
                </w14:textFill>
              </w:rPr>
              <w:t>皖环函[20</w:t>
            </w:r>
            <w:r>
              <w:rPr>
                <w:rFonts w:hint="eastAsia" w:ascii="Times New Roman" w:hAnsi="Times New Roman"/>
                <w:color w:val="000000" w:themeColor="text1"/>
                <w:kern w:val="2"/>
                <w:lang w:val="en-US" w:eastAsia="zh-CN"/>
                <w14:textFill>
                  <w14:solidFill>
                    <w14:schemeClr w14:val="tx1"/>
                  </w14:solidFill>
                </w14:textFill>
              </w:rPr>
              <w:t>22</w:t>
            </w:r>
            <w:r>
              <w:rPr>
                <w:rFonts w:hint="eastAsia" w:ascii="Times New Roman" w:hAnsi="Times New Roman"/>
                <w:color w:val="000000" w:themeColor="text1"/>
                <w:kern w:val="2"/>
                <w14:textFill>
                  <w14:solidFill>
                    <w14:schemeClr w14:val="tx1"/>
                  </w14:solidFill>
                </w14:textFill>
              </w:rPr>
              <w:t>]1</w:t>
            </w:r>
            <w:r>
              <w:rPr>
                <w:rFonts w:hint="eastAsia" w:ascii="Times New Roman" w:hAnsi="Times New Roman"/>
                <w:color w:val="000000" w:themeColor="text1"/>
                <w:kern w:val="2"/>
                <w:lang w:val="en-US" w:eastAsia="zh-CN"/>
                <w14:textFill>
                  <w14:solidFill>
                    <w14:schemeClr w14:val="tx1"/>
                  </w14:solidFill>
                </w14:textFill>
              </w:rPr>
              <w:t>163</w:t>
            </w:r>
            <w:r>
              <w:rPr>
                <w:rFonts w:hint="eastAsia" w:ascii="Times New Roman" w:hAnsi="Times New Roman"/>
                <w:color w:val="000000" w:themeColor="text1"/>
                <w:kern w:val="2"/>
                <w14:textFill>
                  <w14:solidFill>
                    <w14:schemeClr w14:val="tx1"/>
                  </w14:solidFill>
                </w14:textFill>
              </w:rPr>
              <w:t>号</w:t>
            </w:r>
          </w:p>
        </w:tc>
      </w:tr>
      <w:tr w14:paraId="3E25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1691" w:type="dxa"/>
            <w:vAlign w:val="center"/>
          </w:tcPr>
          <w:p w14:paraId="22498253">
            <w:pPr>
              <w:autoSpaceDE w:val="0"/>
              <w:autoSpaceDN w:val="0"/>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规划及规划环境</w:t>
            </w:r>
            <w:r>
              <w:rPr>
                <w:rFonts w:hint="eastAsia" w:ascii="Times New Roman" w:hAnsi="Times New Roman"/>
                <w:color w:val="auto"/>
                <w:kern w:val="2"/>
                <w:sz w:val="24"/>
                <w:szCs w:val="24"/>
              </w:rPr>
              <w:t>影响评价符合性分析</w:t>
            </w:r>
          </w:p>
        </w:tc>
        <w:tc>
          <w:tcPr>
            <w:tcW w:w="7777" w:type="dxa"/>
            <w:gridSpan w:val="3"/>
            <w:vAlign w:val="center"/>
          </w:tcPr>
          <w:p w14:paraId="0ED3654B">
            <w:pPr>
              <w:spacing w:line="360" w:lineRule="auto"/>
              <w:contextualSpacing/>
              <w:rPr>
                <w:b/>
                <w:color w:val="auto"/>
                <w:sz w:val="24"/>
                <w:szCs w:val="24"/>
              </w:rPr>
            </w:pPr>
            <w:r>
              <w:rPr>
                <w:rFonts w:hint="eastAsia"/>
                <w:b/>
                <w:color w:val="000000" w:themeColor="text1"/>
                <w:sz w:val="24"/>
                <w:szCs w:val="24"/>
                <w14:textFill>
                  <w14:solidFill>
                    <w14:schemeClr w14:val="tx1"/>
                  </w14:solidFill>
                </w14:textFill>
              </w:rPr>
              <w:t>1、</w:t>
            </w:r>
            <w:r>
              <w:rPr>
                <w:rFonts w:hint="eastAsia"/>
                <w:b/>
                <w:color w:val="auto"/>
                <w:sz w:val="24"/>
                <w:szCs w:val="24"/>
              </w:rPr>
              <w:t>规划符合性</w:t>
            </w:r>
          </w:p>
          <w:p w14:paraId="58869056">
            <w:pPr>
              <w:spacing w:line="500" w:lineRule="exact"/>
              <w:ind w:firstLine="480" w:firstLineChars="200"/>
              <w:rPr>
                <w:color w:val="auto"/>
                <w:kern w:val="0"/>
                <w:sz w:val="24"/>
              </w:rPr>
            </w:pPr>
            <w:r>
              <w:rPr>
                <w:rFonts w:ascii="Times New Roman" w:hAnsi="Times New Roman"/>
                <w:color w:val="auto"/>
                <w:sz w:val="24"/>
                <w:szCs w:val="24"/>
              </w:rPr>
              <w:t>根据《安徽固镇经济开发区总体发展规划（20</w:t>
            </w:r>
            <w:r>
              <w:rPr>
                <w:rFonts w:hint="eastAsia"/>
                <w:color w:val="auto"/>
                <w:sz w:val="24"/>
                <w:szCs w:val="24"/>
                <w:lang w:val="en-US" w:eastAsia="zh-CN"/>
              </w:rPr>
              <w:t>21</w:t>
            </w:r>
            <w:r>
              <w:rPr>
                <w:rFonts w:ascii="Times New Roman" w:hAnsi="Times New Roman"/>
                <w:color w:val="auto"/>
                <w:sz w:val="24"/>
                <w:szCs w:val="24"/>
              </w:rPr>
              <w:t>-203</w:t>
            </w:r>
            <w:r>
              <w:rPr>
                <w:rFonts w:hint="eastAsia"/>
                <w:color w:val="auto"/>
                <w:sz w:val="24"/>
                <w:szCs w:val="24"/>
                <w:lang w:val="en-US" w:eastAsia="zh-CN"/>
              </w:rPr>
              <w:t>5</w:t>
            </w:r>
            <w:r>
              <w:rPr>
                <w:rFonts w:ascii="Times New Roman" w:hAnsi="Times New Roman"/>
                <w:color w:val="auto"/>
                <w:sz w:val="24"/>
                <w:szCs w:val="24"/>
              </w:rPr>
              <w:t>）》，固镇经济开发区</w:t>
            </w:r>
            <w:r>
              <w:rPr>
                <w:rFonts w:hint="eastAsia"/>
                <w:color w:val="auto"/>
                <w:sz w:val="24"/>
                <w:szCs w:val="24"/>
                <w:lang w:eastAsia="zh-CN"/>
              </w:rPr>
              <w:t>产业布局分别在开发区南北纵向分布着</w:t>
            </w:r>
            <w:r>
              <w:rPr>
                <w:rFonts w:hint="eastAsia" w:ascii="宋体" w:hAnsi="宋体" w:eastAsia="宋体" w:cs="宋体"/>
                <w:color w:val="auto"/>
                <w:kern w:val="0"/>
                <w:sz w:val="24"/>
                <w:szCs w:val="24"/>
                <w:lang w:val="en-US" w:eastAsia="zh-CN" w:bidi="ar"/>
              </w:rPr>
              <w:t>北部产业片区、南部产业片区两大片区</w:t>
            </w:r>
            <w:r>
              <w:rPr>
                <w:rFonts w:hint="eastAsia" w:ascii="宋体" w:hAnsi="宋体" w:cs="宋体"/>
                <w:color w:val="auto"/>
                <w:kern w:val="0"/>
                <w:sz w:val="24"/>
                <w:szCs w:val="24"/>
                <w:lang w:val="en-US" w:eastAsia="zh-CN" w:bidi="ar"/>
              </w:rPr>
              <w:t>，</w:t>
            </w:r>
            <w:r>
              <w:rPr>
                <w:rFonts w:cs="Times New Roman"/>
                <w:color w:val="auto"/>
                <w:sz w:val="24"/>
                <w:szCs w:val="24"/>
                <w:lang w:eastAsia="zh-CN"/>
              </w:rPr>
              <w:t>现两个园区合并后其主导产业由原3+3调整为整体共3个，调整后的</w:t>
            </w:r>
            <w:r>
              <w:rPr>
                <w:rFonts w:ascii="Times New Roman" w:hAnsi="Times New Roman"/>
                <w:color w:val="auto"/>
                <w:sz w:val="24"/>
                <w:szCs w:val="24"/>
              </w:rPr>
              <w:t>主导产业为装备制造</w:t>
            </w:r>
            <w:r>
              <w:rPr>
                <w:rFonts w:hint="eastAsia"/>
                <w:color w:val="auto"/>
                <w:sz w:val="24"/>
                <w:szCs w:val="24"/>
                <w:lang w:eastAsia="zh-CN"/>
              </w:rPr>
              <w:t>产</w:t>
            </w:r>
            <w:r>
              <w:rPr>
                <w:rFonts w:ascii="Times New Roman" w:hAnsi="Times New Roman"/>
                <w:color w:val="auto"/>
                <w:sz w:val="24"/>
                <w:szCs w:val="24"/>
              </w:rPr>
              <w:t>业、农副产品加工产业、</w:t>
            </w:r>
            <w:r>
              <w:rPr>
                <w:rFonts w:hint="eastAsia"/>
                <w:color w:val="auto"/>
                <w:sz w:val="24"/>
                <w:szCs w:val="24"/>
                <w:lang w:eastAsia="zh-CN"/>
              </w:rPr>
              <w:t>精细化工产业</w:t>
            </w:r>
            <w:r>
              <w:rPr>
                <w:color w:val="auto"/>
                <w:kern w:val="0"/>
                <w:sz w:val="24"/>
              </w:rPr>
              <w:t>。</w:t>
            </w:r>
            <w:r>
              <w:rPr>
                <w:rFonts w:hint="eastAsia"/>
                <w:color w:val="auto"/>
                <w:kern w:val="0"/>
                <w:sz w:val="24"/>
                <w:lang w:eastAsia="zh-CN"/>
              </w:rPr>
              <w:t>本项目位于固镇经济开发区北区，开发区产业环境准入清单表</w:t>
            </w:r>
            <w:r>
              <w:rPr>
                <w:color w:val="auto"/>
                <w:kern w:val="0"/>
                <w:sz w:val="24"/>
              </w:rPr>
              <w:t>如下表所示。</w:t>
            </w:r>
          </w:p>
          <w:p w14:paraId="07DD684F">
            <w:pPr>
              <w:widowControl/>
              <w:spacing w:after="24" w:afterLines="10" w:line="240" w:lineRule="auto"/>
              <w:jc w:val="center"/>
              <w:rPr>
                <w:b/>
                <w:color w:val="auto"/>
                <w:sz w:val="21"/>
                <w:szCs w:val="21"/>
              </w:rPr>
            </w:pPr>
            <w:r>
              <w:rPr>
                <w:rFonts w:hint="eastAsia"/>
                <w:b/>
                <w:color w:val="auto"/>
                <w:sz w:val="21"/>
                <w:szCs w:val="21"/>
              </w:rPr>
              <w:t>表1-</w:t>
            </w:r>
            <w:r>
              <w:rPr>
                <w:b/>
                <w:color w:val="auto"/>
                <w:sz w:val="21"/>
                <w:szCs w:val="21"/>
              </w:rPr>
              <w:t xml:space="preserve">1 </w:t>
            </w:r>
            <w:r>
              <w:rPr>
                <w:rFonts w:hint="eastAsia"/>
                <w:b/>
                <w:color w:val="auto"/>
                <w:sz w:val="21"/>
                <w:szCs w:val="21"/>
              </w:rPr>
              <w:t>开发区</w:t>
            </w:r>
            <w:r>
              <w:rPr>
                <w:rFonts w:hint="eastAsia"/>
                <w:b/>
                <w:color w:val="auto"/>
                <w:sz w:val="21"/>
                <w:szCs w:val="21"/>
                <w:lang w:eastAsia="zh-CN"/>
              </w:rPr>
              <w:t>（非化工集中区）产业环境准入清单</w:t>
            </w:r>
            <w:r>
              <w:rPr>
                <w:rFonts w:hint="eastAsia"/>
                <w:b/>
                <w:color w:val="auto"/>
                <w:sz w:val="21"/>
                <w:szCs w:val="21"/>
              </w:rPr>
              <w:t>表</w:t>
            </w:r>
          </w:p>
          <w:tbl>
            <w:tblPr>
              <w:tblStyle w:val="25"/>
              <w:tblW w:w="7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450"/>
              <w:gridCol w:w="885"/>
              <w:gridCol w:w="2730"/>
              <w:gridCol w:w="1425"/>
              <w:gridCol w:w="1199"/>
            </w:tblGrid>
            <w:tr w14:paraId="33EC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743" w:type="dxa"/>
                  <w:vMerge w:val="restart"/>
                  <w:vAlign w:val="center"/>
                </w:tcPr>
                <w:p w14:paraId="3E07FCE6">
                  <w:pPr>
                    <w:adjustRightInd w:val="0"/>
                    <w:snapToGrid w:val="0"/>
                    <w:jc w:val="center"/>
                    <w:rPr>
                      <w:rFonts w:hint="eastAsia" w:eastAsia="宋体"/>
                      <w:color w:val="auto"/>
                      <w:sz w:val="21"/>
                      <w:szCs w:val="21"/>
                      <w:lang w:eastAsia="zh-CN"/>
                    </w:rPr>
                  </w:pPr>
                  <w:r>
                    <w:rPr>
                      <w:rFonts w:hint="eastAsia" w:hAnsi="宋体"/>
                      <w:color w:val="auto"/>
                      <w:sz w:val="21"/>
                      <w:szCs w:val="21"/>
                      <w:lang w:eastAsia="zh-CN"/>
                    </w:rPr>
                    <w:t>清单类型</w:t>
                  </w:r>
                </w:p>
              </w:tc>
              <w:tc>
                <w:tcPr>
                  <w:tcW w:w="450" w:type="dxa"/>
                  <w:vMerge w:val="restart"/>
                  <w:vAlign w:val="center"/>
                </w:tcPr>
                <w:p w14:paraId="5A4D047B">
                  <w:pPr>
                    <w:adjustRightInd w:val="0"/>
                    <w:snapToGrid w:val="0"/>
                    <w:jc w:val="center"/>
                    <w:rPr>
                      <w:rFonts w:hint="eastAsia" w:eastAsia="宋体"/>
                      <w:color w:val="auto"/>
                      <w:sz w:val="21"/>
                      <w:szCs w:val="21"/>
                      <w:lang w:eastAsia="zh-CN"/>
                    </w:rPr>
                  </w:pPr>
                  <w:r>
                    <w:rPr>
                      <w:rFonts w:hint="eastAsia"/>
                      <w:color w:val="auto"/>
                      <w:sz w:val="21"/>
                      <w:szCs w:val="21"/>
                      <w:lang w:eastAsia="zh-CN"/>
                    </w:rPr>
                    <w:t>类别</w:t>
                  </w:r>
                </w:p>
              </w:tc>
              <w:tc>
                <w:tcPr>
                  <w:tcW w:w="3615" w:type="dxa"/>
                  <w:gridSpan w:val="2"/>
                  <w:vAlign w:val="center"/>
                </w:tcPr>
                <w:p w14:paraId="3F672E11">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准入内容</w:t>
                  </w:r>
                </w:p>
              </w:tc>
              <w:tc>
                <w:tcPr>
                  <w:tcW w:w="1425" w:type="dxa"/>
                  <w:vMerge w:val="restart"/>
                  <w:vAlign w:val="center"/>
                </w:tcPr>
                <w:p w14:paraId="576EAA18">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条件</w:t>
                  </w:r>
                </w:p>
              </w:tc>
              <w:tc>
                <w:tcPr>
                  <w:tcW w:w="1199" w:type="dxa"/>
                  <w:vMerge w:val="restart"/>
                  <w:vAlign w:val="center"/>
                </w:tcPr>
                <w:p w14:paraId="0D2A6643">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本项目情况</w:t>
                  </w:r>
                </w:p>
              </w:tc>
            </w:tr>
            <w:tr w14:paraId="67D4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43" w:type="dxa"/>
                  <w:vMerge w:val="continue"/>
                  <w:vAlign w:val="center"/>
                </w:tcPr>
                <w:p w14:paraId="28F9D9AF">
                  <w:pPr>
                    <w:adjustRightInd w:val="0"/>
                    <w:snapToGrid w:val="0"/>
                    <w:jc w:val="center"/>
                    <w:rPr>
                      <w:rFonts w:hint="eastAsia" w:hAnsi="宋体"/>
                      <w:color w:val="auto"/>
                      <w:sz w:val="21"/>
                      <w:szCs w:val="21"/>
                    </w:rPr>
                  </w:pPr>
                </w:p>
              </w:tc>
              <w:tc>
                <w:tcPr>
                  <w:tcW w:w="450" w:type="dxa"/>
                  <w:vMerge w:val="continue"/>
                  <w:vAlign w:val="center"/>
                </w:tcPr>
                <w:p w14:paraId="66FECA3C">
                  <w:pPr>
                    <w:adjustRightInd w:val="0"/>
                    <w:snapToGrid w:val="0"/>
                    <w:jc w:val="center"/>
                    <w:rPr>
                      <w:color w:val="auto"/>
                      <w:sz w:val="21"/>
                      <w:szCs w:val="21"/>
                    </w:rPr>
                  </w:pPr>
                </w:p>
              </w:tc>
              <w:tc>
                <w:tcPr>
                  <w:tcW w:w="885" w:type="dxa"/>
                  <w:vAlign w:val="center"/>
                </w:tcPr>
                <w:p w14:paraId="162DCACE">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产业类型</w:t>
                  </w:r>
                </w:p>
              </w:tc>
              <w:tc>
                <w:tcPr>
                  <w:tcW w:w="2730" w:type="dxa"/>
                  <w:vAlign w:val="center"/>
                </w:tcPr>
                <w:p w14:paraId="73D700FC">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行业清单</w:t>
                  </w:r>
                </w:p>
              </w:tc>
              <w:tc>
                <w:tcPr>
                  <w:tcW w:w="1425" w:type="dxa"/>
                  <w:vMerge w:val="continue"/>
                  <w:vAlign w:val="center"/>
                </w:tcPr>
                <w:p w14:paraId="2549CB33">
                  <w:pPr>
                    <w:adjustRightInd w:val="0"/>
                    <w:snapToGrid w:val="0"/>
                    <w:jc w:val="center"/>
                    <w:rPr>
                      <w:rFonts w:hint="eastAsia" w:hAnsi="宋体"/>
                      <w:color w:val="auto"/>
                      <w:sz w:val="21"/>
                      <w:szCs w:val="21"/>
                      <w:lang w:eastAsia="zh-CN"/>
                    </w:rPr>
                  </w:pPr>
                </w:p>
              </w:tc>
              <w:tc>
                <w:tcPr>
                  <w:tcW w:w="1199" w:type="dxa"/>
                  <w:vMerge w:val="continue"/>
                  <w:vAlign w:val="center"/>
                </w:tcPr>
                <w:p w14:paraId="19BCD209">
                  <w:pPr>
                    <w:adjustRightInd w:val="0"/>
                    <w:snapToGrid w:val="0"/>
                    <w:jc w:val="center"/>
                    <w:rPr>
                      <w:rFonts w:hint="eastAsia" w:hAnsi="宋体"/>
                      <w:color w:val="auto"/>
                      <w:sz w:val="21"/>
                      <w:szCs w:val="21"/>
                      <w:lang w:eastAsia="zh-CN"/>
                    </w:rPr>
                  </w:pPr>
                </w:p>
              </w:tc>
            </w:tr>
            <w:tr w14:paraId="4EAD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restart"/>
                  <w:vAlign w:val="center"/>
                </w:tcPr>
                <w:p w14:paraId="3DE716F1">
                  <w:pPr>
                    <w:adjustRightInd w:val="0"/>
                    <w:snapToGrid w:val="0"/>
                    <w:jc w:val="center"/>
                    <w:rPr>
                      <w:rFonts w:hint="eastAsia" w:eastAsia="宋体"/>
                      <w:color w:val="auto"/>
                      <w:sz w:val="21"/>
                      <w:szCs w:val="21"/>
                      <w:lang w:eastAsia="zh-CN"/>
                    </w:rPr>
                  </w:pPr>
                  <w:r>
                    <w:rPr>
                      <w:rFonts w:hint="eastAsia" w:hAnsi="宋体"/>
                      <w:color w:val="auto"/>
                      <w:sz w:val="21"/>
                      <w:szCs w:val="21"/>
                      <w:lang w:eastAsia="zh-CN"/>
                    </w:rPr>
                    <w:t>正面清单</w:t>
                  </w:r>
                </w:p>
              </w:tc>
              <w:tc>
                <w:tcPr>
                  <w:tcW w:w="450" w:type="dxa"/>
                  <w:vMerge w:val="restart"/>
                  <w:vAlign w:val="center"/>
                </w:tcPr>
                <w:p w14:paraId="7C509CAF">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允许类</w:t>
                  </w:r>
                </w:p>
              </w:tc>
              <w:tc>
                <w:tcPr>
                  <w:tcW w:w="885" w:type="dxa"/>
                  <w:vMerge w:val="restart"/>
                  <w:vAlign w:val="center"/>
                </w:tcPr>
                <w:p w14:paraId="09168F8B">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装备制造</w:t>
                  </w:r>
                </w:p>
              </w:tc>
              <w:tc>
                <w:tcPr>
                  <w:tcW w:w="2730" w:type="dxa"/>
                  <w:vAlign w:val="center"/>
                </w:tcPr>
                <w:p w14:paraId="73C5929C">
                  <w:pPr>
                    <w:adjustRightInd w:val="0"/>
                    <w:snapToGrid w:val="0"/>
                    <w:jc w:val="center"/>
                    <w:rPr>
                      <w:rFonts w:hint="eastAsia" w:hAnsi="宋体"/>
                      <w:color w:val="auto"/>
                      <w:sz w:val="21"/>
                      <w:szCs w:val="21"/>
                    </w:rPr>
                  </w:pPr>
                  <w:r>
                    <w:rPr>
                      <w:rFonts w:hint="eastAsia"/>
                      <w:color w:val="auto"/>
                      <w:sz w:val="21"/>
                      <w:szCs w:val="21"/>
                      <w:lang w:val="en-US" w:eastAsia="zh-CN"/>
                    </w:rPr>
                    <w:t>33金属制品业</w:t>
                  </w:r>
                </w:p>
              </w:tc>
              <w:tc>
                <w:tcPr>
                  <w:tcW w:w="1425" w:type="dxa"/>
                  <w:vAlign w:val="center"/>
                </w:tcPr>
                <w:p w14:paraId="0594BCFC">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restart"/>
                  <w:vAlign w:val="center"/>
                </w:tcPr>
                <w:p w14:paraId="3C1B7A5F">
                  <w:pPr>
                    <w:adjustRightInd w:val="0"/>
                    <w:snapToGrid w:val="0"/>
                    <w:jc w:val="center"/>
                    <w:rPr>
                      <w:rFonts w:hint="default" w:hAnsi="宋体"/>
                      <w:color w:val="auto"/>
                      <w:sz w:val="21"/>
                      <w:szCs w:val="21"/>
                      <w:lang w:val="en-US" w:eastAsia="zh-CN"/>
                    </w:rPr>
                  </w:pPr>
                  <w:r>
                    <w:rPr>
                      <w:rFonts w:hint="eastAsia" w:hAnsi="宋体"/>
                      <w:color w:val="auto"/>
                      <w:sz w:val="21"/>
                      <w:szCs w:val="21"/>
                      <w:lang w:eastAsia="zh-CN"/>
                    </w:rPr>
                    <w:t>本项目属于</w:t>
                  </w:r>
                  <w:r>
                    <w:rPr>
                      <w:rFonts w:hint="eastAsia" w:hAnsi="宋体"/>
                      <w:color w:val="auto"/>
                      <w:sz w:val="21"/>
                      <w:szCs w:val="21"/>
                      <w:lang w:val="en-US" w:eastAsia="zh-CN"/>
                    </w:rPr>
                    <w:t>C3985电子专用材料制造，属于园区允许类装备制造产业</w:t>
                  </w:r>
                </w:p>
              </w:tc>
            </w:tr>
            <w:tr w14:paraId="157A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04098028">
                  <w:pPr>
                    <w:adjustRightInd w:val="0"/>
                    <w:snapToGrid w:val="0"/>
                    <w:jc w:val="center"/>
                    <w:rPr>
                      <w:rFonts w:hint="eastAsia" w:hAnsi="宋体"/>
                      <w:color w:val="auto"/>
                      <w:sz w:val="21"/>
                      <w:szCs w:val="21"/>
                      <w:lang w:eastAsia="zh-CN"/>
                    </w:rPr>
                  </w:pPr>
                </w:p>
              </w:tc>
              <w:tc>
                <w:tcPr>
                  <w:tcW w:w="450" w:type="dxa"/>
                  <w:vMerge w:val="continue"/>
                  <w:vAlign w:val="center"/>
                </w:tcPr>
                <w:p w14:paraId="682ECC89">
                  <w:pPr>
                    <w:adjustRightInd w:val="0"/>
                    <w:snapToGrid w:val="0"/>
                    <w:jc w:val="center"/>
                    <w:rPr>
                      <w:rFonts w:hint="eastAsia" w:hAnsi="宋体"/>
                      <w:color w:val="auto"/>
                      <w:sz w:val="21"/>
                      <w:szCs w:val="21"/>
                    </w:rPr>
                  </w:pPr>
                </w:p>
              </w:tc>
              <w:tc>
                <w:tcPr>
                  <w:tcW w:w="885" w:type="dxa"/>
                  <w:vMerge w:val="continue"/>
                  <w:vAlign w:val="center"/>
                </w:tcPr>
                <w:p w14:paraId="76FCC717">
                  <w:pPr>
                    <w:adjustRightInd w:val="0"/>
                    <w:snapToGrid w:val="0"/>
                    <w:jc w:val="center"/>
                    <w:rPr>
                      <w:rFonts w:hint="eastAsia" w:hAnsi="宋体"/>
                      <w:color w:val="auto"/>
                      <w:sz w:val="21"/>
                      <w:szCs w:val="21"/>
                    </w:rPr>
                  </w:pPr>
                </w:p>
              </w:tc>
              <w:tc>
                <w:tcPr>
                  <w:tcW w:w="2730" w:type="dxa"/>
                  <w:vAlign w:val="center"/>
                </w:tcPr>
                <w:p w14:paraId="0076C7A9">
                  <w:pPr>
                    <w:adjustRightInd w:val="0"/>
                    <w:snapToGrid w:val="0"/>
                    <w:jc w:val="center"/>
                    <w:rPr>
                      <w:rFonts w:hint="eastAsia" w:hAnsi="宋体"/>
                      <w:color w:val="auto"/>
                      <w:sz w:val="21"/>
                      <w:szCs w:val="21"/>
                    </w:rPr>
                  </w:pPr>
                  <w:r>
                    <w:rPr>
                      <w:rFonts w:hint="eastAsia"/>
                      <w:color w:val="auto"/>
                      <w:sz w:val="21"/>
                      <w:szCs w:val="21"/>
                      <w:lang w:val="en-US" w:eastAsia="zh-CN"/>
                    </w:rPr>
                    <w:t>34通用设备制造业</w:t>
                  </w:r>
                </w:p>
              </w:tc>
              <w:tc>
                <w:tcPr>
                  <w:tcW w:w="1425" w:type="dxa"/>
                  <w:vAlign w:val="center"/>
                </w:tcPr>
                <w:p w14:paraId="3C717BFE">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62ECDE8F">
                  <w:pPr>
                    <w:adjustRightInd w:val="0"/>
                    <w:snapToGrid w:val="0"/>
                    <w:jc w:val="center"/>
                    <w:rPr>
                      <w:rFonts w:hint="eastAsia" w:hAnsi="宋体"/>
                      <w:color w:val="auto"/>
                      <w:sz w:val="21"/>
                      <w:szCs w:val="21"/>
                      <w:lang w:eastAsia="zh-CN"/>
                    </w:rPr>
                  </w:pPr>
                </w:p>
              </w:tc>
            </w:tr>
            <w:tr w14:paraId="5A12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19EC0F41">
                  <w:pPr>
                    <w:adjustRightInd w:val="0"/>
                    <w:snapToGrid w:val="0"/>
                    <w:jc w:val="center"/>
                    <w:rPr>
                      <w:rFonts w:hint="eastAsia" w:hAnsi="宋体"/>
                      <w:color w:val="auto"/>
                      <w:sz w:val="21"/>
                      <w:szCs w:val="21"/>
                      <w:lang w:eastAsia="zh-CN"/>
                    </w:rPr>
                  </w:pPr>
                </w:p>
              </w:tc>
              <w:tc>
                <w:tcPr>
                  <w:tcW w:w="450" w:type="dxa"/>
                  <w:vMerge w:val="continue"/>
                  <w:vAlign w:val="center"/>
                </w:tcPr>
                <w:p w14:paraId="2D6C666C">
                  <w:pPr>
                    <w:adjustRightInd w:val="0"/>
                    <w:snapToGrid w:val="0"/>
                    <w:jc w:val="center"/>
                    <w:rPr>
                      <w:rFonts w:hint="eastAsia" w:hAnsi="宋体"/>
                      <w:color w:val="auto"/>
                      <w:sz w:val="21"/>
                      <w:szCs w:val="21"/>
                    </w:rPr>
                  </w:pPr>
                </w:p>
              </w:tc>
              <w:tc>
                <w:tcPr>
                  <w:tcW w:w="885" w:type="dxa"/>
                  <w:vMerge w:val="continue"/>
                  <w:vAlign w:val="center"/>
                </w:tcPr>
                <w:p w14:paraId="01E87E28">
                  <w:pPr>
                    <w:adjustRightInd w:val="0"/>
                    <w:snapToGrid w:val="0"/>
                    <w:jc w:val="center"/>
                    <w:rPr>
                      <w:rFonts w:hint="eastAsia" w:hAnsi="宋体"/>
                      <w:color w:val="auto"/>
                      <w:sz w:val="21"/>
                      <w:szCs w:val="21"/>
                    </w:rPr>
                  </w:pPr>
                </w:p>
              </w:tc>
              <w:tc>
                <w:tcPr>
                  <w:tcW w:w="2730" w:type="dxa"/>
                  <w:vAlign w:val="center"/>
                </w:tcPr>
                <w:p w14:paraId="6F124FD4">
                  <w:pPr>
                    <w:adjustRightInd w:val="0"/>
                    <w:snapToGrid w:val="0"/>
                    <w:jc w:val="center"/>
                    <w:rPr>
                      <w:rFonts w:hint="eastAsia" w:hAnsi="宋体"/>
                      <w:color w:val="auto"/>
                      <w:sz w:val="21"/>
                      <w:szCs w:val="21"/>
                    </w:rPr>
                  </w:pPr>
                  <w:r>
                    <w:rPr>
                      <w:rFonts w:hint="eastAsia"/>
                      <w:color w:val="auto"/>
                      <w:sz w:val="21"/>
                      <w:szCs w:val="21"/>
                      <w:lang w:val="en-US" w:eastAsia="zh-CN"/>
                    </w:rPr>
                    <w:t>35专用设备制造业</w:t>
                  </w:r>
                </w:p>
              </w:tc>
              <w:tc>
                <w:tcPr>
                  <w:tcW w:w="1425" w:type="dxa"/>
                  <w:vAlign w:val="center"/>
                </w:tcPr>
                <w:p w14:paraId="3221CF00">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229C3ADF">
                  <w:pPr>
                    <w:adjustRightInd w:val="0"/>
                    <w:snapToGrid w:val="0"/>
                    <w:jc w:val="center"/>
                    <w:rPr>
                      <w:rFonts w:hint="eastAsia" w:hAnsi="宋体"/>
                      <w:color w:val="auto"/>
                      <w:sz w:val="21"/>
                      <w:szCs w:val="21"/>
                      <w:lang w:eastAsia="zh-CN"/>
                    </w:rPr>
                  </w:pPr>
                </w:p>
              </w:tc>
            </w:tr>
            <w:tr w14:paraId="43ED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143D147">
                  <w:pPr>
                    <w:adjustRightInd w:val="0"/>
                    <w:snapToGrid w:val="0"/>
                    <w:jc w:val="center"/>
                    <w:rPr>
                      <w:rFonts w:hint="eastAsia" w:hAnsi="宋体"/>
                      <w:color w:val="auto"/>
                      <w:sz w:val="21"/>
                      <w:szCs w:val="21"/>
                      <w:lang w:eastAsia="zh-CN"/>
                    </w:rPr>
                  </w:pPr>
                </w:p>
              </w:tc>
              <w:tc>
                <w:tcPr>
                  <w:tcW w:w="450" w:type="dxa"/>
                  <w:vMerge w:val="continue"/>
                  <w:vAlign w:val="center"/>
                </w:tcPr>
                <w:p w14:paraId="3D6B4755">
                  <w:pPr>
                    <w:adjustRightInd w:val="0"/>
                    <w:snapToGrid w:val="0"/>
                    <w:jc w:val="center"/>
                    <w:rPr>
                      <w:rFonts w:hint="eastAsia" w:hAnsi="宋体"/>
                      <w:color w:val="auto"/>
                      <w:sz w:val="21"/>
                      <w:szCs w:val="21"/>
                    </w:rPr>
                  </w:pPr>
                </w:p>
              </w:tc>
              <w:tc>
                <w:tcPr>
                  <w:tcW w:w="885" w:type="dxa"/>
                  <w:vMerge w:val="continue"/>
                  <w:vAlign w:val="center"/>
                </w:tcPr>
                <w:p w14:paraId="472DB553">
                  <w:pPr>
                    <w:adjustRightInd w:val="0"/>
                    <w:snapToGrid w:val="0"/>
                    <w:jc w:val="center"/>
                    <w:rPr>
                      <w:rFonts w:hint="eastAsia" w:hAnsi="宋体"/>
                      <w:color w:val="auto"/>
                      <w:sz w:val="21"/>
                      <w:szCs w:val="21"/>
                    </w:rPr>
                  </w:pPr>
                </w:p>
              </w:tc>
              <w:tc>
                <w:tcPr>
                  <w:tcW w:w="2730" w:type="dxa"/>
                  <w:vAlign w:val="center"/>
                </w:tcPr>
                <w:p w14:paraId="6C570087">
                  <w:pPr>
                    <w:adjustRightInd w:val="0"/>
                    <w:snapToGrid w:val="0"/>
                    <w:jc w:val="center"/>
                    <w:rPr>
                      <w:rFonts w:hint="eastAsia" w:hAnsi="宋体"/>
                      <w:color w:val="auto"/>
                      <w:sz w:val="21"/>
                      <w:szCs w:val="21"/>
                    </w:rPr>
                  </w:pPr>
                  <w:r>
                    <w:rPr>
                      <w:rFonts w:hint="eastAsia"/>
                      <w:color w:val="auto"/>
                      <w:sz w:val="21"/>
                      <w:szCs w:val="21"/>
                      <w:lang w:val="en-US" w:eastAsia="zh-CN"/>
                    </w:rPr>
                    <w:t>36汽车制造业</w:t>
                  </w:r>
                </w:p>
              </w:tc>
              <w:tc>
                <w:tcPr>
                  <w:tcW w:w="1425" w:type="dxa"/>
                  <w:vAlign w:val="center"/>
                </w:tcPr>
                <w:p w14:paraId="4B32928B">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6EC052D8">
                  <w:pPr>
                    <w:adjustRightInd w:val="0"/>
                    <w:snapToGrid w:val="0"/>
                    <w:jc w:val="center"/>
                    <w:rPr>
                      <w:rFonts w:hint="eastAsia" w:hAnsi="宋体"/>
                      <w:color w:val="auto"/>
                      <w:sz w:val="21"/>
                      <w:szCs w:val="21"/>
                      <w:lang w:eastAsia="zh-CN"/>
                    </w:rPr>
                  </w:pPr>
                </w:p>
              </w:tc>
            </w:tr>
            <w:tr w14:paraId="6C07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D5D4725">
                  <w:pPr>
                    <w:adjustRightInd w:val="0"/>
                    <w:snapToGrid w:val="0"/>
                    <w:jc w:val="center"/>
                    <w:rPr>
                      <w:rFonts w:hint="eastAsia" w:hAnsi="宋体"/>
                      <w:color w:val="auto"/>
                      <w:sz w:val="21"/>
                      <w:szCs w:val="21"/>
                      <w:lang w:eastAsia="zh-CN"/>
                    </w:rPr>
                  </w:pPr>
                </w:p>
              </w:tc>
              <w:tc>
                <w:tcPr>
                  <w:tcW w:w="450" w:type="dxa"/>
                  <w:vMerge w:val="continue"/>
                  <w:vAlign w:val="center"/>
                </w:tcPr>
                <w:p w14:paraId="69F9C974">
                  <w:pPr>
                    <w:adjustRightInd w:val="0"/>
                    <w:snapToGrid w:val="0"/>
                    <w:jc w:val="center"/>
                    <w:rPr>
                      <w:rFonts w:hint="eastAsia" w:hAnsi="宋体"/>
                      <w:color w:val="auto"/>
                      <w:sz w:val="21"/>
                      <w:szCs w:val="21"/>
                    </w:rPr>
                  </w:pPr>
                </w:p>
              </w:tc>
              <w:tc>
                <w:tcPr>
                  <w:tcW w:w="885" w:type="dxa"/>
                  <w:vMerge w:val="continue"/>
                  <w:vAlign w:val="center"/>
                </w:tcPr>
                <w:p w14:paraId="70221D6D">
                  <w:pPr>
                    <w:adjustRightInd w:val="0"/>
                    <w:snapToGrid w:val="0"/>
                    <w:jc w:val="center"/>
                    <w:rPr>
                      <w:rFonts w:hint="eastAsia" w:hAnsi="宋体"/>
                      <w:color w:val="auto"/>
                      <w:sz w:val="21"/>
                      <w:szCs w:val="21"/>
                    </w:rPr>
                  </w:pPr>
                </w:p>
              </w:tc>
              <w:tc>
                <w:tcPr>
                  <w:tcW w:w="2730" w:type="dxa"/>
                  <w:vAlign w:val="center"/>
                </w:tcPr>
                <w:p w14:paraId="6F9818DD">
                  <w:pPr>
                    <w:adjustRightInd w:val="0"/>
                    <w:snapToGrid w:val="0"/>
                    <w:jc w:val="center"/>
                    <w:rPr>
                      <w:rFonts w:hint="eastAsia" w:hAnsi="宋体"/>
                      <w:color w:val="auto"/>
                      <w:sz w:val="21"/>
                      <w:szCs w:val="21"/>
                    </w:rPr>
                  </w:pPr>
                  <w:r>
                    <w:rPr>
                      <w:rFonts w:hint="eastAsia"/>
                      <w:color w:val="auto"/>
                      <w:sz w:val="21"/>
                      <w:szCs w:val="21"/>
                      <w:lang w:val="en-US" w:eastAsia="zh-CN"/>
                    </w:rPr>
                    <w:t>37铁路、传播、航空航天和其他运输设备制造业</w:t>
                  </w:r>
                </w:p>
              </w:tc>
              <w:tc>
                <w:tcPr>
                  <w:tcW w:w="1425" w:type="dxa"/>
                  <w:vAlign w:val="center"/>
                </w:tcPr>
                <w:p w14:paraId="3ECA3991">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2EF0A11C">
                  <w:pPr>
                    <w:adjustRightInd w:val="0"/>
                    <w:snapToGrid w:val="0"/>
                    <w:jc w:val="center"/>
                    <w:rPr>
                      <w:rFonts w:hint="eastAsia" w:hAnsi="宋体"/>
                      <w:color w:val="auto"/>
                      <w:sz w:val="21"/>
                      <w:szCs w:val="21"/>
                      <w:lang w:eastAsia="zh-CN"/>
                    </w:rPr>
                  </w:pPr>
                </w:p>
              </w:tc>
            </w:tr>
            <w:tr w14:paraId="24F6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0CECEA5">
                  <w:pPr>
                    <w:adjustRightInd w:val="0"/>
                    <w:snapToGrid w:val="0"/>
                    <w:jc w:val="center"/>
                    <w:rPr>
                      <w:rFonts w:hint="eastAsia" w:hAnsi="宋体"/>
                      <w:color w:val="auto"/>
                      <w:sz w:val="21"/>
                      <w:szCs w:val="21"/>
                      <w:lang w:eastAsia="zh-CN"/>
                    </w:rPr>
                  </w:pPr>
                </w:p>
              </w:tc>
              <w:tc>
                <w:tcPr>
                  <w:tcW w:w="450" w:type="dxa"/>
                  <w:vMerge w:val="continue"/>
                  <w:vAlign w:val="center"/>
                </w:tcPr>
                <w:p w14:paraId="7A5FB8A6">
                  <w:pPr>
                    <w:adjustRightInd w:val="0"/>
                    <w:snapToGrid w:val="0"/>
                    <w:jc w:val="center"/>
                    <w:rPr>
                      <w:rFonts w:hint="eastAsia" w:hAnsi="宋体"/>
                      <w:color w:val="auto"/>
                      <w:sz w:val="21"/>
                      <w:szCs w:val="21"/>
                    </w:rPr>
                  </w:pPr>
                </w:p>
              </w:tc>
              <w:tc>
                <w:tcPr>
                  <w:tcW w:w="885" w:type="dxa"/>
                  <w:vMerge w:val="continue"/>
                  <w:vAlign w:val="center"/>
                </w:tcPr>
                <w:p w14:paraId="495E59FD">
                  <w:pPr>
                    <w:adjustRightInd w:val="0"/>
                    <w:snapToGrid w:val="0"/>
                    <w:jc w:val="center"/>
                    <w:rPr>
                      <w:rFonts w:hint="eastAsia" w:hAnsi="宋体"/>
                      <w:color w:val="auto"/>
                      <w:sz w:val="21"/>
                      <w:szCs w:val="21"/>
                    </w:rPr>
                  </w:pPr>
                </w:p>
              </w:tc>
              <w:tc>
                <w:tcPr>
                  <w:tcW w:w="2730" w:type="dxa"/>
                  <w:vAlign w:val="center"/>
                </w:tcPr>
                <w:p w14:paraId="68201900">
                  <w:pPr>
                    <w:adjustRightInd w:val="0"/>
                    <w:snapToGrid w:val="0"/>
                    <w:jc w:val="center"/>
                    <w:rPr>
                      <w:rFonts w:hint="eastAsia" w:hAnsi="宋体"/>
                      <w:color w:val="auto"/>
                      <w:sz w:val="21"/>
                      <w:szCs w:val="21"/>
                    </w:rPr>
                  </w:pPr>
                  <w:r>
                    <w:rPr>
                      <w:rFonts w:hint="eastAsia"/>
                      <w:color w:val="auto"/>
                      <w:sz w:val="21"/>
                      <w:szCs w:val="21"/>
                      <w:lang w:val="en-US" w:eastAsia="zh-CN"/>
                    </w:rPr>
                    <w:t>38电气机械和器材制造业</w:t>
                  </w:r>
                </w:p>
              </w:tc>
              <w:tc>
                <w:tcPr>
                  <w:tcW w:w="1425" w:type="dxa"/>
                  <w:vAlign w:val="center"/>
                </w:tcPr>
                <w:p w14:paraId="63F06B39">
                  <w:pPr>
                    <w:keepNext w:val="0"/>
                    <w:keepLines w:val="0"/>
                    <w:widowControl/>
                    <w:suppressLineNumbers w:val="0"/>
                    <w:jc w:val="center"/>
                    <w:rPr>
                      <w:rFonts w:hint="eastAsia" w:hAnsi="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6CFAC1B8">
                  <w:pPr>
                    <w:adjustRightInd w:val="0"/>
                    <w:snapToGrid w:val="0"/>
                    <w:jc w:val="center"/>
                    <w:rPr>
                      <w:rFonts w:hint="eastAsia" w:hAnsi="宋体"/>
                      <w:color w:val="auto"/>
                      <w:sz w:val="21"/>
                      <w:szCs w:val="21"/>
                      <w:lang w:eastAsia="zh-CN"/>
                    </w:rPr>
                  </w:pPr>
                </w:p>
              </w:tc>
            </w:tr>
            <w:tr w14:paraId="0473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44118EDA">
                  <w:pPr>
                    <w:adjustRightInd w:val="0"/>
                    <w:snapToGrid w:val="0"/>
                    <w:jc w:val="center"/>
                    <w:rPr>
                      <w:rFonts w:hint="eastAsia" w:eastAsia="宋体"/>
                      <w:color w:val="auto"/>
                      <w:sz w:val="21"/>
                      <w:szCs w:val="21"/>
                      <w:lang w:eastAsia="zh-CN"/>
                    </w:rPr>
                  </w:pPr>
                </w:p>
              </w:tc>
              <w:tc>
                <w:tcPr>
                  <w:tcW w:w="450" w:type="dxa"/>
                  <w:vMerge w:val="continue"/>
                  <w:vAlign w:val="center"/>
                </w:tcPr>
                <w:p w14:paraId="0345DA28">
                  <w:pPr>
                    <w:keepNext w:val="0"/>
                    <w:keepLines w:val="0"/>
                    <w:widowControl/>
                    <w:suppressLineNumbers w:val="0"/>
                    <w:jc w:val="center"/>
                    <w:rPr>
                      <w:color w:val="auto"/>
                      <w:sz w:val="21"/>
                      <w:szCs w:val="21"/>
                    </w:rPr>
                  </w:pPr>
                </w:p>
              </w:tc>
              <w:tc>
                <w:tcPr>
                  <w:tcW w:w="885" w:type="dxa"/>
                  <w:vMerge w:val="continue"/>
                  <w:vAlign w:val="center"/>
                </w:tcPr>
                <w:p w14:paraId="414BFD02">
                  <w:pPr>
                    <w:keepNext w:val="0"/>
                    <w:keepLines w:val="0"/>
                    <w:widowControl/>
                    <w:suppressLineNumbers w:val="0"/>
                    <w:jc w:val="center"/>
                    <w:rPr>
                      <w:color w:val="auto"/>
                      <w:sz w:val="21"/>
                      <w:szCs w:val="21"/>
                    </w:rPr>
                  </w:pPr>
                </w:p>
              </w:tc>
              <w:tc>
                <w:tcPr>
                  <w:tcW w:w="2730" w:type="dxa"/>
                  <w:vAlign w:val="center"/>
                </w:tcPr>
                <w:p w14:paraId="55B65562">
                  <w:pPr>
                    <w:keepNext w:val="0"/>
                    <w:keepLines w:val="0"/>
                    <w:widowControl/>
                    <w:suppressLineNumbers w:val="0"/>
                    <w:jc w:val="center"/>
                    <w:rPr>
                      <w:rFonts w:hint="default" w:eastAsia="宋体"/>
                      <w:color w:val="auto"/>
                      <w:sz w:val="21"/>
                      <w:szCs w:val="21"/>
                      <w:lang w:val="en-US" w:eastAsia="zh-CN"/>
                    </w:rPr>
                  </w:pPr>
                  <w:r>
                    <w:rPr>
                      <w:rFonts w:hint="eastAsia"/>
                      <w:color w:val="auto"/>
                      <w:sz w:val="21"/>
                      <w:szCs w:val="21"/>
                      <w:lang w:val="en-US" w:eastAsia="zh-CN"/>
                    </w:rPr>
                    <w:t>39计算机、通信和其他电子设备制造业</w:t>
                  </w:r>
                </w:p>
              </w:tc>
              <w:tc>
                <w:tcPr>
                  <w:tcW w:w="1425" w:type="dxa"/>
                  <w:vAlign w:val="center"/>
                </w:tcPr>
                <w:p w14:paraId="17A7505C">
                  <w:pPr>
                    <w:keepNext w:val="0"/>
                    <w:keepLines w:val="0"/>
                    <w:widowControl/>
                    <w:suppressLineNumbers w:val="0"/>
                    <w:jc w:val="center"/>
                    <w:rPr>
                      <w:rFonts w:hAnsi="宋体"/>
                      <w:color w:val="auto"/>
                      <w:sz w:val="21"/>
                      <w:szCs w:val="21"/>
                    </w:rPr>
                  </w:pPr>
                  <w:r>
                    <w:rPr>
                      <w:rFonts w:hint="eastAsia"/>
                      <w:color w:val="auto"/>
                      <w:sz w:val="21"/>
                      <w:szCs w:val="21"/>
                      <w:lang w:val="en-US" w:eastAsia="zh-CN"/>
                    </w:rPr>
                    <w:t>/</w:t>
                  </w:r>
                </w:p>
              </w:tc>
              <w:tc>
                <w:tcPr>
                  <w:tcW w:w="1199" w:type="dxa"/>
                  <w:vMerge w:val="continue"/>
                  <w:vAlign w:val="center"/>
                </w:tcPr>
                <w:p w14:paraId="329FE8DE">
                  <w:pPr>
                    <w:adjustRightInd w:val="0"/>
                    <w:snapToGrid w:val="0"/>
                    <w:jc w:val="center"/>
                    <w:rPr>
                      <w:rFonts w:hAnsi="宋体"/>
                      <w:color w:val="auto"/>
                      <w:sz w:val="21"/>
                      <w:szCs w:val="21"/>
                    </w:rPr>
                  </w:pPr>
                </w:p>
              </w:tc>
            </w:tr>
            <w:tr w14:paraId="20A3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450B146">
                  <w:pPr>
                    <w:widowControl/>
                    <w:jc w:val="center"/>
                    <w:rPr>
                      <w:color w:val="auto"/>
                      <w:sz w:val="21"/>
                      <w:szCs w:val="21"/>
                    </w:rPr>
                  </w:pPr>
                </w:p>
              </w:tc>
              <w:tc>
                <w:tcPr>
                  <w:tcW w:w="450" w:type="dxa"/>
                  <w:vMerge w:val="continue"/>
                  <w:vAlign w:val="center"/>
                </w:tcPr>
                <w:p w14:paraId="34777C3E">
                  <w:pPr>
                    <w:adjustRightInd w:val="0"/>
                    <w:snapToGrid w:val="0"/>
                    <w:jc w:val="center"/>
                    <w:rPr>
                      <w:color w:val="auto"/>
                      <w:sz w:val="21"/>
                      <w:szCs w:val="21"/>
                    </w:rPr>
                  </w:pPr>
                </w:p>
              </w:tc>
              <w:tc>
                <w:tcPr>
                  <w:tcW w:w="885" w:type="dxa"/>
                  <w:vMerge w:val="restart"/>
                  <w:vAlign w:val="center"/>
                </w:tcPr>
                <w:p w14:paraId="5FAE787A">
                  <w:pPr>
                    <w:adjustRightInd w:val="0"/>
                    <w:snapToGrid w:val="0"/>
                    <w:jc w:val="center"/>
                    <w:rPr>
                      <w:rFonts w:hint="eastAsia" w:eastAsia="宋体"/>
                      <w:color w:val="auto"/>
                      <w:sz w:val="21"/>
                      <w:szCs w:val="21"/>
                      <w:lang w:eastAsia="zh-CN"/>
                    </w:rPr>
                  </w:pPr>
                  <w:r>
                    <w:rPr>
                      <w:rFonts w:hint="eastAsia"/>
                      <w:color w:val="auto"/>
                      <w:sz w:val="21"/>
                      <w:szCs w:val="21"/>
                      <w:lang w:eastAsia="zh-CN"/>
                    </w:rPr>
                    <w:t>农副产品加工</w:t>
                  </w:r>
                </w:p>
              </w:tc>
              <w:tc>
                <w:tcPr>
                  <w:tcW w:w="2730" w:type="dxa"/>
                  <w:vAlign w:val="center"/>
                </w:tcPr>
                <w:p w14:paraId="3851292C">
                  <w:pPr>
                    <w:keepNext w:val="0"/>
                    <w:keepLines w:val="0"/>
                    <w:widowControl/>
                    <w:suppressLineNumbers w:val="0"/>
                    <w:jc w:val="center"/>
                    <w:rPr>
                      <w:color w:val="auto"/>
                      <w:sz w:val="21"/>
                      <w:szCs w:val="21"/>
                    </w:rPr>
                  </w:pPr>
                  <w:r>
                    <w:rPr>
                      <w:rFonts w:hint="eastAsia" w:hAnsi="宋体"/>
                      <w:color w:val="auto"/>
                      <w:sz w:val="21"/>
                      <w:szCs w:val="21"/>
                      <w:lang w:val="en-US" w:eastAsia="zh-CN"/>
                    </w:rPr>
                    <w:t>13农副产品加工业</w:t>
                  </w:r>
                </w:p>
              </w:tc>
              <w:tc>
                <w:tcPr>
                  <w:tcW w:w="1425" w:type="dxa"/>
                  <w:vAlign w:val="center"/>
                </w:tcPr>
                <w:p w14:paraId="3C8740D0">
                  <w:pPr>
                    <w:keepNext w:val="0"/>
                    <w:keepLines w:val="0"/>
                    <w:widowControl/>
                    <w:suppressLineNumbers w:val="0"/>
                    <w:jc w:val="center"/>
                    <w:rPr>
                      <w:rFonts w:hint="eastAsia" w:hAnsi="宋体" w:eastAsia="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1268B266">
                  <w:pPr>
                    <w:adjustRightInd w:val="0"/>
                    <w:snapToGrid w:val="0"/>
                    <w:jc w:val="center"/>
                    <w:rPr>
                      <w:rFonts w:hAnsi="宋体"/>
                      <w:color w:val="auto"/>
                      <w:sz w:val="21"/>
                      <w:szCs w:val="21"/>
                    </w:rPr>
                  </w:pPr>
                </w:p>
              </w:tc>
            </w:tr>
            <w:tr w14:paraId="0B75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7DEDA5F1">
                  <w:pPr>
                    <w:widowControl/>
                    <w:jc w:val="center"/>
                    <w:rPr>
                      <w:color w:val="auto"/>
                      <w:sz w:val="21"/>
                      <w:szCs w:val="21"/>
                    </w:rPr>
                  </w:pPr>
                </w:p>
              </w:tc>
              <w:tc>
                <w:tcPr>
                  <w:tcW w:w="450" w:type="dxa"/>
                  <w:vMerge w:val="continue"/>
                  <w:vAlign w:val="center"/>
                </w:tcPr>
                <w:p w14:paraId="32E6E630">
                  <w:pPr>
                    <w:adjustRightInd w:val="0"/>
                    <w:snapToGrid w:val="0"/>
                    <w:jc w:val="center"/>
                    <w:rPr>
                      <w:color w:val="auto"/>
                      <w:sz w:val="21"/>
                      <w:szCs w:val="21"/>
                    </w:rPr>
                  </w:pPr>
                </w:p>
              </w:tc>
              <w:tc>
                <w:tcPr>
                  <w:tcW w:w="885" w:type="dxa"/>
                  <w:vMerge w:val="continue"/>
                  <w:vAlign w:val="center"/>
                </w:tcPr>
                <w:p w14:paraId="7CF61495">
                  <w:pPr>
                    <w:adjustRightInd w:val="0"/>
                    <w:snapToGrid w:val="0"/>
                    <w:jc w:val="center"/>
                    <w:rPr>
                      <w:color w:val="auto"/>
                      <w:sz w:val="21"/>
                      <w:szCs w:val="21"/>
                    </w:rPr>
                  </w:pPr>
                </w:p>
              </w:tc>
              <w:tc>
                <w:tcPr>
                  <w:tcW w:w="2730" w:type="dxa"/>
                  <w:vAlign w:val="center"/>
                </w:tcPr>
                <w:p w14:paraId="30C8CE15">
                  <w:pPr>
                    <w:keepNext w:val="0"/>
                    <w:keepLines w:val="0"/>
                    <w:widowControl/>
                    <w:suppressLineNumbers w:val="0"/>
                    <w:jc w:val="center"/>
                    <w:rPr>
                      <w:color w:val="auto"/>
                      <w:sz w:val="21"/>
                      <w:szCs w:val="21"/>
                    </w:rPr>
                  </w:pPr>
                  <w:r>
                    <w:rPr>
                      <w:rFonts w:hint="eastAsia" w:hAnsi="宋体"/>
                      <w:color w:val="auto"/>
                      <w:sz w:val="21"/>
                      <w:szCs w:val="21"/>
                      <w:lang w:val="en-US" w:eastAsia="zh-CN"/>
                    </w:rPr>
                    <w:t>14食品制造业</w:t>
                  </w:r>
                </w:p>
              </w:tc>
              <w:tc>
                <w:tcPr>
                  <w:tcW w:w="1425" w:type="dxa"/>
                  <w:vAlign w:val="center"/>
                </w:tcPr>
                <w:p w14:paraId="53AFF5EF">
                  <w:pPr>
                    <w:keepNext w:val="0"/>
                    <w:keepLines w:val="0"/>
                    <w:widowControl/>
                    <w:suppressLineNumbers w:val="0"/>
                    <w:jc w:val="center"/>
                    <w:rPr>
                      <w:rFonts w:hint="eastAsia" w:hAnsi="宋体" w:eastAsia="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58F5EBD8">
                  <w:pPr>
                    <w:adjustRightInd w:val="0"/>
                    <w:snapToGrid w:val="0"/>
                    <w:jc w:val="center"/>
                    <w:rPr>
                      <w:color w:val="auto"/>
                      <w:sz w:val="21"/>
                      <w:szCs w:val="21"/>
                    </w:rPr>
                  </w:pPr>
                </w:p>
              </w:tc>
            </w:tr>
            <w:tr w14:paraId="1C53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EE83D96">
                  <w:pPr>
                    <w:widowControl/>
                    <w:jc w:val="center"/>
                    <w:rPr>
                      <w:color w:val="auto"/>
                      <w:sz w:val="21"/>
                      <w:szCs w:val="21"/>
                    </w:rPr>
                  </w:pPr>
                </w:p>
              </w:tc>
              <w:tc>
                <w:tcPr>
                  <w:tcW w:w="450" w:type="dxa"/>
                  <w:vMerge w:val="continue"/>
                  <w:vAlign w:val="center"/>
                </w:tcPr>
                <w:p w14:paraId="1703BC74">
                  <w:pPr>
                    <w:keepNext w:val="0"/>
                    <w:keepLines w:val="0"/>
                    <w:widowControl/>
                    <w:suppressLineNumbers w:val="0"/>
                    <w:jc w:val="center"/>
                    <w:rPr>
                      <w:rFonts w:hAnsi="宋体"/>
                      <w:color w:val="auto"/>
                      <w:sz w:val="21"/>
                      <w:szCs w:val="21"/>
                    </w:rPr>
                  </w:pPr>
                </w:p>
              </w:tc>
              <w:tc>
                <w:tcPr>
                  <w:tcW w:w="885" w:type="dxa"/>
                  <w:vMerge w:val="continue"/>
                  <w:vAlign w:val="center"/>
                </w:tcPr>
                <w:p w14:paraId="4F7C84E9">
                  <w:pPr>
                    <w:keepNext w:val="0"/>
                    <w:keepLines w:val="0"/>
                    <w:widowControl/>
                    <w:suppressLineNumbers w:val="0"/>
                    <w:jc w:val="center"/>
                    <w:rPr>
                      <w:rFonts w:hAnsi="宋体"/>
                      <w:color w:val="auto"/>
                      <w:sz w:val="21"/>
                      <w:szCs w:val="21"/>
                    </w:rPr>
                  </w:pPr>
                </w:p>
              </w:tc>
              <w:tc>
                <w:tcPr>
                  <w:tcW w:w="2730" w:type="dxa"/>
                  <w:vAlign w:val="center"/>
                </w:tcPr>
                <w:p w14:paraId="7ED1B008">
                  <w:pPr>
                    <w:keepNext w:val="0"/>
                    <w:keepLines w:val="0"/>
                    <w:widowControl/>
                    <w:suppressLineNumbers w:val="0"/>
                    <w:jc w:val="center"/>
                    <w:rPr>
                      <w:rFonts w:hAnsi="宋体"/>
                      <w:color w:val="auto"/>
                      <w:sz w:val="21"/>
                      <w:szCs w:val="21"/>
                    </w:rPr>
                  </w:pPr>
                  <w:r>
                    <w:rPr>
                      <w:rFonts w:hint="eastAsia" w:hAnsi="宋体"/>
                      <w:color w:val="auto"/>
                      <w:sz w:val="21"/>
                      <w:szCs w:val="21"/>
                      <w:lang w:val="en-US" w:eastAsia="zh-CN"/>
                    </w:rPr>
                    <w:t>15酒、饮料和精制茶制造业</w:t>
                  </w:r>
                </w:p>
              </w:tc>
              <w:tc>
                <w:tcPr>
                  <w:tcW w:w="1425" w:type="dxa"/>
                  <w:vAlign w:val="center"/>
                </w:tcPr>
                <w:p w14:paraId="2ADE42D9">
                  <w:pPr>
                    <w:keepNext w:val="0"/>
                    <w:keepLines w:val="0"/>
                    <w:widowControl/>
                    <w:suppressLineNumbers w:val="0"/>
                    <w:jc w:val="center"/>
                    <w:rPr>
                      <w:rFonts w:hint="eastAsia" w:hAnsi="宋体" w:eastAsia="宋体"/>
                      <w:color w:val="auto"/>
                      <w:sz w:val="21"/>
                      <w:szCs w:val="21"/>
                      <w:lang w:eastAsia="zh-CN"/>
                    </w:rPr>
                  </w:pPr>
                  <w:r>
                    <w:rPr>
                      <w:rFonts w:hint="eastAsia"/>
                      <w:color w:val="auto"/>
                      <w:sz w:val="21"/>
                      <w:szCs w:val="21"/>
                      <w:lang w:val="en-US" w:eastAsia="zh-CN"/>
                    </w:rPr>
                    <w:t>/</w:t>
                  </w:r>
                </w:p>
              </w:tc>
              <w:tc>
                <w:tcPr>
                  <w:tcW w:w="1199" w:type="dxa"/>
                  <w:vMerge w:val="continue"/>
                  <w:vAlign w:val="center"/>
                </w:tcPr>
                <w:p w14:paraId="7B7B19D2">
                  <w:pPr>
                    <w:adjustRightInd w:val="0"/>
                    <w:snapToGrid w:val="0"/>
                    <w:jc w:val="center"/>
                    <w:rPr>
                      <w:rFonts w:hAnsi="宋体"/>
                      <w:color w:val="auto"/>
                      <w:sz w:val="21"/>
                      <w:szCs w:val="21"/>
                    </w:rPr>
                  </w:pPr>
                </w:p>
              </w:tc>
            </w:tr>
            <w:tr w14:paraId="4358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restart"/>
                  <w:vAlign w:val="center"/>
                </w:tcPr>
                <w:p w14:paraId="178511EE">
                  <w:pPr>
                    <w:adjustRightInd w:val="0"/>
                    <w:snapToGrid w:val="0"/>
                    <w:jc w:val="center"/>
                    <w:rPr>
                      <w:rFonts w:hint="eastAsia" w:eastAsia="宋体"/>
                      <w:color w:val="auto"/>
                      <w:sz w:val="21"/>
                      <w:szCs w:val="21"/>
                      <w:lang w:eastAsia="zh-CN"/>
                    </w:rPr>
                  </w:pPr>
                  <w:r>
                    <w:rPr>
                      <w:rFonts w:hint="eastAsia"/>
                      <w:color w:val="auto"/>
                      <w:sz w:val="21"/>
                      <w:szCs w:val="21"/>
                      <w:lang w:eastAsia="zh-CN"/>
                    </w:rPr>
                    <w:t>负面清单</w:t>
                  </w:r>
                </w:p>
              </w:tc>
              <w:tc>
                <w:tcPr>
                  <w:tcW w:w="450" w:type="dxa"/>
                  <w:vMerge w:val="restart"/>
                  <w:vAlign w:val="center"/>
                </w:tcPr>
                <w:p w14:paraId="7BDF9299">
                  <w:pPr>
                    <w:adjustRightInd w:val="0"/>
                    <w:snapToGrid w:val="0"/>
                    <w:jc w:val="center"/>
                    <w:rPr>
                      <w:rFonts w:hint="eastAsia" w:eastAsia="宋体"/>
                      <w:color w:val="auto"/>
                      <w:sz w:val="21"/>
                      <w:szCs w:val="21"/>
                      <w:lang w:eastAsia="zh-CN"/>
                    </w:rPr>
                  </w:pPr>
                  <w:r>
                    <w:rPr>
                      <w:rFonts w:hint="eastAsia"/>
                      <w:color w:val="auto"/>
                      <w:sz w:val="21"/>
                      <w:szCs w:val="21"/>
                      <w:lang w:eastAsia="zh-CN"/>
                    </w:rPr>
                    <w:t>禁止类</w:t>
                  </w:r>
                </w:p>
              </w:tc>
              <w:tc>
                <w:tcPr>
                  <w:tcW w:w="885" w:type="dxa"/>
                  <w:vMerge w:val="restart"/>
                  <w:vAlign w:val="center"/>
                </w:tcPr>
                <w:p w14:paraId="4CEAF965">
                  <w:pPr>
                    <w:adjustRightInd w:val="0"/>
                    <w:snapToGrid w:val="0"/>
                    <w:jc w:val="center"/>
                    <w:rPr>
                      <w:rFonts w:hint="eastAsia" w:eastAsia="宋体"/>
                      <w:color w:val="auto"/>
                      <w:sz w:val="21"/>
                      <w:szCs w:val="21"/>
                      <w:lang w:eastAsia="zh-CN"/>
                    </w:rPr>
                  </w:pPr>
                  <w:r>
                    <w:rPr>
                      <w:rFonts w:hint="eastAsia"/>
                      <w:color w:val="auto"/>
                      <w:sz w:val="21"/>
                      <w:szCs w:val="21"/>
                      <w:lang w:eastAsia="zh-CN"/>
                    </w:rPr>
                    <w:t>装备制造</w:t>
                  </w:r>
                </w:p>
              </w:tc>
              <w:tc>
                <w:tcPr>
                  <w:tcW w:w="2730" w:type="dxa"/>
                  <w:vAlign w:val="center"/>
                </w:tcPr>
                <w:p w14:paraId="29ED8D63">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33金属制品业</w:t>
                  </w:r>
                </w:p>
              </w:tc>
              <w:tc>
                <w:tcPr>
                  <w:tcW w:w="1425" w:type="dxa"/>
                  <w:vMerge w:val="restart"/>
                  <w:vAlign w:val="center"/>
                </w:tcPr>
                <w:p w14:paraId="5EF44FA6">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各类涉及铸造、锻造项目</w:t>
                  </w:r>
                </w:p>
              </w:tc>
              <w:tc>
                <w:tcPr>
                  <w:tcW w:w="1199" w:type="dxa"/>
                  <w:vMerge w:val="continue"/>
                  <w:vAlign w:val="center"/>
                </w:tcPr>
                <w:p w14:paraId="045602BE">
                  <w:pPr>
                    <w:adjustRightInd w:val="0"/>
                    <w:snapToGrid w:val="0"/>
                    <w:jc w:val="center"/>
                    <w:rPr>
                      <w:rFonts w:hint="eastAsia" w:hAnsi="宋体"/>
                      <w:color w:val="auto"/>
                      <w:sz w:val="21"/>
                      <w:szCs w:val="21"/>
                    </w:rPr>
                  </w:pPr>
                </w:p>
              </w:tc>
            </w:tr>
            <w:tr w14:paraId="48BD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12CD625B">
                  <w:pPr>
                    <w:adjustRightInd w:val="0"/>
                    <w:snapToGrid w:val="0"/>
                    <w:jc w:val="center"/>
                    <w:rPr>
                      <w:rFonts w:hint="eastAsia" w:hAnsi="宋体"/>
                      <w:color w:val="auto"/>
                      <w:sz w:val="21"/>
                      <w:szCs w:val="21"/>
                      <w:lang w:eastAsia="zh-CN"/>
                    </w:rPr>
                  </w:pPr>
                </w:p>
              </w:tc>
              <w:tc>
                <w:tcPr>
                  <w:tcW w:w="450" w:type="dxa"/>
                  <w:vMerge w:val="continue"/>
                  <w:vAlign w:val="center"/>
                </w:tcPr>
                <w:p w14:paraId="4DD48B6D">
                  <w:pPr>
                    <w:adjustRightInd w:val="0"/>
                    <w:snapToGrid w:val="0"/>
                    <w:jc w:val="center"/>
                    <w:rPr>
                      <w:rFonts w:hint="eastAsia" w:eastAsia="宋体"/>
                      <w:color w:val="auto"/>
                      <w:sz w:val="21"/>
                      <w:szCs w:val="21"/>
                      <w:lang w:eastAsia="zh-CN"/>
                    </w:rPr>
                  </w:pPr>
                </w:p>
              </w:tc>
              <w:tc>
                <w:tcPr>
                  <w:tcW w:w="885" w:type="dxa"/>
                  <w:vMerge w:val="continue"/>
                  <w:vAlign w:val="center"/>
                </w:tcPr>
                <w:p w14:paraId="0706D7D0">
                  <w:pPr>
                    <w:adjustRightInd w:val="0"/>
                    <w:snapToGrid w:val="0"/>
                    <w:jc w:val="center"/>
                    <w:rPr>
                      <w:rFonts w:hint="eastAsia" w:eastAsia="宋体"/>
                      <w:color w:val="auto"/>
                      <w:sz w:val="21"/>
                      <w:szCs w:val="21"/>
                      <w:lang w:eastAsia="zh-CN"/>
                    </w:rPr>
                  </w:pPr>
                </w:p>
              </w:tc>
              <w:tc>
                <w:tcPr>
                  <w:tcW w:w="2730" w:type="dxa"/>
                  <w:vAlign w:val="center"/>
                </w:tcPr>
                <w:p w14:paraId="2EDCE7F8">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34通用设备制造业</w:t>
                  </w:r>
                </w:p>
              </w:tc>
              <w:tc>
                <w:tcPr>
                  <w:tcW w:w="1425" w:type="dxa"/>
                  <w:vMerge w:val="continue"/>
                  <w:vAlign w:val="center"/>
                </w:tcPr>
                <w:p w14:paraId="31F898A8">
                  <w:pPr>
                    <w:adjustRightInd w:val="0"/>
                    <w:snapToGrid w:val="0"/>
                    <w:jc w:val="center"/>
                    <w:rPr>
                      <w:rFonts w:hint="eastAsia" w:hAnsi="宋体"/>
                      <w:color w:val="auto"/>
                      <w:sz w:val="21"/>
                      <w:szCs w:val="21"/>
                    </w:rPr>
                  </w:pPr>
                </w:p>
              </w:tc>
              <w:tc>
                <w:tcPr>
                  <w:tcW w:w="1199" w:type="dxa"/>
                  <w:vMerge w:val="continue"/>
                  <w:vAlign w:val="center"/>
                </w:tcPr>
                <w:p w14:paraId="6F1E26D4">
                  <w:pPr>
                    <w:adjustRightInd w:val="0"/>
                    <w:snapToGrid w:val="0"/>
                    <w:jc w:val="center"/>
                    <w:rPr>
                      <w:color w:val="auto"/>
                      <w:sz w:val="21"/>
                      <w:szCs w:val="21"/>
                    </w:rPr>
                  </w:pPr>
                </w:p>
              </w:tc>
            </w:tr>
            <w:tr w14:paraId="4E26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4542B4B1">
                  <w:pPr>
                    <w:adjustRightInd w:val="0"/>
                    <w:snapToGrid w:val="0"/>
                    <w:jc w:val="center"/>
                    <w:rPr>
                      <w:rFonts w:hint="eastAsia" w:hAnsi="宋体"/>
                      <w:color w:val="auto"/>
                      <w:sz w:val="21"/>
                      <w:szCs w:val="21"/>
                      <w:lang w:eastAsia="zh-CN"/>
                    </w:rPr>
                  </w:pPr>
                </w:p>
              </w:tc>
              <w:tc>
                <w:tcPr>
                  <w:tcW w:w="450" w:type="dxa"/>
                  <w:vMerge w:val="continue"/>
                  <w:vAlign w:val="center"/>
                </w:tcPr>
                <w:p w14:paraId="2026D8E2">
                  <w:pPr>
                    <w:adjustRightInd w:val="0"/>
                    <w:snapToGrid w:val="0"/>
                    <w:jc w:val="center"/>
                    <w:rPr>
                      <w:rFonts w:hint="eastAsia" w:eastAsia="宋体"/>
                      <w:color w:val="auto"/>
                      <w:sz w:val="21"/>
                      <w:szCs w:val="21"/>
                      <w:lang w:eastAsia="zh-CN"/>
                    </w:rPr>
                  </w:pPr>
                </w:p>
              </w:tc>
              <w:tc>
                <w:tcPr>
                  <w:tcW w:w="885" w:type="dxa"/>
                  <w:vMerge w:val="continue"/>
                  <w:vAlign w:val="center"/>
                </w:tcPr>
                <w:p w14:paraId="78DF006D">
                  <w:pPr>
                    <w:adjustRightInd w:val="0"/>
                    <w:snapToGrid w:val="0"/>
                    <w:jc w:val="center"/>
                    <w:rPr>
                      <w:rFonts w:hint="eastAsia" w:eastAsia="宋体"/>
                      <w:color w:val="auto"/>
                      <w:sz w:val="21"/>
                      <w:szCs w:val="21"/>
                      <w:lang w:eastAsia="zh-CN"/>
                    </w:rPr>
                  </w:pPr>
                </w:p>
              </w:tc>
              <w:tc>
                <w:tcPr>
                  <w:tcW w:w="2730" w:type="dxa"/>
                  <w:vAlign w:val="center"/>
                </w:tcPr>
                <w:p w14:paraId="09E67699">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35专用设备制造业</w:t>
                  </w:r>
                </w:p>
              </w:tc>
              <w:tc>
                <w:tcPr>
                  <w:tcW w:w="1425" w:type="dxa"/>
                  <w:vMerge w:val="continue"/>
                  <w:vAlign w:val="center"/>
                </w:tcPr>
                <w:p w14:paraId="3FF391CB">
                  <w:pPr>
                    <w:adjustRightInd w:val="0"/>
                    <w:snapToGrid w:val="0"/>
                    <w:jc w:val="center"/>
                    <w:rPr>
                      <w:rFonts w:hint="eastAsia" w:hAnsi="宋体"/>
                      <w:color w:val="auto"/>
                      <w:sz w:val="21"/>
                      <w:szCs w:val="21"/>
                    </w:rPr>
                  </w:pPr>
                </w:p>
              </w:tc>
              <w:tc>
                <w:tcPr>
                  <w:tcW w:w="1199" w:type="dxa"/>
                  <w:vMerge w:val="continue"/>
                  <w:vAlign w:val="center"/>
                </w:tcPr>
                <w:p w14:paraId="76AD6E73">
                  <w:pPr>
                    <w:adjustRightInd w:val="0"/>
                    <w:snapToGrid w:val="0"/>
                    <w:jc w:val="center"/>
                    <w:rPr>
                      <w:color w:val="auto"/>
                      <w:sz w:val="21"/>
                      <w:szCs w:val="21"/>
                    </w:rPr>
                  </w:pPr>
                </w:p>
              </w:tc>
            </w:tr>
            <w:tr w14:paraId="3F6C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CD8C3BA">
                  <w:pPr>
                    <w:adjustRightInd w:val="0"/>
                    <w:snapToGrid w:val="0"/>
                    <w:jc w:val="center"/>
                    <w:rPr>
                      <w:rFonts w:hint="eastAsia" w:hAnsi="宋体"/>
                      <w:color w:val="auto"/>
                      <w:sz w:val="21"/>
                      <w:szCs w:val="21"/>
                      <w:lang w:eastAsia="zh-CN"/>
                    </w:rPr>
                  </w:pPr>
                </w:p>
              </w:tc>
              <w:tc>
                <w:tcPr>
                  <w:tcW w:w="450" w:type="dxa"/>
                  <w:vMerge w:val="continue"/>
                  <w:vAlign w:val="center"/>
                </w:tcPr>
                <w:p w14:paraId="082A34AD">
                  <w:pPr>
                    <w:adjustRightInd w:val="0"/>
                    <w:snapToGrid w:val="0"/>
                    <w:jc w:val="center"/>
                    <w:rPr>
                      <w:rFonts w:hint="eastAsia" w:eastAsia="宋体"/>
                      <w:color w:val="auto"/>
                      <w:sz w:val="21"/>
                      <w:szCs w:val="21"/>
                      <w:lang w:eastAsia="zh-CN"/>
                    </w:rPr>
                  </w:pPr>
                </w:p>
              </w:tc>
              <w:tc>
                <w:tcPr>
                  <w:tcW w:w="885" w:type="dxa"/>
                  <w:vMerge w:val="continue"/>
                  <w:vAlign w:val="center"/>
                </w:tcPr>
                <w:p w14:paraId="2CBB5D1F">
                  <w:pPr>
                    <w:adjustRightInd w:val="0"/>
                    <w:snapToGrid w:val="0"/>
                    <w:jc w:val="center"/>
                    <w:rPr>
                      <w:rFonts w:hint="eastAsia" w:eastAsia="宋体"/>
                      <w:color w:val="auto"/>
                      <w:sz w:val="21"/>
                      <w:szCs w:val="21"/>
                      <w:lang w:eastAsia="zh-CN"/>
                    </w:rPr>
                  </w:pPr>
                </w:p>
              </w:tc>
              <w:tc>
                <w:tcPr>
                  <w:tcW w:w="2730" w:type="dxa"/>
                  <w:vAlign w:val="center"/>
                </w:tcPr>
                <w:p w14:paraId="62E74F20">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36汽车制造业</w:t>
                  </w:r>
                </w:p>
              </w:tc>
              <w:tc>
                <w:tcPr>
                  <w:tcW w:w="1425" w:type="dxa"/>
                  <w:vMerge w:val="continue"/>
                  <w:vAlign w:val="center"/>
                </w:tcPr>
                <w:p w14:paraId="14AAE5BD">
                  <w:pPr>
                    <w:adjustRightInd w:val="0"/>
                    <w:snapToGrid w:val="0"/>
                    <w:jc w:val="center"/>
                    <w:rPr>
                      <w:rFonts w:hint="eastAsia" w:hAnsi="宋体"/>
                      <w:color w:val="auto"/>
                      <w:sz w:val="21"/>
                      <w:szCs w:val="21"/>
                    </w:rPr>
                  </w:pPr>
                </w:p>
              </w:tc>
              <w:tc>
                <w:tcPr>
                  <w:tcW w:w="1199" w:type="dxa"/>
                  <w:vMerge w:val="continue"/>
                  <w:vAlign w:val="center"/>
                </w:tcPr>
                <w:p w14:paraId="059FC5C2">
                  <w:pPr>
                    <w:adjustRightInd w:val="0"/>
                    <w:snapToGrid w:val="0"/>
                    <w:jc w:val="center"/>
                    <w:rPr>
                      <w:color w:val="auto"/>
                      <w:sz w:val="21"/>
                      <w:szCs w:val="21"/>
                    </w:rPr>
                  </w:pPr>
                </w:p>
              </w:tc>
            </w:tr>
            <w:tr w14:paraId="7391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0E89C313">
                  <w:pPr>
                    <w:adjustRightInd w:val="0"/>
                    <w:snapToGrid w:val="0"/>
                    <w:jc w:val="center"/>
                    <w:rPr>
                      <w:rFonts w:hint="eastAsia" w:hAnsi="宋体"/>
                      <w:color w:val="auto"/>
                      <w:sz w:val="21"/>
                      <w:szCs w:val="21"/>
                      <w:lang w:eastAsia="zh-CN"/>
                    </w:rPr>
                  </w:pPr>
                </w:p>
              </w:tc>
              <w:tc>
                <w:tcPr>
                  <w:tcW w:w="450" w:type="dxa"/>
                  <w:vMerge w:val="continue"/>
                  <w:vAlign w:val="center"/>
                </w:tcPr>
                <w:p w14:paraId="19426AC4">
                  <w:pPr>
                    <w:adjustRightInd w:val="0"/>
                    <w:snapToGrid w:val="0"/>
                    <w:jc w:val="center"/>
                    <w:rPr>
                      <w:rFonts w:hint="eastAsia" w:eastAsia="宋体"/>
                      <w:color w:val="auto"/>
                      <w:sz w:val="21"/>
                      <w:szCs w:val="21"/>
                      <w:lang w:eastAsia="zh-CN"/>
                    </w:rPr>
                  </w:pPr>
                </w:p>
              </w:tc>
              <w:tc>
                <w:tcPr>
                  <w:tcW w:w="885" w:type="dxa"/>
                  <w:vMerge w:val="continue"/>
                  <w:vAlign w:val="center"/>
                </w:tcPr>
                <w:p w14:paraId="6DCE9DFB">
                  <w:pPr>
                    <w:adjustRightInd w:val="0"/>
                    <w:snapToGrid w:val="0"/>
                    <w:jc w:val="center"/>
                    <w:rPr>
                      <w:rFonts w:hint="eastAsia" w:eastAsia="宋体"/>
                      <w:color w:val="auto"/>
                      <w:sz w:val="21"/>
                      <w:szCs w:val="21"/>
                      <w:lang w:eastAsia="zh-CN"/>
                    </w:rPr>
                  </w:pPr>
                </w:p>
              </w:tc>
              <w:tc>
                <w:tcPr>
                  <w:tcW w:w="2730" w:type="dxa"/>
                  <w:vAlign w:val="center"/>
                </w:tcPr>
                <w:p w14:paraId="77F6C5CC">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37铁路、传播、航空航天和其他运输设备制造业</w:t>
                  </w:r>
                </w:p>
              </w:tc>
              <w:tc>
                <w:tcPr>
                  <w:tcW w:w="1425" w:type="dxa"/>
                  <w:vMerge w:val="continue"/>
                  <w:vAlign w:val="center"/>
                </w:tcPr>
                <w:p w14:paraId="7F913A6D">
                  <w:pPr>
                    <w:adjustRightInd w:val="0"/>
                    <w:snapToGrid w:val="0"/>
                    <w:jc w:val="center"/>
                    <w:rPr>
                      <w:rFonts w:hint="eastAsia" w:hAnsi="宋体"/>
                      <w:color w:val="auto"/>
                      <w:sz w:val="21"/>
                      <w:szCs w:val="21"/>
                    </w:rPr>
                  </w:pPr>
                </w:p>
              </w:tc>
              <w:tc>
                <w:tcPr>
                  <w:tcW w:w="1199" w:type="dxa"/>
                  <w:vMerge w:val="continue"/>
                  <w:vAlign w:val="center"/>
                </w:tcPr>
                <w:p w14:paraId="0DE94632">
                  <w:pPr>
                    <w:adjustRightInd w:val="0"/>
                    <w:snapToGrid w:val="0"/>
                    <w:jc w:val="center"/>
                    <w:rPr>
                      <w:color w:val="auto"/>
                      <w:sz w:val="21"/>
                      <w:szCs w:val="21"/>
                    </w:rPr>
                  </w:pPr>
                </w:p>
              </w:tc>
            </w:tr>
            <w:tr w14:paraId="50591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3EA40C9D">
                  <w:pPr>
                    <w:adjustRightInd w:val="0"/>
                    <w:snapToGrid w:val="0"/>
                    <w:jc w:val="center"/>
                    <w:rPr>
                      <w:rFonts w:hint="eastAsia" w:hAnsi="宋体"/>
                      <w:color w:val="auto"/>
                      <w:sz w:val="21"/>
                      <w:szCs w:val="21"/>
                      <w:lang w:eastAsia="zh-CN"/>
                    </w:rPr>
                  </w:pPr>
                </w:p>
              </w:tc>
              <w:tc>
                <w:tcPr>
                  <w:tcW w:w="450" w:type="dxa"/>
                  <w:vMerge w:val="continue"/>
                  <w:vAlign w:val="center"/>
                </w:tcPr>
                <w:p w14:paraId="734D52AF">
                  <w:pPr>
                    <w:adjustRightInd w:val="0"/>
                    <w:snapToGrid w:val="0"/>
                    <w:jc w:val="center"/>
                    <w:rPr>
                      <w:rFonts w:hint="eastAsia" w:eastAsia="宋体"/>
                      <w:color w:val="auto"/>
                      <w:sz w:val="21"/>
                      <w:szCs w:val="21"/>
                      <w:lang w:eastAsia="zh-CN"/>
                    </w:rPr>
                  </w:pPr>
                </w:p>
              </w:tc>
              <w:tc>
                <w:tcPr>
                  <w:tcW w:w="885" w:type="dxa"/>
                  <w:vMerge w:val="continue"/>
                  <w:vAlign w:val="center"/>
                </w:tcPr>
                <w:p w14:paraId="399E0AB5">
                  <w:pPr>
                    <w:adjustRightInd w:val="0"/>
                    <w:snapToGrid w:val="0"/>
                    <w:jc w:val="center"/>
                    <w:rPr>
                      <w:rFonts w:hint="eastAsia" w:eastAsia="宋体"/>
                      <w:color w:val="auto"/>
                      <w:sz w:val="21"/>
                      <w:szCs w:val="21"/>
                      <w:lang w:eastAsia="zh-CN"/>
                    </w:rPr>
                  </w:pPr>
                </w:p>
              </w:tc>
              <w:tc>
                <w:tcPr>
                  <w:tcW w:w="2730" w:type="dxa"/>
                  <w:vAlign w:val="center"/>
                </w:tcPr>
                <w:p w14:paraId="28FC152E">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38电气机械和器材制造业</w:t>
                  </w:r>
                </w:p>
              </w:tc>
              <w:tc>
                <w:tcPr>
                  <w:tcW w:w="1425" w:type="dxa"/>
                  <w:vMerge w:val="continue"/>
                  <w:vAlign w:val="center"/>
                </w:tcPr>
                <w:p w14:paraId="7E29582F">
                  <w:pPr>
                    <w:adjustRightInd w:val="0"/>
                    <w:snapToGrid w:val="0"/>
                    <w:jc w:val="center"/>
                    <w:rPr>
                      <w:rFonts w:hint="eastAsia" w:hAnsi="宋体"/>
                      <w:color w:val="auto"/>
                      <w:sz w:val="21"/>
                      <w:szCs w:val="21"/>
                    </w:rPr>
                  </w:pPr>
                </w:p>
              </w:tc>
              <w:tc>
                <w:tcPr>
                  <w:tcW w:w="1199" w:type="dxa"/>
                  <w:vMerge w:val="continue"/>
                  <w:vAlign w:val="center"/>
                </w:tcPr>
                <w:p w14:paraId="53F616B0">
                  <w:pPr>
                    <w:adjustRightInd w:val="0"/>
                    <w:snapToGrid w:val="0"/>
                    <w:jc w:val="center"/>
                    <w:rPr>
                      <w:color w:val="auto"/>
                      <w:sz w:val="21"/>
                      <w:szCs w:val="21"/>
                    </w:rPr>
                  </w:pPr>
                </w:p>
              </w:tc>
            </w:tr>
            <w:tr w14:paraId="57FF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C78665F">
                  <w:pPr>
                    <w:adjustRightInd w:val="0"/>
                    <w:snapToGrid w:val="0"/>
                    <w:jc w:val="center"/>
                    <w:rPr>
                      <w:rFonts w:hint="eastAsia" w:hAnsi="宋体"/>
                      <w:color w:val="auto"/>
                      <w:sz w:val="21"/>
                      <w:szCs w:val="21"/>
                      <w:lang w:eastAsia="zh-CN"/>
                    </w:rPr>
                  </w:pPr>
                </w:p>
              </w:tc>
              <w:tc>
                <w:tcPr>
                  <w:tcW w:w="450" w:type="dxa"/>
                  <w:vMerge w:val="continue"/>
                  <w:vAlign w:val="center"/>
                </w:tcPr>
                <w:p w14:paraId="534B6090">
                  <w:pPr>
                    <w:adjustRightInd w:val="0"/>
                    <w:snapToGrid w:val="0"/>
                    <w:jc w:val="center"/>
                    <w:rPr>
                      <w:rFonts w:hint="eastAsia" w:eastAsia="宋体"/>
                      <w:color w:val="auto"/>
                      <w:sz w:val="21"/>
                      <w:szCs w:val="21"/>
                      <w:lang w:eastAsia="zh-CN"/>
                    </w:rPr>
                  </w:pPr>
                </w:p>
              </w:tc>
              <w:tc>
                <w:tcPr>
                  <w:tcW w:w="885" w:type="dxa"/>
                  <w:vAlign w:val="center"/>
                </w:tcPr>
                <w:p w14:paraId="488FB771">
                  <w:pPr>
                    <w:adjustRightInd w:val="0"/>
                    <w:snapToGrid w:val="0"/>
                    <w:jc w:val="center"/>
                    <w:rPr>
                      <w:rFonts w:hint="eastAsia" w:eastAsia="宋体"/>
                      <w:color w:val="auto"/>
                      <w:sz w:val="21"/>
                      <w:szCs w:val="21"/>
                      <w:lang w:eastAsia="zh-CN"/>
                    </w:rPr>
                  </w:pPr>
                  <w:r>
                    <w:rPr>
                      <w:rFonts w:hint="eastAsia"/>
                      <w:color w:val="auto"/>
                      <w:sz w:val="21"/>
                      <w:szCs w:val="21"/>
                      <w:lang w:eastAsia="zh-CN"/>
                    </w:rPr>
                    <w:t>交通运输、仓储和邮政业</w:t>
                  </w:r>
                </w:p>
              </w:tc>
              <w:tc>
                <w:tcPr>
                  <w:tcW w:w="2730" w:type="dxa"/>
                  <w:vAlign w:val="center"/>
                </w:tcPr>
                <w:p w14:paraId="46995C9C">
                  <w:pPr>
                    <w:adjustRightInd w:val="0"/>
                    <w:snapToGrid w:val="0"/>
                    <w:jc w:val="center"/>
                    <w:rPr>
                      <w:rFonts w:hint="eastAsia" w:eastAsia="宋体"/>
                      <w:color w:val="auto"/>
                      <w:sz w:val="21"/>
                      <w:szCs w:val="21"/>
                      <w:lang w:eastAsia="zh-CN"/>
                    </w:rPr>
                  </w:pPr>
                  <w:r>
                    <w:rPr>
                      <w:rFonts w:hint="eastAsia"/>
                      <w:color w:val="auto"/>
                      <w:sz w:val="21"/>
                      <w:szCs w:val="21"/>
                      <w:lang w:eastAsia="zh-CN"/>
                    </w:rPr>
                    <w:t>全部</w:t>
                  </w:r>
                </w:p>
              </w:tc>
              <w:tc>
                <w:tcPr>
                  <w:tcW w:w="1425" w:type="dxa"/>
                  <w:vAlign w:val="center"/>
                </w:tcPr>
                <w:p w14:paraId="7D899923">
                  <w:pPr>
                    <w:adjustRightInd w:val="0"/>
                    <w:snapToGrid w:val="0"/>
                    <w:jc w:val="center"/>
                    <w:rPr>
                      <w:rFonts w:hint="eastAsia" w:hAnsi="宋体" w:eastAsia="宋体"/>
                      <w:color w:val="auto"/>
                      <w:sz w:val="21"/>
                      <w:szCs w:val="21"/>
                      <w:lang w:eastAsia="zh-CN"/>
                    </w:rPr>
                  </w:pPr>
                  <w:r>
                    <w:rPr>
                      <w:rFonts w:hint="eastAsia" w:hAnsi="宋体"/>
                      <w:color w:val="auto"/>
                      <w:sz w:val="21"/>
                      <w:szCs w:val="21"/>
                      <w:lang w:eastAsia="zh-CN"/>
                    </w:rPr>
                    <w:t>贮存和输送有毒、有害化学品和危险品</w:t>
                  </w:r>
                </w:p>
              </w:tc>
              <w:tc>
                <w:tcPr>
                  <w:tcW w:w="1199" w:type="dxa"/>
                  <w:vMerge w:val="continue"/>
                  <w:vAlign w:val="center"/>
                </w:tcPr>
                <w:p w14:paraId="6C90E0A5">
                  <w:pPr>
                    <w:adjustRightInd w:val="0"/>
                    <w:snapToGrid w:val="0"/>
                    <w:jc w:val="center"/>
                    <w:rPr>
                      <w:color w:val="auto"/>
                      <w:sz w:val="21"/>
                      <w:szCs w:val="21"/>
                    </w:rPr>
                  </w:pPr>
                </w:p>
              </w:tc>
            </w:tr>
            <w:tr w14:paraId="6D20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541625D9">
                  <w:pPr>
                    <w:adjustRightInd w:val="0"/>
                    <w:snapToGrid w:val="0"/>
                    <w:jc w:val="center"/>
                    <w:rPr>
                      <w:rFonts w:hint="eastAsia" w:hAnsi="宋体"/>
                      <w:color w:val="auto"/>
                      <w:sz w:val="21"/>
                      <w:szCs w:val="21"/>
                      <w:lang w:eastAsia="zh-CN"/>
                    </w:rPr>
                  </w:pPr>
                </w:p>
              </w:tc>
              <w:tc>
                <w:tcPr>
                  <w:tcW w:w="450" w:type="dxa"/>
                  <w:vMerge w:val="restart"/>
                  <w:vAlign w:val="center"/>
                </w:tcPr>
                <w:p w14:paraId="74466E38">
                  <w:pPr>
                    <w:adjustRightInd w:val="0"/>
                    <w:snapToGrid w:val="0"/>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限制类</w:t>
                  </w:r>
                </w:p>
              </w:tc>
              <w:tc>
                <w:tcPr>
                  <w:tcW w:w="885" w:type="dxa"/>
                  <w:vMerge w:val="restart"/>
                  <w:vAlign w:val="center"/>
                </w:tcPr>
                <w:p w14:paraId="2892C4AA">
                  <w:pPr>
                    <w:adjustRightInd w:val="0"/>
                    <w:snapToGrid w:val="0"/>
                    <w:jc w:val="center"/>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装备制造</w:t>
                  </w:r>
                </w:p>
              </w:tc>
              <w:tc>
                <w:tcPr>
                  <w:tcW w:w="2730" w:type="dxa"/>
                  <w:vAlign w:val="center"/>
                </w:tcPr>
                <w:p w14:paraId="7B8B83E5">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33金属制品业</w:t>
                  </w:r>
                </w:p>
              </w:tc>
              <w:tc>
                <w:tcPr>
                  <w:tcW w:w="1425" w:type="dxa"/>
                  <w:vMerge w:val="restart"/>
                  <w:vAlign w:val="center"/>
                </w:tcPr>
                <w:p w14:paraId="3613D50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严禁控制带表面处理及电镀的机械制造项目</w:t>
                  </w:r>
                </w:p>
              </w:tc>
              <w:tc>
                <w:tcPr>
                  <w:tcW w:w="1199" w:type="dxa"/>
                  <w:vMerge w:val="continue"/>
                  <w:vAlign w:val="center"/>
                </w:tcPr>
                <w:p w14:paraId="21E74568">
                  <w:pPr>
                    <w:adjustRightInd w:val="0"/>
                    <w:snapToGrid w:val="0"/>
                    <w:jc w:val="center"/>
                    <w:rPr>
                      <w:color w:val="auto"/>
                      <w:sz w:val="21"/>
                      <w:szCs w:val="21"/>
                    </w:rPr>
                  </w:pPr>
                </w:p>
              </w:tc>
            </w:tr>
            <w:tr w14:paraId="3A74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108D447A">
                  <w:pPr>
                    <w:adjustRightInd w:val="0"/>
                    <w:snapToGrid w:val="0"/>
                    <w:jc w:val="center"/>
                    <w:rPr>
                      <w:rFonts w:hint="eastAsia" w:hAnsi="宋体"/>
                      <w:color w:val="auto"/>
                      <w:sz w:val="21"/>
                      <w:szCs w:val="21"/>
                      <w:lang w:eastAsia="zh-CN"/>
                    </w:rPr>
                  </w:pPr>
                </w:p>
              </w:tc>
              <w:tc>
                <w:tcPr>
                  <w:tcW w:w="450" w:type="dxa"/>
                  <w:vMerge w:val="continue"/>
                  <w:vAlign w:val="center"/>
                </w:tcPr>
                <w:p w14:paraId="073BF293">
                  <w:pPr>
                    <w:adjustRightInd w:val="0"/>
                    <w:snapToGrid w:val="0"/>
                    <w:jc w:val="center"/>
                    <w:rPr>
                      <w:rFonts w:hint="eastAsia" w:ascii="宋体" w:hAnsi="宋体" w:eastAsia="宋体" w:cs="宋体"/>
                      <w:color w:val="auto"/>
                      <w:kern w:val="0"/>
                      <w:sz w:val="21"/>
                      <w:szCs w:val="21"/>
                      <w:lang w:val="en-US" w:eastAsia="zh-CN" w:bidi="ar"/>
                    </w:rPr>
                  </w:pPr>
                </w:p>
              </w:tc>
              <w:tc>
                <w:tcPr>
                  <w:tcW w:w="885" w:type="dxa"/>
                  <w:vMerge w:val="continue"/>
                  <w:vAlign w:val="center"/>
                </w:tcPr>
                <w:p w14:paraId="7F3748BF">
                  <w:pPr>
                    <w:adjustRightInd w:val="0"/>
                    <w:snapToGrid w:val="0"/>
                    <w:jc w:val="center"/>
                    <w:rPr>
                      <w:rFonts w:hint="eastAsia" w:ascii="宋体" w:hAnsi="宋体" w:eastAsia="宋体" w:cs="宋体"/>
                      <w:color w:val="auto"/>
                      <w:kern w:val="0"/>
                      <w:sz w:val="21"/>
                      <w:szCs w:val="21"/>
                      <w:lang w:val="en-US" w:eastAsia="zh-CN" w:bidi="ar"/>
                    </w:rPr>
                  </w:pPr>
                </w:p>
              </w:tc>
              <w:tc>
                <w:tcPr>
                  <w:tcW w:w="2730" w:type="dxa"/>
                  <w:vAlign w:val="center"/>
                </w:tcPr>
                <w:p w14:paraId="31636F9C">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34通用设备制造业</w:t>
                  </w:r>
                </w:p>
              </w:tc>
              <w:tc>
                <w:tcPr>
                  <w:tcW w:w="1425" w:type="dxa"/>
                  <w:vMerge w:val="continue"/>
                  <w:vAlign w:val="center"/>
                </w:tcPr>
                <w:p w14:paraId="2B66E2E0">
                  <w:pPr>
                    <w:adjustRightInd w:val="0"/>
                    <w:snapToGrid w:val="0"/>
                    <w:jc w:val="center"/>
                    <w:rPr>
                      <w:rFonts w:hint="default" w:ascii="Times New Roman" w:hAnsi="Times New Roman" w:eastAsia="宋体" w:cs="Times New Roman"/>
                      <w:color w:val="auto"/>
                      <w:sz w:val="21"/>
                      <w:szCs w:val="21"/>
                    </w:rPr>
                  </w:pPr>
                </w:p>
              </w:tc>
              <w:tc>
                <w:tcPr>
                  <w:tcW w:w="1199" w:type="dxa"/>
                  <w:vMerge w:val="continue"/>
                  <w:vAlign w:val="center"/>
                </w:tcPr>
                <w:p w14:paraId="49AEA221">
                  <w:pPr>
                    <w:adjustRightInd w:val="0"/>
                    <w:snapToGrid w:val="0"/>
                    <w:jc w:val="center"/>
                    <w:rPr>
                      <w:color w:val="auto"/>
                      <w:sz w:val="21"/>
                      <w:szCs w:val="21"/>
                    </w:rPr>
                  </w:pPr>
                </w:p>
              </w:tc>
            </w:tr>
            <w:tr w14:paraId="2B22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358457E8">
                  <w:pPr>
                    <w:adjustRightInd w:val="0"/>
                    <w:snapToGrid w:val="0"/>
                    <w:jc w:val="center"/>
                    <w:rPr>
                      <w:rFonts w:hint="eastAsia" w:hAnsi="宋体"/>
                      <w:color w:val="auto"/>
                      <w:sz w:val="21"/>
                      <w:szCs w:val="21"/>
                      <w:lang w:eastAsia="zh-CN"/>
                    </w:rPr>
                  </w:pPr>
                </w:p>
              </w:tc>
              <w:tc>
                <w:tcPr>
                  <w:tcW w:w="450" w:type="dxa"/>
                  <w:vMerge w:val="continue"/>
                  <w:vAlign w:val="center"/>
                </w:tcPr>
                <w:p w14:paraId="3272FE91">
                  <w:pPr>
                    <w:adjustRightInd w:val="0"/>
                    <w:snapToGrid w:val="0"/>
                    <w:jc w:val="center"/>
                    <w:rPr>
                      <w:rFonts w:hint="eastAsia" w:ascii="宋体" w:hAnsi="宋体" w:eastAsia="宋体" w:cs="宋体"/>
                      <w:color w:val="auto"/>
                      <w:kern w:val="0"/>
                      <w:sz w:val="21"/>
                      <w:szCs w:val="21"/>
                      <w:lang w:val="en-US" w:eastAsia="zh-CN" w:bidi="ar"/>
                    </w:rPr>
                  </w:pPr>
                </w:p>
              </w:tc>
              <w:tc>
                <w:tcPr>
                  <w:tcW w:w="885" w:type="dxa"/>
                  <w:vMerge w:val="continue"/>
                  <w:vAlign w:val="center"/>
                </w:tcPr>
                <w:p w14:paraId="5EDCCED0">
                  <w:pPr>
                    <w:adjustRightInd w:val="0"/>
                    <w:snapToGrid w:val="0"/>
                    <w:jc w:val="center"/>
                    <w:rPr>
                      <w:rFonts w:hint="eastAsia" w:ascii="宋体" w:hAnsi="宋体" w:eastAsia="宋体" w:cs="宋体"/>
                      <w:color w:val="auto"/>
                      <w:kern w:val="0"/>
                      <w:sz w:val="21"/>
                      <w:szCs w:val="21"/>
                      <w:lang w:val="en-US" w:eastAsia="zh-CN" w:bidi="ar"/>
                    </w:rPr>
                  </w:pPr>
                </w:p>
              </w:tc>
              <w:tc>
                <w:tcPr>
                  <w:tcW w:w="2730" w:type="dxa"/>
                  <w:vAlign w:val="center"/>
                </w:tcPr>
                <w:p w14:paraId="2D37BA03">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35专用设备制造业</w:t>
                  </w:r>
                </w:p>
              </w:tc>
              <w:tc>
                <w:tcPr>
                  <w:tcW w:w="1425" w:type="dxa"/>
                  <w:vMerge w:val="continue"/>
                  <w:vAlign w:val="center"/>
                </w:tcPr>
                <w:p w14:paraId="4F1CCF37">
                  <w:pPr>
                    <w:adjustRightInd w:val="0"/>
                    <w:snapToGrid w:val="0"/>
                    <w:jc w:val="center"/>
                    <w:rPr>
                      <w:rFonts w:hint="default" w:ascii="Times New Roman" w:hAnsi="Times New Roman" w:eastAsia="宋体" w:cs="Times New Roman"/>
                      <w:color w:val="auto"/>
                      <w:sz w:val="21"/>
                      <w:szCs w:val="21"/>
                    </w:rPr>
                  </w:pPr>
                </w:p>
              </w:tc>
              <w:tc>
                <w:tcPr>
                  <w:tcW w:w="1199" w:type="dxa"/>
                  <w:vMerge w:val="continue"/>
                  <w:vAlign w:val="center"/>
                </w:tcPr>
                <w:p w14:paraId="518203DC">
                  <w:pPr>
                    <w:adjustRightInd w:val="0"/>
                    <w:snapToGrid w:val="0"/>
                    <w:jc w:val="center"/>
                    <w:rPr>
                      <w:color w:val="auto"/>
                      <w:sz w:val="21"/>
                      <w:szCs w:val="21"/>
                    </w:rPr>
                  </w:pPr>
                </w:p>
              </w:tc>
            </w:tr>
            <w:tr w14:paraId="6921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31D5D2BD">
                  <w:pPr>
                    <w:adjustRightInd w:val="0"/>
                    <w:snapToGrid w:val="0"/>
                    <w:jc w:val="center"/>
                    <w:rPr>
                      <w:rFonts w:hint="eastAsia" w:hAnsi="宋体"/>
                      <w:color w:val="auto"/>
                      <w:sz w:val="21"/>
                      <w:szCs w:val="21"/>
                      <w:lang w:eastAsia="zh-CN"/>
                    </w:rPr>
                  </w:pPr>
                </w:p>
              </w:tc>
              <w:tc>
                <w:tcPr>
                  <w:tcW w:w="450" w:type="dxa"/>
                  <w:vMerge w:val="continue"/>
                  <w:vAlign w:val="center"/>
                </w:tcPr>
                <w:p w14:paraId="5FB39305">
                  <w:pPr>
                    <w:adjustRightInd w:val="0"/>
                    <w:snapToGrid w:val="0"/>
                    <w:jc w:val="center"/>
                    <w:rPr>
                      <w:rFonts w:hint="eastAsia" w:ascii="宋体" w:hAnsi="宋体" w:eastAsia="宋体" w:cs="宋体"/>
                      <w:color w:val="auto"/>
                      <w:kern w:val="0"/>
                      <w:sz w:val="21"/>
                      <w:szCs w:val="21"/>
                      <w:lang w:val="en-US" w:eastAsia="zh-CN" w:bidi="ar"/>
                    </w:rPr>
                  </w:pPr>
                </w:p>
              </w:tc>
              <w:tc>
                <w:tcPr>
                  <w:tcW w:w="885" w:type="dxa"/>
                  <w:vMerge w:val="continue"/>
                  <w:vAlign w:val="center"/>
                </w:tcPr>
                <w:p w14:paraId="1AA3ED74">
                  <w:pPr>
                    <w:adjustRightInd w:val="0"/>
                    <w:snapToGrid w:val="0"/>
                    <w:jc w:val="center"/>
                    <w:rPr>
                      <w:rFonts w:hint="eastAsia" w:ascii="宋体" w:hAnsi="宋体" w:eastAsia="宋体" w:cs="宋体"/>
                      <w:color w:val="auto"/>
                      <w:kern w:val="0"/>
                      <w:sz w:val="21"/>
                      <w:szCs w:val="21"/>
                      <w:lang w:val="en-US" w:eastAsia="zh-CN" w:bidi="ar"/>
                    </w:rPr>
                  </w:pPr>
                </w:p>
              </w:tc>
              <w:tc>
                <w:tcPr>
                  <w:tcW w:w="2730" w:type="dxa"/>
                  <w:vAlign w:val="center"/>
                </w:tcPr>
                <w:p w14:paraId="726A99D2">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36汽车制造业</w:t>
                  </w:r>
                </w:p>
              </w:tc>
              <w:tc>
                <w:tcPr>
                  <w:tcW w:w="1425" w:type="dxa"/>
                  <w:vMerge w:val="continue"/>
                  <w:vAlign w:val="center"/>
                </w:tcPr>
                <w:p w14:paraId="2B15591F">
                  <w:pPr>
                    <w:adjustRightInd w:val="0"/>
                    <w:snapToGrid w:val="0"/>
                    <w:jc w:val="center"/>
                    <w:rPr>
                      <w:rFonts w:hint="default" w:ascii="Times New Roman" w:hAnsi="Times New Roman" w:eastAsia="宋体" w:cs="Times New Roman"/>
                      <w:color w:val="auto"/>
                      <w:sz w:val="21"/>
                      <w:szCs w:val="21"/>
                    </w:rPr>
                  </w:pPr>
                </w:p>
              </w:tc>
              <w:tc>
                <w:tcPr>
                  <w:tcW w:w="1199" w:type="dxa"/>
                  <w:vMerge w:val="continue"/>
                  <w:vAlign w:val="center"/>
                </w:tcPr>
                <w:p w14:paraId="23E0B5CD">
                  <w:pPr>
                    <w:adjustRightInd w:val="0"/>
                    <w:snapToGrid w:val="0"/>
                    <w:jc w:val="center"/>
                    <w:rPr>
                      <w:color w:val="auto"/>
                      <w:sz w:val="21"/>
                      <w:szCs w:val="21"/>
                    </w:rPr>
                  </w:pPr>
                </w:p>
              </w:tc>
            </w:tr>
            <w:tr w14:paraId="5123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51A5AF4B">
                  <w:pPr>
                    <w:adjustRightInd w:val="0"/>
                    <w:snapToGrid w:val="0"/>
                    <w:jc w:val="center"/>
                    <w:rPr>
                      <w:rFonts w:hint="eastAsia" w:hAnsi="宋体"/>
                      <w:color w:val="auto"/>
                      <w:sz w:val="21"/>
                      <w:szCs w:val="21"/>
                      <w:lang w:eastAsia="zh-CN"/>
                    </w:rPr>
                  </w:pPr>
                </w:p>
              </w:tc>
              <w:tc>
                <w:tcPr>
                  <w:tcW w:w="450" w:type="dxa"/>
                  <w:vMerge w:val="continue"/>
                  <w:vAlign w:val="center"/>
                </w:tcPr>
                <w:p w14:paraId="0382BA02">
                  <w:pPr>
                    <w:adjustRightInd w:val="0"/>
                    <w:snapToGrid w:val="0"/>
                    <w:jc w:val="center"/>
                    <w:rPr>
                      <w:rFonts w:hint="eastAsia" w:ascii="宋体" w:hAnsi="宋体" w:eastAsia="宋体" w:cs="宋体"/>
                      <w:color w:val="auto"/>
                      <w:kern w:val="0"/>
                      <w:sz w:val="21"/>
                      <w:szCs w:val="21"/>
                      <w:lang w:val="en-US" w:eastAsia="zh-CN" w:bidi="ar"/>
                    </w:rPr>
                  </w:pPr>
                </w:p>
              </w:tc>
              <w:tc>
                <w:tcPr>
                  <w:tcW w:w="885" w:type="dxa"/>
                  <w:vMerge w:val="continue"/>
                  <w:vAlign w:val="center"/>
                </w:tcPr>
                <w:p w14:paraId="600E82E3">
                  <w:pPr>
                    <w:adjustRightInd w:val="0"/>
                    <w:snapToGrid w:val="0"/>
                    <w:jc w:val="center"/>
                    <w:rPr>
                      <w:rFonts w:hint="eastAsia" w:ascii="宋体" w:hAnsi="宋体" w:eastAsia="宋体" w:cs="宋体"/>
                      <w:color w:val="auto"/>
                      <w:kern w:val="0"/>
                      <w:sz w:val="21"/>
                      <w:szCs w:val="21"/>
                      <w:lang w:val="en-US" w:eastAsia="zh-CN" w:bidi="ar"/>
                    </w:rPr>
                  </w:pPr>
                </w:p>
              </w:tc>
              <w:tc>
                <w:tcPr>
                  <w:tcW w:w="2730" w:type="dxa"/>
                  <w:vAlign w:val="center"/>
                </w:tcPr>
                <w:p w14:paraId="46B07F7C">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37铁路、传播、航空航天和其他运输设备制造业</w:t>
                  </w:r>
                </w:p>
              </w:tc>
              <w:tc>
                <w:tcPr>
                  <w:tcW w:w="1425" w:type="dxa"/>
                  <w:vMerge w:val="continue"/>
                  <w:vAlign w:val="center"/>
                </w:tcPr>
                <w:p w14:paraId="127CCC9E">
                  <w:pPr>
                    <w:adjustRightInd w:val="0"/>
                    <w:snapToGrid w:val="0"/>
                    <w:jc w:val="center"/>
                    <w:rPr>
                      <w:rFonts w:hint="default" w:ascii="Times New Roman" w:hAnsi="Times New Roman" w:eastAsia="宋体" w:cs="Times New Roman"/>
                      <w:color w:val="auto"/>
                      <w:sz w:val="21"/>
                      <w:szCs w:val="21"/>
                    </w:rPr>
                  </w:pPr>
                </w:p>
              </w:tc>
              <w:tc>
                <w:tcPr>
                  <w:tcW w:w="1199" w:type="dxa"/>
                  <w:vMerge w:val="continue"/>
                  <w:vAlign w:val="center"/>
                </w:tcPr>
                <w:p w14:paraId="30A6DB17">
                  <w:pPr>
                    <w:adjustRightInd w:val="0"/>
                    <w:snapToGrid w:val="0"/>
                    <w:jc w:val="center"/>
                    <w:rPr>
                      <w:color w:val="auto"/>
                      <w:sz w:val="21"/>
                      <w:szCs w:val="21"/>
                    </w:rPr>
                  </w:pPr>
                </w:p>
              </w:tc>
            </w:tr>
            <w:tr w14:paraId="303B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43" w:type="dxa"/>
                  <w:vMerge w:val="continue"/>
                  <w:vAlign w:val="center"/>
                </w:tcPr>
                <w:p w14:paraId="5C14B8E3">
                  <w:pPr>
                    <w:adjustRightInd w:val="0"/>
                    <w:snapToGrid w:val="0"/>
                    <w:jc w:val="center"/>
                    <w:rPr>
                      <w:rFonts w:hint="eastAsia" w:hAnsi="宋体"/>
                      <w:color w:val="auto"/>
                      <w:sz w:val="21"/>
                      <w:szCs w:val="21"/>
                      <w:lang w:eastAsia="zh-CN"/>
                    </w:rPr>
                  </w:pPr>
                </w:p>
              </w:tc>
              <w:tc>
                <w:tcPr>
                  <w:tcW w:w="450" w:type="dxa"/>
                  <w:vMerge w:val="continue"/>
                  <w:vAlign w:val="center"/>
                </w:tcPr>
                <w:p w14:paraId="374399C1">
                  <w:pPr>
                    <w:adjustRightInd w:val="0"/>
                    <w:snapToGrid w:val="0"/>
                    <w:jc w:val="center"/>
                    <w:rPr>
                      <w:rFonts w:hint="eastAsia" w:ascii="宋体" w:hAnsi="宋体" w:eastAsia="宋体" w:cs="宋体"/>
                      <w:color w:val="auto"/>
                      <w:kern w:val="0"/>
                      <w:sz w:val="21"/>
                      <w:szCs w:val="21"/>
                      <w:lang w:val="en-US" w:eastAsia="zh-CN" w:bidi="ar"/>
                    </w:rPr>
                  </w:pPr>
                </w:p>
              </w:tc>
              <w:tc>
                <w:tcPr>
                  <w:tcW w:w="885" w:type="dxa"/>
                  <w:vMerge w:val="continue"/>
                  <w:vAlign w:val="center"/>
                </w:tcPr>
                <w:p w14:paraId="33E36CF7">
                  <w:pPr>
                    <w:adjustRightInd w:val="0"/>
                    <w:snapToGrid w:val="0"/>
                    <w:jc w:val="center"/>
                    <w:rPr>
                      <w:rFonts w:hint="eastAsia" w:ascii="宋体" w:hAnsi="宋体" w:eastAsia="宋体" w:cs="宋体"/>
                      <w:color w:val="auto"/>
                      <w:kern w:val="0"/>
                      <w:sz w:val="21"/>
                      <w:szCs w:val="21"/>
                      <w:lang w:val="en-US" w:eastAsia="zh-CN" w:bidi="ar"/>
                    </w:rPr>
                  </w:pPr>
                </w:p>
              </w:tc>
              <w:tc>
                <w:tcPr>
                  <w:tcW w:w="2730" w:type="dxa"/>
                  <w:vAlign w:val="center"/>
                </w:tcPr>
                <w:p w14:paraId="4C233AC6">
                  <w:pPr>
                    <w:adjustRightInd w:val="0"/>
                    <w:snapToGrid w:val="0"/>
                    <w:jc w:val="center"/>
                    <w:rPr>
                      <w:rFonts w:hint="eastAsia" w:ascii="宋体" w:hAnsi="宋体" w:eastAsia="宋体" w:cs="宋体"/>
                      <w:color w:val="auto"/>
                      <w:kern w:val="0"/>
                      <w:sz w:val="21"/>
                      <w:szCs w:val="21"/>
                      <w:lang w:val="en-US" w:eastAsia="zh-CN" w:bidi="ar"/>
                    </w:rPr>
                  </w:pPr>
                  <w:r>
                    <w:rPr>
                      <w:rFonts w:hint="eastAsia"/>
                      <w:color w:val="auto"/>
                      <w:sz w:val="21"/>
                      <w:szCs w:val="21"/>
                      <w:lang w:val="en-US" w:eastAsia="zh-CN"/>
                    </w:rPr>
                    <w:t>38电气机械和器材制造业</w:t>
                  </w:r>
                </w:p>
              </w:tc>
              <w:tc>
                <w:tcPr>
                  <w:tcW w:w="1425" w:type="dxa"/>
                  <w:vMerge w:val="continue"/>
                  <w:vAlign w:val="center"/>
                </w:tcPr>
                <w:p w14:paraId="1757B7F3">
                  <w:pPr>
                    <w:adjustRightInd w:val="0"/>
                    <w:snapToGrid w:val="0"/>
                    <w:jc w:val="center"/>
                    <w:rPr>
                      <w:rFonts w:hint="default" w:ascii="Times New Roman" w:hAnsi="Times New Roman" w:eastAsia="宋体" w:cs="Times New Roman"/>
                      <w:color w:val="auto"/>
                      <w:sz w:val="21"/>
                      <w:szCs w:val="21"/>
                    </w:rPr>
                  </w:pPr>
                </w:p>
              </w:tc>
              <w:tc>
                <w:tcPr>
                  <w:tcW w:w="1199" w:type="dxa"/>
                  <w:vMerge w:val="continue"/>
                  <w:vAlign w:val="center"/>
                </w:tcPr>
                <w:p w14:paraId="3DD41C4A">
                  <w:pPr>
                    <w:adjustRightInd w:val="0"/>
                    <w:snapToGrid w:val="0"/>
                    <w:jc w:val="center"/>
                    <w:rPr>
                      <w:color w:val="auto"/>
                      <w:sz w:val="21"/>
                      <w:szCs w:val="21"/>
                    </w:rPr>
                  </w:pPr>
                </w:p>
              </w:tc>
            </w:tr>
            <w:tr w14:paraId="3F6D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0FC56E3A">
                  <w:pPr>
                    <w:adjustRightInd w:val="0"/>
                    <w:snapToGrid w:val="0"/>
                    <w:jc w:val="center"/>
                    <w:rPr>
                      <w:color w:val="auto"/>
                      <w:sz w:val="21"/>
                      <w:szCs w:val="21"/>
                    </w:rPr>
                  </w:pPr>
                </w:p>
              </w:tc>
              <w:tc>
                <w:tcPr>
                  <w:tcW w:w="450" w:type="dxa"/>
                  <w:vMerge w:val="continue"/>
                  <w:vAlign w:val="center"/>
                </w:tcPr>
                <w:p w14:paraId="7C4B4B3A">
                  <w:pPr>
                    <w:keepNext w:val="0"/>
                    <w:keepLines w:val="0"/>
                    <w:widowControl/>
                    <w:suppressLineNumbers w:val="0"/>
                    <w:jc w:val="center"/>
                    <w:rPr>
                      <w:rFonts w:hAnsi="宋体"/>
                      <w:color w:val="auto"/>
                      <w:sz w:val="21"/>
                      <w:szCs w:val="21"/>
                    </w:rPr>
                  </w:pPr>
                </w:p>
              </w:tc>
              <w:tc>
                <w:tcPr>
                  <w:tcW w:w="885" w:type="dxa"/>
                  <w:vMerge w:val="restart"/>
                  <w:vAlign w:val="center"/>
                </w:tcPr>
                <w:p w14:paraId="752D50BF">
                  <w:pPr>
                    <w:keepNext w:val="0"/>
                    <w:keepLines w:val="0"/>
                    <w:widowControl/>
                    <w:suppressLineNumbers w:val="0"/>
                    <w:jc w:val="center"/>
                    <w:rPr>
                      <w:rFonts w:hint="eastAsia" w:hAnsi="宋体" w:eastAsia="宋体"/>
                      <w:color w:val="auto"/>
                      <w:sz w:val="21"/>
                      <w:szCs w:val="21"/>
                      <w:lang w:val="en-US" w:eastAsia="zh-CN"/>
                    </w:rPr>
                  </w:pPr>
                  <w:r>
                    <w:rPr>
                      <w:rFonts w:hint="eastAsia" w:hAnsi="宋体"/>
                      <w:color w:val="auto"/>
                      <w:sz w:val="21"/>
                      <w:szCs w:val="21"/>
                      <w:lang w:val="en-US" w:eastAsia="zh-CN"/>
                    </w:rPr>
                    <w:t>/</w:t>
                  </w:r>
                </w:p>
              </w:tc>
              <w:tc>
                <w:tcPr>
                  <w:tcW w:w="2730" w:type="dxa"/>
                  <w:vAlign w:val="center"/>
                </w:tcPr>
                <w:p w14:paraId="1D8FFEE8">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13农副产品加工业</w:t>
                  </w:r>
                </w:p>
              </w:tc>
              <w:tc>
                <w:tcPr>
                  <w:tcW w:w="1425" w:type="dxa"/>
                  <w:vMerge w:val="restart"/>
                  <w:vAlign w:val="center"/>
                </w:tcPr>
                <w:p w14:paraId="56AA85E1">
                  <w:pPr>
                    <w:keepNext w:val="0"/>
                    <w:keepLines w:val="0"/>
                    <w:widowControl/>
                    <w:suppressLineNumbers w:val="0"/>
                    <w:jc w:val="center"/>
                    <w:rPr>
                      <w:rFonts w:hint="eastAsia" w:eastAsia="宋体"/>
                      <w:color w:val="auto"/>
                      <w:sz w:val="21"/>
                      <w:szCs w:val="21"/>
                      <w:lang w:eastAsia="zh-CN"/>
                    </w:rPr>
                  </w:pPr>
                  <w:r>
                    <w:rPr>
                      <w:rFonts w:hint="eastAsia"/>
                      <w:color w:val="auto"/>
                      <w:sz w:val="21"/>
                      <w:szCs w:val="21"/>
                      <w:lang w:eastAsia="zh-CN"/>
                    </w:rPr>
                    <w:t>耗水量大的食品加工产业及小型酿造类、屠宰类项目</w:t>
                  </w:r>
                </w:p>
              </w:tc>
              <w:tc>
                <w:tcPr>
                  <w:tcW w:w="1199" w:type="dxa"/>
                  <w:vMerge w:val="continue"/>
                  <w:vAlign w:val="center"/>
                </w:tcPr>
                <w:p w14:paraId="521888F3">
                  <w:pPr>
                    <w:widowControl/>
                    <w:adjustRightInd w:val="0"/>
                    <w:snapToGrid w:val="0"/>
                    <w:jc w:val="center"/>
                    <w:rPr>
                      <w:color w:val="auto"/>
                      <w:sz w:val="21"/>
                      <w:szCs w:val="21"/>
                    </w:rPr>
                  </w:pPr>
                </w:p>
              </w:tc>
            </w:tr>
            <w:tr w14:paraId="1B6C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50139FA0">
                  <w:pPr>
                    <w:adjustRightInd w:val="0"/>
                    <w:snapToGrid w:val="0"/>
                    <w:jc w:val="center"/>
                    <w:rPr>
                      <w:color w:val="auto"/>
                      <w:sz w:val="21"/>
                      <w:szCs w:val="21"/>
                    </w:rPr>
                  </w:pPr>
                </w:p>
              </w:tc>
              <w:tc>
                <w:tcPr>
                  <w:tcW w:w="450" w:type="dxa"/>
                  <w:vMerge w:val="continue"/>
                  <w:vAlign w:val="center"/>
                </w:tcPr>
                <w:p w14:paraId="2D959CB6">
                  <w:pPr>
                    <w:keepNext w:val="0"/>
                    <w:keepLines w:val="0"/>
                    <w:widowControl/>
                    <w:suppressLineNumbers w:val="0"/>
                    <w:jc w:val="center"/>
                    <w:rPr>
                      <w:rFonts w:hAnsi="宋体"/>
                      <w:color w:val="auto"/>
                      <w:sz w:val="21"/>
                      <w:szCs w:val="21"/>
                    </w:rPr>
                  </w:pPr>
                </w:p>
              </w:tc>
              <w:tc>
                <w:tcPr>
                  <w:tcW w:w="885" w:type="dxa"/>
                  <w:vMerge w:val="continue"/>
                  <w:vAlign w:val="center"/>
                </w:tcPr>
                <w:p w14:paraId="15B93E0A">
                  <w:pPr>
                    <w:keepNext w:val="0"/>
                    <w:keepLines w:val="0"/>
                    <w:widowControl/>
                    <w:suppressLineNumbers w:val="0"/>
                    <w:jc w:val="center"/>
                    <w:rPr>
                      <w:rFonts w:hAnsi="宋体"/>
                      <w:color w:val="auto"/>
                      <w:sz w:val="21"/>
                      <w:szCs w:val="21"/>
                    </w:rPr>
                  </w:pPr>
                </w:p>
              </w:tc>
              <w:tc>
                <w:tcPr>
                  <w:tcW w:w="2730" w:type="dxa"/>
                  <w:vAlign w:val="center"/>
                </w:tcPr>
                <w:p w14:paraId="6D142F6D">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14食品制造业</w:t>
                  </w:r>
                </w:p>
              </w:tc>
              <w:tc>
                <w:tcPr>
                  <w:tcW w:w="1425" w:type="dxa"/>
                  <w:vMerge w:val="continue"/>
                  <w:vAlign w:val="center"/>
                </w:tcPr>
                <w:p w14:paraId="3103F5E0">
                  <w:pPr>
                    <w:keepNext w:val="0"/>
                    <w:keepLines w:val="0"/>
                    <w:widowControl/>
                    <w:suppressLineNumbers w:val="0"/>
                    <w:jc w:val="center"/>
                    <w:rPr>
                      <w:rFonts w:hint="eastAsia" w:eastAsia="宋体"/>
                      <w:color w:val="auto"/>
                      <w:sz w:val="21"/>
                      <w:szCs w:val="21"/>
                      <w:lang w:eastAsia="zh-CN"/>
                    </w:rPr>
                  </w:pPr>
                </w:p>
              </w:tc>
              <w:tc>
                <w:tcPr>
                  <w:tcW w:w="1199" w:type="dxa"/>
                  <w:vMerge w:val="continue"/>
                  <w:vAlign w:val="center"/>
                </w:tcPr>
                <w:p w14:paraId="3C8B20DB">
                  <w:pPr>
                    <w:widowControl/>
                    <w:adjustRightInd w:val="0"/>
                    <w:snapToGrid w:val="0"/>
                    <w:jc w:val="center"/>
                    <w:rPr>
                      <w:color w:val="auto"/>
                      <w:sz w:val="21"/>
                      <w:szCs w:val="21"/>
                    </w:rPr>
                  </w:pPr>
                </w:p>
              </w:tc>
            </w:tr>
            <w:tr w14:paraId="3441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73C1F0B3">
                  <w:pPr>
                    <w:adjustRightInd w:val="0"/>
                    <w:snapToGrid w:val="0"/>
                    <w:jc w:val="center"/>
                    <w:rPr>
                      <w:color w:val="auto"/>
                      <w:sz w:val="21"/>
                      <w:szCs w:val="21"/>
                    </w:rPr>
                  </w:pPr>
                </w:p>
              </w:tc>
              <w:tc>
                <w:tcPr>
                  <w:tcW w:w="450" w:type="dxa"/>
                  <w:vMerge w:val="continue"/>
                  <w:vAlign w:val="center"/>
                </w:tcPr>
                <w:p w14:paraId="5DF95B71">
                  <w:pPr>
                    <w:keepNext w:val="0"/>
                    <w:keepLines w:val="0"/>
                    <w:widowControl/>
                    <w:suppressLineNumbers w:val="0"/>
                    <w:jc w:val="center"/>
                    <w:rPr>
                      <w:rFonts w:hAnsi="宋体"/>
                      <w:color w:val="auto"/>
                      <w:sz w:val="21"/>
                      <w:szCs w:val="21"/>
                    </w:rPr>
                  </w:pPr>
                </w:p>
              </w:tc>
              <w:tc>
                <w:tcPr>
                  <w:tcW w:w="885" w:type="dxa"/>
                  <w:vMerge w:val="continue"/>
                  <w:vAlign w:val="center"/>
                </w:tcPr>
                <w:p w14:paraId="283E6374">
                  <w:pPr>
                    <w:keepNext w:val="0"/>
                    <w:keepLines w:val="0"/>
                    <w:widowControl/>
                    <w:suppressLineNumbers w:val="0"/>
                    <w:jc w:val="center"/>
                    <w:rPr>
                      <w:rFonts w:hAnsi="宋体"/>
                      <w:color w:val="auto"/>
                      <w:sz w:val="21"/>
                      <w:szCs w:val="21"/>
                    </w:rPr>
                  </w:pPr>
                </w:p>
              </w:tc>
              <w:tc>
                <w:tcPr>
                  <w:tcW w:w="2730" w:type="dxa"/>
                  <w:vAlign w:val="center"/>
                </w:tcPr>
                <w:p w14:paraId="30E648B6">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15酒、饮料和精制茶制造业</w:t>
                  </w:r>
                </w:p>
              </w:tc>
              <w:tc>
                <w:tcPr>
                  <w:tcW w:w="1425" w:type="dxa"/>
                  <w:vMerge w:val="continue"/>
                  <w:vAlign w:val="center"/>
                </w:tcPr>
                <w:p w14:paraId="500DBE0A">
                  <w:pPr>
                    <w:keepNext w:val="0"/>
                    <w:keepLines w:val="0"/>
                    <w:widowControl/>
                    <w:suppressLineNumbers w:val="0"/>
                    <w:jc w:val="center"/>
                    <w:rPr>
                      <w:rFonts w:hint="eastAsia" w:eastAsia="宋体"/>
                      <w:color w:val="auto"/>
                      <w:sz w:val="21"/>
                      <w:szCs w:val="21"/>
                      <w:lang w:eastAsia="zh-CN"/>
                    </w:rPr>
                  </w:pPr>
                </w:p>
              </w:tc>
              <w:tc>
                <w:tcPr>
                  <w:tcW w:w="1199" w:type="dxa"/>
                  <w:vMerge w:val="continue"/>
                  <w:vAlign w:val="center"/>
                </w:tcPr>
                <w:p w14:paraId="1DB057B5">
                  <w:pPr>
                    <w:widowControl/>
                    <w:adjustRightInd w:val="0"/>
                    <w:snapToGrid w:val="0"/>
                    <w:jc w:val="center"/>
                    <w:rPr>
                      <w:color w:val="auto"/>
                      <w:sz w:val="21"/>
                      <w:szCs w:val="21"/>
                    </w:rPr>
                  </w:pPr>
                </w:p>
              </w:tc>
            </w:tr>
            <w:tr w14:paraId="456C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77A30647">
                  <w:pPr>
                    <w:adjustRightInd w:val="0"/>
                    <w:snapToGrid w:val="0"/>
                    <w:jc w:val="center"/>
                    <w:rPr>
                      <w:color w:val="auto"/>
                      <w:sz w:val="21"/>
                      <w:szCs w:val="21"/>
                    </w:rPr>
                  </w:pPr>
                </w:p>
              </w:tc>
              <w:tc>
                <w:tcPr>
                  <w:tcW w:w="450" w:type="dxa"/>
                  <w:vMerge w:val="continue"/>
                  <w:vAlign w:val="center"/>
                </w:tcPr>
                <w:p w14:paraId="0F1B3070">
                  <w:pPr>
                    <w:keepNext w:val="0"/>
                    <w:keepLines w:val="0"/>
                    <w:widowControl/>
                    <w:suppressLineNumbers w:val="0"/>
                    <w:jc w:val="center"/>
                    <w:rPr>
                      <w:rFonts w:hAnsi="宋体"/>
                      <w:color w:val="auto"/>
                      <w:sz w:val="21"/>
                      <w:szCs w:val="21"/>
                    </w:rPr>
                  </w:pPr>
                </w:p>
              </w:tc>
              <w:tc>
                <w:tcPr>
                  <w:tcW w:w="885" w:type="dxa"/>
                  <w:vMerge w:val="continue"/>
                  <w:vAlign w:val="center"/>
                </w:tcPr>
                <w:p w14:paraId="45087B6A">
                  <w:pPr>
                    <w:keepNext w:val="0"/>
                    <w:keepLines w:val="0"/>
                    <w:widowControl/>
                    <w:suppressLineNumbers w:val="0"/>
                    <w:jc w:val="center"/>
                    <w:rPr>
                      <w:rFonts w:hAnsi="宋体"/>
                      <w:color w:val="auto"/>
                      <w:sz w:val="21"/>
                      <w:szCs w:val="21"/>
                    </w:rPr>
                  </w:pPr>
                </w:p>
              </w:tc>
              <w:tc>
                <w:tcPr>
                  <w:tcW w:w="2730" w:type="dxa"/>
                  <w:vAlign w:val="center"/>
                </w:tcPr>
                <w:p w14:paraId="3AEADFBA">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19皮革、毛皮、羽毛及其制品和制鞋业</w:t>
                  </w:r>
                </w:p>
              </w:tc>
              <w:tc>
                <w:tcPr>
                  <w:tcW w:w="1425" w:type="dxa"/>
                  <w:vAlign w:val="center"/>
                </w:tcPr>
                <w:p w14:paraId="7C5C62F0">
                  <w:pPr>
                    <w:keepNext w:val="0"/>
                    <w:keepLines w:val="0"/>
                    <w:widowControl/>
                    <w:suppressLineNumbers w:val="0"/>
                    <w:jc w:val="center"/>
                    <w:rPr>
                      <w:rFonts w:hint="default" w:eastAsia="宋体"/>
                      <w:color w:val="auto"/>
                      <w:sz w:val="21"/>
                      <w:szCs w:val="21"/>
                      <w:lang w:val="en-US" w:eastAsia="zh-CN"/>
                    </w:rPr>
                  </w:pPr>
                  <w:r>
                    <w:rPr>
                      <w:rFonts w:hint="eastAsia"/>
                      <w:color w:val="auto"/>
                      <w:sz w:val="21"/>
                      <w:szCs w:val="21"/>
                      <w:lang w:val="en-US" w:eastAsia="zh-CN"/>
                    </w:rPr>
                    <w:t>/</w:t>
                  </w:r>
                </w:p>
              </w:tc>
              <w:tc>
                <w:tcPr>
                  <w:tcW w:w="1199" w:type="dxa"/>
                  <w:vMerge w:val="continue"/>
                  <w:vAlign w:val="center"/>
                </w:tcPr>
                <w:p w14:paraId="41E3A306">
                  <w:pPr>
                    <w:widowControl/>
                    <w:adjustRightInd w:val="0"/>
                    <w:snapToGrid w:val="0"/>
                    <w:jc w:val="center"/>
                    <w:rPr>
                      <w:color w:val="auto"/>
                      <w:sz w:val="21"/>
                      <w:szCs w:val="21"/>
                    </w:rPr>
                  </w:pPr>
                </w:p>
              </w:tc>
            </w:tr>
            <w:tr w14:paraId="0135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3885C440">
                  <w:pPr>
                    <w:adjustRightInd w:val="0"/>
                    <w:snapToGrid w:val="0"/>
                    <w:jc w:val="center"/>
                    <w:rPr>
                      <w:color w:val="auto"/>
                      <w:sz w:val="21"/>
                      <w:szCs w:val="21"/>
                    </w:rPr>
                  </w:pPr>
                </w:p>
              </w:tc>
              <w:tc>
                <w:tcPr>
                  <w:tcW w:w="450" w:type="dxa"/>
                  <w:vMerge w:val="continue"/>
                  <w:vAlign w:val="center"/>
                </w:tcPr>
                <w:p w14:paraId="4BB6D908">
                  <w:pPr>
                    <w:keepNext w:val="0"/>
                    <w:keepLines w:val="0"/>
                    <w:widowControl/>
                    <w:suppressLineNumbers w:val="0"/>
                    <w:jc w:val="center"/>
                    <w:rPr>
                      <w:rFonts w:hAnsi="宋体"/>
                      <w:color w:val="auto"/>
                      <w:sz w:val="21"/>
                      <w:szCs w:val="21"/>
                    </w:rPr>
                  </w:pPr>
                </w:p>
              </w:tc>
              <w:tc>
                <w:tcPr>
                  <w:tcW w:w="885" w:type="dxa"/>
                  <w:vMerge w:val="continue"/>
                  <w:vAlign w:val="center"/>
                </w:tcPr>
                <w:p w14:paraId="0C2E8DE0">
                  <w:pPr>
                    <w:keepNext w:val="0"/>
                    <w:keepLines w:val="0"/>
                    <w:widowControl/>
                    <w:suppressLineNumbers w:val="0"/>
                    <w:jc w:val="center"/>
                    <w:rPr>
                      <w:rFonts w:hAnsi="宋体"/>
                      <w:color w:val="auto"/>
                      <w:sz w:val="21"/>
                      <w:szCs w:val="21"/>
                    </w:rPr>
                  </w:pPr>
                </w:p>
              </w:tc>
              <w:tc>
                <w:tcPr>
                  <w:tcW w:w="2730" w:type="dxa"/>
                  <w:vAlign w:val="center"/>
                </w:tcPr>
                <w:p w14:paraId="5EC2D46F">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22造纸和纸制品业</w:t>
                  </w:r>
                </w:p>
              </w:tc>
              <w:tc>
                <w:tcPr>
                  <w:tcW w:w="1425" w:type="dxa"/>
                  <w:vAlign w:val="center"/>
                </w:tcPr>
                <w:p w14:paraId="05D7DB2D">
                  <w:pPr>
                    <w:keepNext w:val="0"/>
                    <w:keepLines w:val="0"/>
                    <w:widowControl/>
                    <w:suppressLineNumbers w:val="0"/>
                    <w:jc w:val="center"/>
                    <w:rPr>
                      <w:rFonts w:hint="default" w:eastAsia="宋体"/>
                      <w:color w:val="auto"/>
                      <w:sz w:val="21"/>
                      <w:szCs w:val="21"/>
                      <w:lang w:val="en-US" w:eastAsia="zh-CN"/>
                    </w:rPr>
                  </w:pPr>
                  <w:r>
                    <w:rPr>
                      <w:rFonts w:hint="eastAsia"/>
                      <w:color w:val="auto"/>
                      <w:sz w:val="21"/>
                      <w:szCs w:val="21"/>
                      <w:lang w:val="en-US" w:eastAsia="zh-CN"/>
                    </w:rPr>
                    <w:t>/</w:t>
                  </w:r>
                </w:p>
              </w:tc>
              <w:tc>
                <w:tcPr>
                  <w:tcW w:w="1199" w:type="dxa"/>
                  <w:vMerge w:val="continue"/>
                  <w:vAlign w:val="center"/>
                </w:tcPr>
                <w:p w14:paraId="643D265D">
                  <w:pPr>
                    <w:widowControl/>
                    <w:adjustRightInd w:val="0"/>
                    <w:snapToGrid w:val="0"/>
                    <w:jc w:val="center"/>
                    <w:rPr>
                      <w:color w:val="auto"/>
                      <w:sz w:val="21"/>
                      <w:szCs w:val="21"/>
                    </w:rPr>
                  </w:pPr>
                </w:p>
              </w:tc>
            </w:tr>
            <w:tr w14:paraId="6E0C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3" w:type="dxa"/>
                  <w:vMerge w:val="continue"/>
                  <w:vAlign w:val="center"/>
                </w:tcPr>
                <w:p w14:paraId="25E43772">
                  <w:pPr>
                    <w:adjustRightInd w:val="0"/>
                    <w:snapToGrid w:val="0"/>
                    <w:jc w:val="center"/>
                    <w:rPr>
                      <w:color w:val="auto"/>
                      <w:sz w:val="21"/>
                      <w:szCs w:val="21"/>
                    </w:rPr>
                  </w:pPr>
                </w:p>
              </w:tc>
              <w:tc>
                <w:tcPr>
                  <w:tcW w:w="450" w:type="dxa"/>
                  <w:vMerge w:val="continue"/>
                  <w:vAlign w:val="center"/>
                </w:tcPr>
                <w:p w14:paraId="5E858BF1">
                  <w:pPr>
                    <w:keepNext w:val="0"/>
                    <w:keepLines w:val="0"/>
                    <w:widowControl/>
                    <w:suppressLineNumbers w:val="0"/>
                    <w:jc w:val="center"/>
                    <w:rPr>
                      <w:rFonts w:hAnsi="宋体"/>
                      <w:color w:val="auto"/>
                      <w:sz w:val="21"/>
                      <w:szCs w:val="21"/>
                    </w:rPr>
                  </w:pPr>
                </w:p>
              </w:tc>
              <w:tc>
                <w:tcPr>
                  <w:tcW w:w="885" w:type="dxa"/>
                  <w:vMerge w:val="continue"/>
                  <w:vAlign w:val="center"/>
                </w:tcPr>
                <w:p w14:paraId="13D33B21">
                  <w:pPr>
                    <w:keepNext w:val="0"/>
                    <w:keepLines w:val="0"/>
                    <w:widowControl/>
                    <w:suppressLineNumbers w:val="0"/>
                    <w:jc w:val="center"/>
                    <w:rPr>
                      <w:rFonts w:hAnsi="宋体"/>
                      <w:color w:val="auto"/>
                      <w:sz w:val="21"/>
                      <w:szCs w:val="21"/>
                    </w:rPr>
                  </w:pPr>
                </w:p>
              </w:tc>
              <w:tc>
                <w:tcPr>
                  <w:tcW w:w="2730" w:type="dxa"/>
                  <w:vAlign w:val="center"/>
                </w:tcPr>
                <w:p w14:paraId="2BA67235">
                  <w:pPr>
                    <w:keepNext w:val="0"/>
                    <w:keepLines w:val="0"/>
                    <w:widowControl/>
                    <w:suppressLineNumbers w:val="0"/>
                    <w:jc w:val="center"/>
                    <w:rPr>
                      <w:rFonts w:hint="default" w:hAnsi="宋体" w:eastAsia="宋体"/>
                      <w:color w:val="auto"/>
                      <w:sz w:val="21"/>
                      <w:szCs w:val="21"/>
                      <w:lang w:val="en-US" w:eastAsia="zh-CN"/>
                    </w:rPr>
                  </w:pPr>
                  <w:r>
                    <w:rPr>
                      <w:rFonts w:hint="eastAsia" w:hAnsi="宋体"/>
                      <w:color w:val="auto"/>
                      <w:sz w:val="21"/>
                      <w:szCs w:val="21"/>
                      <w:lang w:val="en-US" w:eastAsia="zh-CN"/>
                    </w:rPr>
                    <w:t>30非金属矿物制品业</w:t>
                  </w:r>
                </w:p>
              </w:tc>
              <w:tc>
                <w:tcPr>
                  <w:tcW w:w="1425" w:type="dxa"/>
                  <w:vAlign w:val="center"/>
                </w:tcPr>
                <w:p w14:paraId="362B4E7B">
                  <w:pPr>
                    <w:keepNext w:val="0"/>
                    <w:keepLines w:val="0"/>
                    <w:widowControl/>
                    <w:suppressLineNumbers w:val="0"/>
                    <w:jc w:val="center"/>
                    <w:rPr>
                      <w:rFonts w:hint="default" w:eastAsia="宋体"/>
                      <w:color w:val="auto"/>
                      <w:sz w:val="21"/>
                      <w:szCs w:val="21"/>
                      <w:lang w:val="en-US" w:eastAsia="zh-CN"/>
                    </w:rPr>
                  </w:pPr>
                  <w:r>
                    <w:rPr>
                      <w:rFonts w:hint="eastAsia"/>
                      <w:color w:val="auto"/>
                      <w:sz w:val="21"/>
                      <w:szCs w:val="21"/>
                      <w:lang w:val="en-US" w:eastAsia="zh-CN"/>
                    </w:rPr>
                    <w:t>/</w:t>
                  </w:r>
                </w:p>
              </w:tc>
              <w:tc>
                <w:tcPr>
                  <w:tcW w:w="1199" w:type="dxa"/>
                  <w:vMerge w:val="continue"/>
                  <w:vAlign w:val="center"/>
                </w:tcPr>
                <w:p w14:paraId="2518415F">
                  <w:pPr>
                    <w:widowControl/>
                    <w:adjustRightInd w:val="0"/>
                    <w:snapToGrid w:val="0"/>
                    <w:jc w:val="center"/>
                    <w:rPr>
                      <w:color w:val="auto"/>
                      <w:sz w:val="21"/>
                      <w:szCs w:val="21"/>
                    </w:rPr>
                  </w:pPr>
                </w:p>
              </w:tc>
            </w:tr>
          </w:tbl>
          <w:p w14:paraId="7C59F5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color w:val="auto"/>
                <w:kern w:val="2"/>
                <w:sz w:val="24"/>
                <w:szCs w:val="24"/>
              </w:rPr>
            </w:pPr>
            <w:r>
              <w:rPr>
                <w:rFonts w:ascii="Times New Roman" w:hAnsi="Times New Roman"/>
                <w:color w:val="auto"/>
                <w:sz w:val="24"/>
                <w:szCs w:val="24"/>
              </w:rPr>
              <w:t>本项目属于</w:t>
            </w:r>
            <w:r>
              <w:rPr>
                <w:rFonts w:hint="default" w:ascii="Times New Roman" w:hAnsi="Times New Roman" w:eastAsia="宋体" w:cs="Times New Roman"/>
                <w:color w:val="auto"/>
                <w:sz w:val="24"/>
                <w:lang w:val="en-US" w:eastAsia="zh-CN"/>
              </w:rPr>
              <w:t>C</w:t>
            </w:r>
            <w:r>
              <w:rPr>
                <w:rFonts w:hint="eastAsia" w:ascii="Times New Roman" w:eastAsia="宋体" w:cs="Times New Roman"/>
                <w:color w:val="auto"/>
                <w:sz w:val="24"/>
                <w:lang w:val="en-US" w:eastAsia="zh-CN"/>
              </w:rPr>
              <w:t>3</w:t>
            </w:r>
            <w:r>
              <w:rPr>
                <w:rFonts w:hint="eastAsia" w:cs="Times New Roman"/>
                <w:color w:val="auto"/>
                <w:sz w:val="24"/>
                <w:lang w:val="en-US" w:eastAsia="zh-CN"/>
              </w:rPr>
              <w:t>985电子专用材料</w:t>
            </w:r>
            <w:r>
              <w:rPr>
                <w:rFonts w:hint="eastAsia" w:ascii="Times New Roman" w:eastAsia="宋体" w:cs="Times New Roman"/>
                <w:color w:val="auto"/>
                <w:sz w:val="24"/>
                <w:lang w:val="en-US" w:eastAsia="zh-CN"/>
              </w:rPr>
              <w:t>制造</w:t>
            </w:r>
            <w:r>
              <w:rPr>
                <w:rFonts w:hint="eastAsia"/>
                <w:color w:val="auto"/>
                <w:sz w:val="24"/>
                <w:lang w:val="en-US" w:eastAsia="zh-CN"/>
              </w:rPr>
              <w:t>，</w:t>
            </w:r>
            <w:r>
              <w:rPr>
                <w:rFonts w:hint="eastAsia" w:ascii="Times New Roman" w:hAnsi="Times New Roman" w:eastAsia="宋体" w:cs="Times New Roman"/>
                <w:color w:val="auto"/>
                <w:kern w:val="0"/>
                <w:sz w:val="24"/>
                <w:szCs w:val="20"/>
                <w:lang w:val="en-US" w:eastAsia="zh-CN" w:bidi="ar-SA"/>
              </w:rPr>
              <w:t>不在安徽固镇经济开发区</w:t>
            </w:r>
            <w:r>
              <w:rPr>
                <w:rFonts w:hint="eastAsia" w:cs="Times New Roman"/>
                <w:color w:val="auto"/>
                <w:kern w:val="0"/>
                <w:sz w:val="24"/>
                <w:szCs w:val="20"/>
                <w:lang w:val="en-US" w:eastAsia="zh-CN" w:bidi="ar-SA"/>
              </w:rPr>
              <w:t>北区</w:t>
            </w:r>
            <w:r>
              <w:rPr>
                <w:rFonts w:hint="eastAsia" w:ascii="Times New Roman" w:hAnsi="Times New Roman" w:eastAsia="宋体" w:cs="Times New Roman"/>
                <w:color w:val="auto"/>
                <w:kern w:val="0"/>
                <w:sz w:val="24"/>
                <w:szCs w:val="20"/>
                <w:lang w:val="en-US" w:eastAsia="zh-CN" w:bidi="ar-SA"/>
              </w:rPr>
              <w:t>限制及禁止类范围内，属于园区允许类，项目</w:t>
            </w:r>
            <w:r>
              <w:rPr>
                <w:rFonts w:ascii="Times New Roman" w:hAnsi="Times New Roman"/>
                <w:color w:val="auto"/>
                <w:sz w:val="24"/>
                <w:szCs w:val="24"/>
              </w:rPr>
              <w:t>符合</w:t>
            </w:r>
            <w:r>
              <w:rPr>
                <w:rFonts w:hint="eastAsia"/>
                <w:color w:val="auto"/>
                <w:sz w:val="24"/>
                <w:szCs w:val="24"/>
                <w:lang w:eastAsia="zh-CN"/>
              </w:rPr>
              <w:t>固镇经济开发区总体发展规划</w:t>
            </w:r>
            <w:r>
              <w:rPr>
                <w:rFonts w:ascii="Times New Roman" w:hAnsi="Times New Roman"/>
                <w:color w:val="auto"/>
                <w:sz w:val="24"/>
                <w:szCs w:val="24"/>
              </w:rPr>
              <w:t>。</w:t>
            </w:r>
          </w:p>
          <w:p w14:paraId="69FBD32E">
            <w:pPr>
              <w:spacing w:line="240" w:lineRule="auto"/>
              <w:contextualSpacing/>
              <w:rPr>
                <w:b/>
                <w:color w:val="auto"/>
                <w:sz w:val="24"/>
                <w:szCs w:val="24"/>
              </w:rPr>
            </w:pPr>
            <w:r>
              <w:rPr>
                <w:rFonts w:hint="eastAsia"/>
                <w:b/>
                <w:color w:val="auto"/>
                <w:sz w:val="24"/>
                <w:szCs w:val="24"/>
              </w:rPr>
              <w:t>2、规划环境影响评价符合性</w:t>
            </w:r>
          </w:p>
          <w:p w14:paraId="75E5E59C">
            <w:pPr>
              <w:spacing w:line="360" w:lineRule="auto"/>
              <w:ind w:firstLine="480" w:firstLineChars="200"/>
              <w:contextualSpacing/>
              <w:rPr>
                <w:rFonts w:hint="eastAsia" w:ascii="Times New Roman" w:hAnsi="Times New Roman"/>
                <w:color w:val="auto"/>
                <w:sz w:val="24"/>
                <w:szCs w:val="24"/>
              </w:rPr>
            </w:pPr>
            <w:r>
              <w:rPr>
                <w:rFonts w:hint="eastAsia" w:ascii="Times New Roman" w:hAnsi="Times New Roman"/>
                <w:color w:val="auto"/>
                <w:sz w:val="24"/>
                <w:szCs w:val="24"/>
              </w:rPr>
              <w:t>根据安徽</w:t>
            </w:r>
            <w:r>
              <w:rPr>
                <w:rFonts w:hint="eastAsia" w:ascii="Times New Roman" w:hAnsi="Times New Roman"/>
                <w:color w:val="000000" w:themeColor="text1"/>
                <w:sz w:val="24"/>
                <w:szCs w:val="24"/>
                <w14:textFill>
                  <w14:solidFill>
                    <w14:schemeClr w14:val="tx1"/>
                  </w14:solidFill>
                </w14:textFill>
              </w:rPr>
              <w:t>省</w:t>
            </w:r>
            <w:r>
              <w:rPr>
                <w:rFonts w:hint="eastAsia"/>
                <w:color w:val="000000" w:themeColor="text1"/>
                <w:sz w:val="24"/>
                <w:szCs w:val="24"/>
                <w:lang w:eastAsia="zh-CN"/>
                <w14:textFill>
                  <w14:solidFill>
                    <w14:schemeClr w14:val="tx1"/>
                  </w14:solidFill>
                </w14:textFill>
              </w:rPr>
              <w:t>生态环境</w:t>
            </w:r>
            <w:r>
              <w:rPr>
                <w:rFonts w:hint="eastAsia" w:ascii="Times New Roman" w:hAnsi="Times New Roman"/>
                <w:color w:val="000000" w:themeColor="text1"/>
                <w:sz w:val="24"/>
                <w:szCs w:val="24"/>
                <w14:textFill>
                  <w14:solidFill>
                    <w14:schemeClr w14:val="tx1"/>
                  </w14:solidFill>
                </w14:textFill>
              </w:rPr>
              <w:t>厅皖环函[20</w:t>
            </w:r>
            <w:r>
              <w:rPr>
                <w:rFonts w:hint="eastAsia"/>
                <w:color w:val="000000" w:themeColor="text1"/>
                <w:sz w:val="24"/>
                <w:szCs w:val="24"/>
                <w:lang w:val="en-US" w:eastAsia="zh-CN"/>
                <w14:textFill>
                  <w14:solidFill>
                    <w14:schemeClr w14:val="tx1"/>
                  </w14:solidFill>
                </w14:textFill>
              </w:rPr>
              <w:t>22</w:t>
            </w:r>
            <w:r>
              <w:rPr>
                <w:rFonts w:hint="eastAsia" w:ascii="Times New Roman" w:hAnsi="Times New Roman"/>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163</w:t>
            </w:r>
            <w:r>
              <w:rPr>
                <w:rFonts w:hint="eastAsia" w:ascii="Times New Roman" w:hAnsi="Times New Roman"/>
                <w:color w:val="000000" w:themeColor="text1"/>
                <w:sz w:val="24"/>
                <w:szCs w:val="24"/>
                <w14:textFill>
                  <w14:solidFill>
                    <w14:schemeClr w14:val="tx1"/>
                  </w14:solidFill>
                </w14:textFill>
              </w:rPr>
              <w:t>号“关于安徽固镇经济开发区总体发展规划</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2021-2035</w:t>
            </w:r>
            <w:r>
              <w:rPr>
                <w:rFonts w:hint="eastAsia"/>
                <w:color w:val="000000" w:themeColor="text1"/>
                <w:sz w:val="24"/>
                <w:szCs w:val="24"/>
                <w:lang w:eastAsia="zh-CN"/>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环境影响报告书审查意见的函”的要求，本项目建设与规划环评及其审查意见相符</w:t>
            </w:r>
            <w:r>
              <w:rPr>
                <w:rFonts w:hint="eastAsia" w:ascii="Times New Roman" w:hAnsi="Times New Roman"/>
                <w:color w:val="auto"/>
                <w:sz w:val="24"/>
                <w:szCs w:val="24"/>
              </w:rPr>
              <w:t>性分析见下表。</w:t>
            </w:r>
          </w:p>
          <w:p w14:paraId="6EEA93B1">
            <w:pPr>
              <w:spacing w:line="240" w:lineRule="auto"/>
              <w:ind w:firstLine="422" w:firstLineChars="200"/>
              <w:contextualSpacing/>
              <w:jc w:val="center"/>
              <w:rPr>
                <w:rFonts w:hint="eastAsia" w:ascii="Times New Roman" w:hAnsi="Times New Roman"/>
                <w:b/>
                <w:color w:val="auto"/>
                <w:sz w:val="21"/>
                <w:szCs w:val="21"/>
              </w:rPr>
            </w:pPr>
            <w:r>
              <w:rPr>
                <w:rFonts w:hint="eastAsia" w:ascii="Times New Roman" w:hAnsi="Times New Roman"/>
                <w:b/>
                <w:color w:val="auto"/>
                <w:sz w:val="21"/>
                <w:szCs w:val="21"/>
              </w:rPr>
              <w:t>表 1-</w:t>
            </w:r>
            <w:r>
              <w:rPr>
                <w:rFonts w:hint="eastAsia"/>
                <w:b/>
                <w:color w:val="auto"/>
                <w:sz w:val="21"/>
                <w:szCs w:val="21"/>
                <w:lang w:val="en-US" w:eastAsia="zh-CN"/>
              </w:rPr>
              <w:t>2</w:t>
            </w:r>
            <w:r>
              <w:rPr>
                <w:rFonts w:hint="eastAsia" w:ascii="Times New Roman" w:hAnsi="Times New Roman"/>
                <w:b/>
                <w:color w:val="auto"/>
                <w:sz w:val="21"/>
                <w:szCs w:val="21"/>
              </w:rPr>
              <w:t xml:space="preserve"> 项目建设与规划环评及其审查意见相符性分析</w:t>
            </w:r>
          </w:p>
          <w:tbl>
            <w:tblPr>
              <w:tblStyle w:val="25"/>
              <w:tblW w:w="7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3925"/>
              <w:gridCol w:w="2355"/>
              <w:gridCol w:w="691"/>
            </w:tblGrid>
            <w:tr w14:paraId="473B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48239244">
                  <w:pPr>
                    <w:contextualSpacing/>
                    <w:jc w:val="center"/>
                    <w:rPr>
                      <w:rFonts w:ascii="Times New Roman" w:hAnsi="Times New Roman"/>
                      <w:color w:val="auto"/>
                      <w:sz w:val="21"/>
                      <w:szCs w:val="21"/>
                    </w:rPr>
                  </w:pPr>
                  <w:r>
                    <w:rPr>
                      <w:rFonts w:ascii="Times New Roman"/>
                      <w:color w:val="auto"/>
                      <w:sz w:val="21"/>
                      <w:szCs w:val="21"/>
                    </w:rPr>
                    <w:t>序号</w:t>
                  </w:r>
                </w:p>
              </w:tc>
              <w:tc>
                <w:tcPr>
                  <w:tcW w:w="3925" w:type="dxa"/>
                  <w:noWrap w:val="0"/>
                  <w:vAlign w:val="top"/>
                </w:tcPr>
                <w:p w14:paraId="2DFD6717">
                  <w:pPr>
                    <w:contextualSpacing/>
                    <w:jc w:val="center"/>
                    <w:rPr>
                      <w:rFonts w:ascii="Times New Roman" w:hAnsi="Times New Roman"/>
                      <w:color w:val="auto"/>
                      <w:sz w:val="21"/>
                      <w:szCs w:val="21"/>
                    </w:rPr>
                  </w:pPr>
                  <w:r>
                    <w:rPr>
                      <w:rFonts w:ascii="Times New Roman"/>
                      <w:color w:val="auto"/>
                      <w:sz w:val="21"/>
                      <w:szCs w:val="21"/>
                    </w:rPr>
                    <w:t>规划环评及其审查意见要求</w:t>
                  </w:r>
                </w:p>
              </w:tc>
              <w:tc>
                <w:tcPr>
                  <w:tcW w:w="2355" w:type="dxa"/>
                  <w:noWrap w:val="0"/>
                  <w:vAlign w:val="top"/>
                </w:tcPr>
                <w:p w14:paraId="2AB350BB">
                  <w:pPr>
                    <w:contextualSpacing/>
                    <w:jc w:val="center"/>
                    <w:rPr>
                      <w:rFonts w:ascii="Times New Roman" w:hAnsi="Times New Roman"/>
                      <w:color w:val="auto"/>
                      <w:sz w:val="21"/>
                      <w:szCs w:val="21"/>
                    </w:rPr>
                  </w:pPr>
                  <w:r>
                    <w:rPr>
                      <w:rFonts w:ascii="Times New Roman"/>
                      <w:color w:val="auto"/>
                      <w:sz w:val="21"/>
                      <w:szCs w:val="21"/>
                    </w:rPr>
                    <w:t>本项目情况</w:t>
                  </w:r>
                </w:p>
              </w:tc>
              <w:tc>
                <w:tcPr>
                  <w:tcW w:w="691" w:type="dxa"/>
                  <w:noWrap w:val="0"/>
                  <w:vAlign w:val="top"/>
                </w:tcPr>
                <w:p w14:paraId="198C123A">
                  <w:pPr>
                    <w:contextualSpacing/>
                    <w:jc w:val="center"/>
                    <w:rPr>
                      <w:rFonts w:ascii="Times New Roman" w:hAnsi="Times New Roman"/>
                      <w:color w:val="auto"/>
                      <w:sz w:val="21"/>
                      <w:szCs w:val="21"/>
                    </w:rPr>
                  </w:pPr>
                  <w:r>
                    <w:rPr>
                      <w:rFonts w:ascii="Times New Roman"/>
                      <w:color w:val="auto"/>
                      <w:sz w:val="21"/>
                      <w:szCs w:val="21"/>
                    </w:rPr>
                    <w:t>相符性</w:t>
                  </w:r>
                </w:p>
              </w:tc>
            </w:tr>
            <w:tr w14:paraId="3B0F5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56E2F63A">
                  <w:pPr>
                    <w:contextualSpacing/>
                    <w:jc w:val="center"/>
                    <w:rPr>
                      <w:rFonts w:ascii="Times New Roman" w:hAnsi="Times New Roman"/>
                      <w:color w:val="auto"/>
                      <w:sz w:val="21"/>
                      <w:szCs w:val="21"/>
                    </w:rPr>
                  </w:pPr>
                  <w:r>
                    <w:rPr>
                      <w:rFonts w:ascii="Times New Roman" w:hAnsi="Times New Roman"/>
                      <w:color w:val="auto"/>
                      <w:sz w:val="21"/>
                      <w:szCs w:val="21"/>
                    </w:rPr>
                    <w:t>1</w:t>
                  </w:r>
                </w:p>
              </w:tc>
              <w:tc>
                <w:tcPr>
                  <w:tcW w:w="3925" w:type="dxa"/>
                  <w:noWrap w:val="0"/>
                  <w:vAlign w:val="top"/>
                </w:tcPr>
                <w:p w14:paraId="1E03AEC4">
                  <w:pPr>
                    <w:keepNext w:val="0"/>
                    <w:keepLines w:val="0"/>
                    <w:widowControl/>
                    <w:suppressLineNumbers w:val="0"/>
                    <w:jc w:val="center"/>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（一）加强《规划》引领，坚持绿色协调发展加强《规划》与《安徽省人民政府关于印发安徽省贯彻落实淮河生态经济带发展规划实施方案的通知》及深入打好污染防治攻坚战相关要求、省市</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三线一单</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的协调衔接。统筹推进开发区整体发展和生态保护，基于环境承载力合理控制开发利用强度和建设时序，进一步提高土地利用效率，协调好产业发展与区域、园区环境保护的关系，统筹园区减污降碳协同共治、资源集约节约及循环化利用、能源智慧高效利用、环境风险防控等重大事项，引导园区生态化、低碳化、绿色化、智能化发展。落实园区近期发展规划，结合区域生态环境承载力适时启动远期发展规划，着力推进开发区产业转型升级和结构优化，确保产业发展与区域生态环境保护、人居环境质量保障相协调。</w:t>
                  </w:r>
                </w:p>
              </w:tc>
              <w:tc>
                <w:tcPr>
                  <w:tcW w:w="2355" w:type="dxa"/>
                  <w:noWrap w:val="0"/>
                  <w:vAlign w:val="top"/>
                </w:tcPr>
                <w:p w14:paraId="3EC19D2F">
                  <w:pPr>
                    <w:contextualSpacing/>
                    <w:jc w:val="center"/>
                    <w:rPr>
                      <w:rFonts w:hint="eastAsia" w:ascii="Times New Roman" w:hAnsi="Times New Roman" w:eastAsia="宋体"/>
                      <w:color w:val="auto"/>
                      <w:sz w:val="21"/>
                      <w:szCs w:val="21"/>
                      <w:lang w:eastAsia="zh-CN"/>
                    </w:rPr>
                  </w:pPr>
                  <w:r>
                    <w:rPr>
                      <w:rFonts w:ascii="Times New Roman"/>
                      <w:color w:val="auto"/>
                      <w:sz w:val="21"/>
                      <w:szCs w:val="21"/>
                    </w:rPr>
                    <w:t>本项目属于</w:t>
                  </w:r>
                  <w:r>
                    <w:rPr>
                      <w:rFonts w:hint="eastAsia" w:hAnsi="宋体"/>
                      <w:color w:val="auto"/>
                      <w:sz w:val="21"/>
                      <w:szCs w:val="21"/>
                      <w:lang w:val="en-US" w:eastAsia="zh-CN"/>
                    </w:rPr>
                    <w:t>C3985电子专用材料制造</w:t>
                  </w:r>
                  <w:r>
                    <w:rPr>
                      <w:rFonts w:hint="eastAsia"/>
                      <w:sz w:val="21"/>
                      <w:szCs w:val="21"/>
                      <w:lang w:val="en-US" w:eastAsia="zh-CN"/>
                    </w:rPr>
                    <w:t>，</w:t>
                  </w:r>
                  <w:r>
                    <w:rPr>
                      <w:rFonts w:hint="eastAsia" w:ascii="Times New Roman" w:hAnsi="Times New Roman" w:eastAsia="宋体" w:cs="Times New Roman"/>
                      <w:color w:val="auto"/>
                      <w:kern w:val="0"/>
                      <w:sz w:val="21"/>
                      <w:szCs w:val="21"/>
                      <w:lang w:val="en-US" w:eastAsia="zh-CN" w:bidi="ar-SA"/>
                    </w:rPr>
                    <w:t>不在安徽固镇经济开发区限制及禁止类范围内，属于园区允许类，项目</w:t>
                  </w:r>
                  <w:r>
                    <w:rPr>
                      <w:rFonts w:ascii="Times New Roman" w:hAnsi="Times New Roman"/>
                      <w:color w:val="auto"/>
                      <w:sz w:val="21"/>
                      <w:szCs w:val="21"/>
                    </w:rPr>
                    <w:t>符合</w:t>
                  </w:r>
                  <w:r>
                    <w:rPr>
                      <w:rFonts w:hint="eastAsia"/>
                      <w:color w:val="auto"/>
                      <w:sz w:val="21"/>
                      <w:szCs w:val="21"/>
                      <w:lang w:eastAsia="zh-CN"/>
                    </w:rPr>
                    <w:t>固镇经济开发区总体发展规划。项目建设符合蚌埠市“三线一单”要求。</w:t>
                  </w:r>
                </w:p>
              </w:tc>
              <w:tc>
                <w:tcPr>
                  <w:tcW w:w="691" w:type="dxa"/>
                  <w:noWrap w:val="0"/>
                  <w:vAlign w:val="top"/>
                </w:tcPr>
                <w:p w14:paraId="51544EBC">
                  <w:pPr>
                    <w:contextualSpacing/>
                    <w:rPr>
                      <w:rFonts w:ascii="Times New Roman" w:hAnsi="Times New Roman"/>
                      <w:color w:val="auto"/>
                      <w:sz w:val="21"/>
                      <w:szCs w:val="21"/>
                    </w:rPr>
                  </w:pPr>
                  <w:r>
                    <w:rPr>
                      <w:rFonts w:ascii="Times New Roman"/>
                      <w:color w:val="auto"/>
                      <w:sz w:val="21"/>
                      <w:szCs w:val="21"/>
                    </w:rPr>
                    <w:t>符合</w:t>
                  </w:r>
                </w:p>
              </w:tc>
            </w:tr>
            <w:tr w14:paraId="08CC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48A70A1C">
                  <w:pPr>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3925" w:type="dxa"/>
                  <w:noWrap w:val="0"/>
                  <w:vAlign w:val="top"/>
                </w:tcPr>
                <w:p w14:paraId="032D838A">
                  <w:pPr>
                    <w:keepNext w:val="0"/>
                    <w:keepLines w:val="0"/>
                    <w:widowControl/>
                    <w:suppressLineNumbers w:val="0"/>
                    <w:jc w:val="center"/>
                    <w:rPr>
                      <w:rFonts w:ascii="Times New Roman" w:hAnsi="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二）严守环境质量底线，落实区域环境质量管控措施开发区位于淮河流域，区域环境空气质量为不达标区，目前区域地表水环境质量不能稳定达标，对开发区继续开发建设形成一定制约。开发区应坚持生态优先、高效集约发展，以生态环境质量改善、防范环境风险为核心，明确开发区发展存在的制约因素。根据国家和我省大气、水、土壤、固体污染防治相关要求，妥善解决区域生态环境问题，确保开发区建设项目污染物长期稳定达标排放，区域生态环境质量尤其是北淝河下段水环境质量持续改善。</w:t>
                  </w:r>
                </w:p>
              </w:tc>
              <w:tc>
                <w:tcPr>
                  <w:tcW w:w="2355" w:type="dxa"/>
                  <w:noWrap w:val="0"/>
                  <w:vAlign w:val="top"/>
                </w:tcPr>
                <w:p w14:paraId="52FC956F">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项目所在区域</w:t>
                  </w:r>
                  <w:r>
                    <w:rPr>
                      <w:rFonts w:hint="default" w:ascii="Times New Roman" w:hAnsi="Times New Roman" w:eastAsia="宋体" w:cs="Times New Roman"/>
                      <w:color w:val="auto"/>
                      <w:kern w:val="0"/>
                      <w:sz w:val="21"/>
                      <w:szCs w:val="21"/>
                      <w:highlight w:val="none"/>
                      <w:lang w:val="en-US" w:eastAsia="zh-CN" w:bidi="ar"/>
                    </w:rPr>
                    <w:t>20</w:t>
                  </w:r>
                  <w:r>
                    <w:rPr>
                      <w:rFonts w:hint="eastAsia" w:cs="Times New Roman"/>
                      <w:color w:val="auto"/>
                      <w:kern w:val="0"/>
                      <w:sz w:val="21"/>
                      <w:szCs w:val="21"/>
                      <w:highlight w:val="none"/>
                      <w:lang w:val="en-US" w:eastAsia="zh-CN" w:bidi="ar"/>
                    </w:rPr>
                    <w:t>23</w:t>
                  </w:r>
                  <w:r>
                    <w:rPr>
                      <w:rFonts w:hint="eastAsia" w:ascii="宋体" w:hAnsi="宋体" w:eastAsia="宋体" w:cs="宋体"/>
                      <w:color w:val="auto"/>
                      <w:kern w:val="0"/>
                      <w:sz w:val="21"/>
                      <w:szCs w:val="21"/>
                      <w:highlight w:val="none"/>
                      <w:lang w:val="en-US" w:eastAsia="zh-CN" w:bidi="ar"/>
                    </w:rPr>
                    <w:t>年度为环境控制质量不达标区，不达标因子为</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rPr>
                    <w:t>.5</w:t>
                  </w:r>
                  <w:r>
                    <w:rPr>
                      <w:rFonts w:hint="eastAsia" w:ascii="宋体" w:hAnsi="宋体" w:eastAsia="宋体" w:cs="宋体"/>
                      <w:color w:val="auto"/>
                      <w:kern w:val="0"/>
                      <w:sz w:val="21"/>
                      <w:szCs w:val="21"/>
                      <w:highlight w:val="none"/>
                      <w:lang w:val="en-US" w:eastAsia="zh-CN" w:bidi="ar"/>
                    </w:rPr>
                    <w:t>。</w:t>
                  </w:r>
                  <w:r>
                    <w:rPr>
                      <w:rFonts w:hint="eastAsia"/>
                      <w:color w:val="auto"/>
                      <w:sz w:val="21"/>
                      <w:szCs w:val="21"/>
                      <w:lang w:eastAsia="zh-CN"/>
                    </w:rPr>
                    <w:t>根据现状监测可知，</w:t>
                  </w:r>
                  <w:r>
                    <w:rPr>
                      <w:rFonts w:hint="eastAsia" w:ascii="Times New Roman" w:hAnsi="Times New Roman"/>
                      <w:color w:val="auto"/>
                      <w:sz w:val="21"/>
                      <w:szCs w:val="21"/>
                      <w:highlight w:val="none"/>
                      <w:lang w:eastAsia="zh-CN"/>
                    </w:rPr>
                    <w:t>项目区域</w:t>
                  </w:r>
                  <w:r>
                    <w:rPr>
                      <w:rFonts w:hint="eastAsia"/>
                      <w:color w:val="auto"/>
                      <w:sz w:val="21"/>
                      <w:szCs w:val="21"/>
                      <w:highlight w:val="none"/>
                      <w:lang w:val="en-US" w:eastAsia="zh-CN"/>
                    </w:rPr>
                    <w:t>TSP符合</w:t>
                  </w:r>
                  <w:r>
                    <w:rPr>
                      <w:color w:val="auto"/>
                      <w:spacing w:val="-4"/>
                      <w:sz w:val="21"/>
                      <w:szCs w:val="21"/>
                      <w:highlight w:val="none"/>
                    </w:rPr>
                    <w:t>《环境空气质量标准》</w:t>
                  </w:r>
                  <w:r>
                    <w:rPr>
                      <w:color w:val="auto"/>
                      <w:sz w:val="21"/>
                      <w:szCs w:val="21"/>
                      <w:highlight w:val="none"/>
                    </w:rPr>
                    <w:t>（GB3095-2012）</w:t>
                  </w:r>
                  <w:r>
                    <w:rPr>
                      <w:rFonts w:hint="eastAsia"/>
                      <w:color w:val="auto"/>
                      <w:sz w:val="21"/>
                      <w:szCs w:val="21"/>
                      <w:highlight w:val="none"/>
                      <w:lang w:val="en-US" w:eastAsia="zh-CN"/>
                    </w:rPr>
                    <w:t>中二级标准要求，</w:t>
                  </w:r>
                  <w:r>
                    <w:rPr>
                      <w:color w:val="auto"/>
                      <w:sz w:val="21"/>
                      <w:szCs w:val="21"/>
                    </w:rPr>
                    <w:t>氯化氢环境质量标准满足《环境影响评价技术导则大气环境》（HJ2.2-2018）附录 D 中“其他污染物空气质量浓度参考限值”要求</w:t>
                  </w:r>
                  <w:r>
                    <w:rPr>
                      <w:rFonts w:hint="eastAsia" w:ascii="宋体" w:hAnsi="宋体" w:eastAsia="宋体" w:cs="宋体"/>
                      <w:color w:val="auto"/>
                      <w:kern w:val="0"/>
                      <w:sz w:val="21"/>
                      <w:szCs w:val="21"/>
                      <w:highlight w:val="none"/>
                      <w:lang w:val="en-US" w:eastAsia="zh-CN" w:bidi="ar"/>
                    </w:rPr>
                    <w:t>。</w:t>
                  </w:r>
                  <w:r>
                    <w:rPr>
                      <w:rFonts w:ascii="Times New Roman"/>
                      <w:color w:val="auto"/>
                      <w:sz w:val="21"/>
                      <w:szCs w:val="21"/>
                      <w:highlight w:val="none"/>
                    </w:rPr>
                    <w:t>本</w:t>
                  </w:r>
                  <w:r>
                    <w:rPr>
                      <w:rFonts w:hint="eastAsia"/>
                      <w:color w:val="auto"/>
                      <w:sz w:val="21"/>
                      <w:szCs w:val="21"/>
                      <w:highlight w:val="none"/>
                      <w:lang w:eastAsia="zh-CN"/>
                    </w:rPr>
                    <w:t>项目</w:t>
                  </w:r>
                  <w:r>
                    <w:rPr>
                      <w:rFonts w:hint="eastAsia"/>
                      <w:b w:val="0"/>
                      <w:bCs/>
                      <w:color w:val="auto"/>
                      <w:sz w:val="21"/>
                      <w:szCs w:val="21"/>
                    </w:rPr>
                    <w:t>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一同排入园区污水管网，进入固镇经济开发区污水处理厂集中处理。</w:t>
                  </w:r>
                </w:p>
              </w:tc>
              <w:tc>
                <w:tcPr>
                  <w:tcW w:w="691" w:type="dxa"/>
                  <w:noWrap w:val="0"/>
                  <w:vAlign w:val="top"/>
                </w:tcPr>
                <w:p w14:paraId="57CA4C2D">
                  <w:pPr>
                    <w:contextualSpacing/>
                    <w:rPr>
                      <w:rFonts w:ascii="Times New Roman" w:hAns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符合</w:t>
                  </w:r>
                </w:p>
              </w:tc>
            </w:tr>
            <w:tr w14:paraId="5823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0B6215B3">
                  <w:pPr>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3925" w:type="dxa"/>
                  <w:noWrap w:val="0"/>
                  <w:vAlign w:val="top"/>
                </w:tcPr>
                <w:p w14:paraId="5E8A3F69">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三）优化产业布局，加强生态空间保护开发区应结合重大环境制约因素、开发区产业定位等，进一步完善产业发展规划，明确不同规划年规划发展目标，优化精细化工功能分区和重大项目布局。合理规划不同功能区的环境保护空间，严禁不符合管控要求的各类开发建设活动，规划实施不得降低浍河、怀洪新河、北淝河等地表水体的环境质量。做好开发区建设生产（重点是化工园区、农副产品加工区）与周边生态环境敏感区、居住区之间的有效隔离和管控，实现产业发展与区域生态环境保护相协调。</w:t>
                  </w:r>
                </w:p>
              </w:tc>
              <w:tc>
                <w:tcPr>
                  <w:tcW w:w="2355" w:type="dxa"/>
                  <w:noWrap w:val="0"/>
                  <w:vAlign w:val="top"/>
                </w:tcPr>
                <w:p w14:paraId="1A3C0365">
                  <w:pPr>
                    <w:contextualSpacing/>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color w:val="000000" w:themeColor="text1"/>
                      <w:sz w:val="21"/>
                      <w:szCs w:val="21"/>
                      <w14:textFill>
                        <w14:solidFill>
                          <w14:schemeClr w14:val="tx1"/>
                        </w14:solidFill>
                      </w14:textFill>
                    </w:rPr>
                    <w:t>本项目</w:t>
                  </w:r>
                  <w:r>
                    <w:rPr>
                      <w:rFonts w:ascii="Times New Roman"/>
                      <w:color w:val="auto"/>
                      <w:sz w:val="21"/>
                      <w:szCs w:val="21"/>
                    </w:rPr>
                    <w:t>属于</w:t>
                  </w:r>
                  <w:r>
                    <w:rPr>
                      <w:rFonts w:hint="eastAsia" w:hAnsi="宋体"/>
                      <w:color w:val="auto"/>
                      <w:sz w:val="21"/>
                      <w:szCs w:val="21"/>
                      <w:lang w:val="en-US" w:eastAsia="zh-CN"/>
                    </w:rPr>
                    <w:t>C3985电子专用材料制造</w:t>
                  </w:r>
                  <w:r>
                    <w:rPr>
                      <w:rFonts w:hint="eastAsia"/>
                      <w:sz w:val="21"/>
                      <w:szCs w:val="21"/>
                      <w:lang w:val="en-US" w:eastAsia="zh-CN"/>
                    </w:rPr>
                    <w:t>，</w:t>
                  </w:r>
                  <w:r>
                    <w:rPr>
                      <w:rFonts w:hint="eastAsia" w:ascii="Times New Roman" w:hAnsi="Times New Roman" w:eastAsia="宋体" w:cs="Times New Roman"/>
                      <w:color w:val="auto"/>
                      <w:sz w:val="21"/>
                      <w:szCs w:val="21"/>
                      <w:lang w:eastAsia="zh-CN"/>
                    </w:rPr>
                    <w:t>不属于禁止类、限制类，</w:t>
                  </w:r>
                  <w:r>
                    <w:rPr>
                      <w:rFonts w:hint="eastAsia" w:ascii="Times New Roman" w:hAnsi="Times New Roman" w:eastAsia="宋体" w:cs="Times New Roman"/>
                      <w:color w:val="auto"/>
                      <w:sz w:val="21"/>
                      <w:szCs w:val="21"/>
                      <w:lang w:val="en-US" w:eastAsia="zh-CN"/>
                    </w:rPr>
                    <w:t>属于园区允许类项目</w:t>
                  </w:r>
                  <w:r>
                    <w:rPr>
                      <w:rFonts w:hint="eastAsia"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符合</w:t>
                  </w:r>
                  <w:r>
                    <w:rPr>
                      <w:rFonts w:ascii="Times New Roman" w:hAnsi="Times New Roman"/>
                      <w:color w:val="000000" w:themeColor="text1"/>
                      <w:sz w:val="21"/>
                      <w:szCs w:val="21"/>
                      <w14:textFill>
                        <w14:solidFill>
                          <w14:schemeClr w14:val="tx1"/>
                        </w14:solidFill>
                      </w14:textFill>
                    </w:rPr>
                    <w:t>《安徽固镇经济开发区总体发展规划（20</w:t>
                  </w:r>
                  <w:r>
                    <w:rPr>
                      <w:rFonts w:hint="eastAsia"/>
                      <w:color w:val="000000" w:themeColor="text1"/>
                      <w:sz w:val="21"/>
                      <w:szCs w:val="21"/>
                      <w:lang w:val="en-US" w:eastAsia="zh-CN"/>
                      <w14:textFill>
                        <w14:solidFill>
                          <w14:schemeClr w14:val="tx1"/>
                        </w14:solidFill>
                      </w14:textFill>
                    </w:rPr>
                    <w:t>21</w:t>
                  </w:r>
                  <w:r>
                    <w:rPr>
                      <w:rFonts w:ascii="Times New Roman" w:hAnsi="Times New Roman"/>
                      <w:color w:val="000000" w:themeColor="text1"/>
                      <w:sz w:val="21"/>
                      <w:szCs w:val="21"/>
                      <w14:textFill>
                        <w14:solidFill>
                          <w14:schemeClr w14:val="tx1"/>
                        </w14:solidFill>
                      </w14:textFill>
                    </w:rPr>
                    <w:t>-203</w:t>
                  </w:r>
                  <w:r>
                    <w:rPr>
                      <w:rFonts w:hint="eastAsia"/>
                      <w:color w:val="000000" w:themeColor="text1"/>
                      <w:sz w:val="21"/>
                      <w:szCs w:val="21"/>
                      <w:lang w:val="en-US" w:eastAsia="zh-CN"/>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hint="eastAsia"/>
                      <w:color w:val="000000" w:themeColor="text1"/>
                      <w:sz w:val="21"/>
                      <w:szCs w:val="21"/>
                      <w:lang w:eastAsia="zh-CN"/>
                      <w14:textFill>
                        <w14:solidFill>
                          <w14:schemeClr w14:val="tx1"/>
                        </w14:solidFill>
                      </w14:textFill>
                    </w:rPr>
                    <w:t>。</w:t>
                  </w:r>
                </w:p>
              </w:tc>
              <w:tc>
                <w:tcPr>
                  <w:tcW w:w="691" w:type="dxa"/>
                  <w:noWrap w:val="0"/>
                  <w:vAlign w:val="top"/>
                </w:tcPr>
                <w:p w14:paraId="659FF558">
                  <w:pPr>
                    <w:contextualSpacing/>
                    <w:rPr>
                      <w:rFonts w:ascii="Times New Roman" w:hAns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符合</w:t>
                  </w:r>
                </w:p>
              </w:tc>
            </w:tr>
            <w:tr w14:paraId="022F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6D136E9E">
                  <w:pPr>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3925" w:type="dxa"/>
                  <w:noWrap w:val="0"/>
                  <w:vAlign w:val="top"/>
                </w:tcPr>
                <w:p w14:paraId="2D61D9F2">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四）完善环保基础设施建设，强化环境污染防控根据开发时序和开发强度，结合区域供水、排水、供气及供热等规划，优先落实固镇经济开发区污水处理厂四期工程及配套中水回用工程建设。结合区域环境质量现状，细化污染防治基础设施建设、排放和运行管理要求，保障受纳水体的水环境功能及相关考核断面水质达标。</w:t>
                  </w:r>
                </w:p>
              </w:tc>
              <w:tc>
                <w:tcPr>
                  <w:tcW w:w="2355" w:type="dxa"/>
                  <w:noWrap w:val="0"/>
                  <w:vAlign w:val="top"/>
                </w:tcPr>
                <w:p w14:paraId="2E3FD230">
                  <w:pPr>
                    <w:contextualSpacing/>
                    <w:jc w:val="center"/>
                    <w:rPr>
                      <w:rFonts w:ascii="Times New Roman" w:hAnsi="Times New Roman"/>
                      <w:color w:val="auto"/>
                      <w:sz w:val="21"/>
                      <w:szCs w:val="21"/>
                    </w:rPr>
                  </w:pPr>
                  <w:r>
                    <w:rPr>
                      <w:rFonts w:ascii="Times New Roman"/>
                      <w:color w:val="auto"/>
                      <w:sz w:val="21"/>
                      <w:szCs w:val="21"/>
                    </w:rPr>
                    <w:t>本</w:t>
                  </w:r>
                  <w:r>
                    <w:rPr>
                      <w:rFonts w:hint="eastAsia"/>
                      <w:color w:val="auto"/>
                      <w:sz w:val="21"/>
                      <w:szCs w:val="21"/>
                      <w:lang w:eastAsia="zh-CN"/>
                    </w:rPr>
                    <w:t>项目</w:t>
                  </w:r>
                  <w:r>
                    <w:rPr>
                      <w:rFonts w:hint="eastAsia"/>
                      <w:b w:val="0"/>
                      <w:bCs/>
                      <w:color w:val="auto"/>
                      <w:sz w:val="21"/>
                      <w:szCs w:val="21"/>
                    </w:rPr>
                    <w:t>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一同排入园区污水管网，进入固镇经济开发区污水处理厂集中处理</w:t>
                  </w:r>
                  <w:r>
                    <w:rPr>
                      <w:rFonts w:hint="eastAsia"/>
                      <w:color w:val="auto"/>
                      <w:sz w:val="21"/>
                      <w:szCs w:val="21"/>
                      <w:highlight w:val="none"/>
                    </w:rPr>
                    <w:t>。</w:t>
                  </w:r>
                </w:p>
              </w:tc>
              <w:tc>
                <w:tcPr>
                  <w:tcW w:w="691" w:type="dxa"/>
                  <w:noWrap w:val="0"/>
                  <w:vAlign w:val="top"/>
                </w:tcPr>
                <w:p w14:paraId="1F67CB4B">
                  <w:pPr>
                    <w:contextualSpacing/>
                    <w:rPr>
                      <w:rFonts w:ascii="Times New Roman" w:hAns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符合</w:t>
                  </w:r>
                </w:p>
              </w:tc>
            </w:tr>
            <w:tr w14:paraId="4753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1CF1863D">
                  <w:pPr>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3925" w:type="dxa"/>
                  <w:noWrap w:val="0"/>
                  <w:vAlign w:val="top"/>
                </w:tcPr>
                <w:p w14:paraId="7D1995DF">
                  <w:pPr>
                    <w:keepNext w:val="0"/>
                    <w:keepLines w:val="0"/>
                    <w:widowControl/>
                    <w:suppressLineNumbers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（五）细化生态环境准入清单，推动高质量发展根据国家和区域发展战略，结合区域生态环境质量现状、</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三线一单</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成果等，严格落实《报告书》生态环境准入要求。严格执行国家产业政策，坚决遏制高耗能、高排放项目盲目发展，应在生态环境准入清单中深化</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两高</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项目环境准入及管控要求，限制与规划主导产业不相关且污染物排放量大的项目入区。现有不符合开发区发展定位和环境保护要求的企业应逐步升级改造或搬迁淘汰后有序退出。</w:t>
                  </w:r>
                </w:p>
              </w:tc>
              <w:tc>
                <w:tcPr>
                  <w:tcW w:w="2355" w:type="dxa"/>
                  <w:noWrap w:val="0"/>
                  <w:vAlign w:val="top"/>
                </w:tcPr>
                <w:p w14:paraId="10A4E7D7">
                  <w:pPr>
                    <w:keepNext w:val="0"/>
                    <w:keepLines w:val="0"/>
                    <w:widowControl/>
                    <w:suppressLineNumbers w:val="0"/>
                    <w:jc w:val="center"/>
                    <w:rPr>
                      <w:rFonts w:ascii="Times New Roman" w:hAnsi="Times New Roman"/>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本项目符合蚌埠市</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三线一单</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相关要求，项目为</w:t>
                  </w:r>
                  <w:r>
                    <w:rPr>
                      <w:rFonts w:hint="eastAsia" w:hAnsi="宋体"/>
                      <w:color w:val="auto"/>
                      <w:sz w:val="21"/>
                      <w:szCs w:val="21"/>
                      <w:lang w:val="en-US" w:eastAsia="zh-CN"/>
                    </w:rPr>
                    <w:t>C3985电子专用材料制造</w:t>
                  </w:r>
                  <w:r>
                    <w:rPr>
                      <w:rFonts w:hint="eastAsia"/>
                      <w:sz w:val="21"/>
                      <w:szCs w:val="21"/>
                      <w:lang w:val="en-US" w:eastAsia="zh-CN"/>
                    </w:rPr>
                    <w:t>，</w:t>
                  </w:r>
                  <w:r>
                    <w:rPr>
                      <w:rFonts w:hint="eastAsia" w:ascii="宋体" w:hAnsi="宋体" w:eastAsia="宋体" w:cs="宋体"/>
                      <w:color w:val="000000"/>
                      <w:kern w:val="0"/>
                      <w:sz w:val="21"/>
                      <w:szCs w:val="21"/>
                      <w:lang w:val="en-US" w:eastAsia="zh-CN" w:bidi="ar"/>
                    </w:rPr>
                    <w:t>属于《产业结构调整指导目录（</w:t>
                  </w:r>
                  <w:r>
                    <w:rPr>
                      <w:rFonts w:hint="default" w:ascii="Times New Roman" w:hAnsi="Times New Roman" w:eastAsia="宋体" w:cs="Times New Roman"/>
                      <w:color w:val="000000"/>
                      <w:kern w:val="0"/>
                      <w:sz w:val="21"/>
                      <w:szCs w:val="21"/>
                      <w:lang w:val="en-US" w:eastAsia="zh-CN" w:bidi="ar"/>
                    </w:rPr>
                    <w:t>20</w:t>
                  </w:r>
                  <w:r>
                    <w:rPr>
                      <w:rFonts w:hint="eastAsia" w:cs="Times New Roman"/>
                      <w:color w:val="000000"/>
                      <w:kern w:val="0"/>
                      <w:sz w:val="21"/>
                      <w:szCs w:val="21"/>
                      <w:lang w:val="en-US" w:eastAsia="zh-CN" w:bidi="ar"/>
                    </w:rPr>
                    <w:t>24</w:t>
                  </w:r>
                  <w:r>
                    <w:rPr>
                      <w:rFonts w:hint="eastAsia" w:ascii="宋体" w:hAnsi="宋体" w:eastAsia="宋体" w:cs="宋体"/>
                      <w:color w:val="000000"/>
                      <w:kern w:val="0"/>
                      <w:sz w:val="21"/>
                      <w:szCs w:val="21"/>
                      <w:lang w:val="en-US" w:eastAsia="zh-CN" w:bidi="ar"/>
                    </w:rPr>
                    <w:t>年本）》允许类项目，经对照《安徽省节能减排及应对气候变化工作领导小组关于印发安徽省</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两高</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项目管理目录</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试行</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的通知》（皖节能〔</w:t>
                  </w:r>
                  <w:r>
                    <w:rPr>
                      <w:rFonts w:hint="default" w:ascii="Times New Roman" w:hAnsi="Times New Roman" w:eastAsia="宋体" w:cs="Times New Roman"/>
                      <w:color w:val="000000"/>
                      <w:kern w:val="0"/>
                      <w:sz w:val="21"/>
                      <w:szCs w:val="21"/>
                      <w:lang w:val="en-US" w:eastAsia="zh-CN" w:bidi="ar"/>
                    </w:rPr>
                    <w:t>2022</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号），本项目不属于目录中</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两高</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项目。</w:t>
                  </w:r>
                </w:p>
              </w:tc>
              <w:tc>
                <w:tcPr>
                  <w:tcW w:w="691" w:type="dxa"/>
                  <w:noWrap w:val="0"/>
                  <w:vAlign w:val="top"/>
                </w:tcPr>
                <w:p w14:paraId="0EDABFE9">
                  <w:pPr>
                    <w:contextualSpacing/>
                    <w:rPr>
                      <w:rFonts w:ascii="Times New Roman" w:hAns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符合</w:t>
                  </w:r>
                </w:p>
              </w:tc>
            </w:tr>
            <w:tr w14:paraId="28CB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27" w:type="dxa"/>
                  <w:noWrap w:val="0"/>
                  <w:vAlign w:val="top"/>
                </w:tcPr>
                <w:p w14:paraId="4C22E90E">
                  <w:pPr>
                    <w:contextualSpacing/>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3925" w:type="dxa"/>
                  <w:noWrap w:val="0"/>
                  <w:vAlign w:val="top"/>
                </w:tcPr>
                <w:p w14:paraId="706A2054">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六）完善环境监测体系，加强生态环境风险防控统筹考虑区域内污染物排放、水环境保护、环境风险防范、环境管理等要求，健全区域风险防范体系和生态安全保障体系，加强开发区内重要环境风险源的管控，完善环境风险防范应急措施。加强日常环境监管，落实区域环境管理要求。重点关注化工园区环境风险源的识别与管控，确保事故状态下的事故废水与外环境有效隔离。在规划实施过程中，适时开展规划环境影响的跟踪评价。</w:t>
                  </w:r>
                </w:p>
              </w:tc>
              <w:tc>
                <w:tcPr>
                  <w:tcW w:w="2355" w:type="dxa"/>
                  <w:noWrap w:val="0"/>
                  <w:vAlign w:val="top"/>
                </w:tcPr>
                <w:p w14:paraId="3D8CF48F">
                  <w:pPr>
                    <w:contextualSpacing/>
                    <w:jc w:val="center"/>
                    <w:rPr>
                      <w:rFonts w:ascii="Times New Roman"/>
                      <w:color w:val="000000" w:themeColor="text1"/>
                      <w:sz w:val="21"/>
                      <w:szCs w:val="21"/>
                      <w14:textFill>
                        <w14:solidFill>
                          <w14:schemeClr w14:val="tx1"/>
                        </w14:solidFill>
                      </w14:textFill>
                    </w:rPr>
                  </w:pPr>
                  <w:r>
                    <w:rPr>
                      <w:rFonts w:hint="eastAsia"/>
                      <w:color w:val="000000"/>
                      <w:spacing w:val="0"/>
                      <w:position w:val="0"/>
                      <w:sz w:val="21"/>
                      <w:szCs w:val="21"/>
                      <w:highlight w:val="none"/>
                      <w:lang w:eastAsia="zh-CN"/>
                    </w:rPr>
                    <w:t>本项目严格落实各项风险防范措施，落实厂区分区防渗要求。</w:t>
                  </w:r>
                </w:p>
              </w:tc>
              <w:tc>
                <w:tcPr>
                  <w:tcW w:w="691" w:type="dxa"/>
                  <w:noWrap w:val="0"/>
                  <w:vAlign w:val="top"/>
                </w:tcPr>
                <w:p w14:paraId="3735D291">
                  <w:pPr>
                    <w:contextualSpacing/>
                    <w:rPr>
                      <w:rFonts w:hint="eastAsia" w:asci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符合</w:t>
                  </w:r>
                </w:p>
              </w:tc>
            </w:tr>
          </w:tbl>
          <w:p w14:paraId="0C474870">
            <w:pPr>
              <w:keepNext w:val="0"/>
              <w:keepLines w:val="0"/>
              <w:pageBreakBefore w:val="0"/>
              <w:widowControl w:val="0"/>
              <w:kinsoku/>
              <w:wordWrap/>
              <w:overflowPunct/>
              <w:topLinePunct w:val="0"/>
              <w:autoSpaceDE/>
              <w:autoSpaceDN/>
              <w:bidi w:val="0"/>
              <w:adjustRightInd/>
              <w:snapToGrid/>
              <w:spacing w:line="360" w:lineRule="auto"/>
              <w:contextualSpacing/>
              <w:jc w:val="both"/>
              <w:textAlignment w:val="auto"/>
              <w:rPr>
                <w:rFonts w:ascii="Times New Roman" w:hAnsi="Times New Roman" w:eastAsia="宋体" w:cs="Times New Roman"/>
                <w:kern w:val="2"/>
                <w:sz w:val="24"/>
                <w:szCs w:val="24"/>
                <w:lang w:val="en-US" w:eastAsia="zh-CN" w:bidi="ar-SA"/>
              </w:rPr>
            </w:pPr>
          </w:p>
        </w:tc>
      </w:tr>
      <w:tr w14:paraId="334E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9" w:hRule="atLeast"/>
          <w:jc w:val="center"/>
        </w:trPr>
        <w:tc>
          <w:tcPr>
            <w:tcW w:w="1691" w:type="dxa"/>
            <w:vAlign w:val="center"/>
          </w:tcPr>
          <w:p w14:paraId="0DBE84BE">
            <w:pPr>
              <w:autoSpaceDE w:val="0"/>
              <w:autoSpaceDN w:val="0"/>
              <w:adjustRightInd w:val="0"/>
              <w:snapToGrid w:val="0"/>
              <w:jc w:val="center"/>
              <w:rPr>
                <w:rFonts w:hint="eastAsia"/>
                <w:color w:val="auto"/>
                <w:sz w:val="24"/>
                <w:szCs w:val="24"/>
              </w:rPr>
            </w:pPr>
            <w:r>
              <w:rPr>
                <w:rFonts w:hint="default" w:ascii="Times New Roman" w:hAnsi="Times New Roman" w:eastAsia="宋体" w:cs="Times New Roman"/>
                <w:color w:val="auto"/>
                <w:sz w:val="24"/>
                <w:szCs w:val="24"/>
              </w:rPr>
              <w:t>其他符合性分析</w:t>
            </w:r>
          </w:p>
        </w:tc>
        <w:tc>
          <w:tcPr>
            <w:tcW w:w="7777" w:type="dxa"/>
            <w:gridSpan w:val="3"/>
            <w:vAlign w:val="center"/>
          </w:tcPr>
          <w:p w14:paraId="266CD148">
            <w:pPr>
              <w:spacing w:line="360" w:lineRule="auto"/>
              <w:rPr>
                <w:rFonts w:hint="default" w:ascii="Times New Roman" w:hAnsi="Times New Roman" w:eastAsia="宋体" w:cs="Times New Roman"/>
                <w:sz w:val="24"/>
                <w:szCs w:val="24"/>
              </w:rPr>
            </w:pPr>
            <w:r>
              <w:rPr>
                <w:rFonts w:hint="eastAsia"/>
                <w:b/>
                <w:color w:val="auto"/>
                <w:sz w:val="24"/>
                <w:szCs w:val="24"/>
              </w:rPr>
              <w:t>1.</w:t>
            </w:r>
            <w:r>
              <w:rPr>
                <w:rFonts w:hint="eastAsia"/>
                <w:b/>
                <w:color w:val="auto"/>
                <w:sz w:val="24"/>
                <w:szCs w:val="24"/>
                <w:lang w:eastAsia="zh-CN"/>
              </w:rPr>
              <w:t>产业政策符合性分析</w:t>
            </w:r>
          </w:p>
          <w:p w14:paraId="1CE9D6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color w:val="auto"/>
                <w:sz w:val="24"/>
                <w:szCs w:val="24"/>
                <w:lang w:val="en-US" w:eastAsia="zh-CN"/>
              </w:rPr>
            </w:pPr>
            <w:r>
              <w:rPr>
                <w:rFonts w:hint="eastAsia"/>
                <w:b w:val="0"/>
                <w:bCs/>
                <w:color w:val="auto"/>
                <w:sz w:val="24"/>
                <w:szCs w:val="24"/>
                <w:lang w:eastAsia="zh-CN"/>
              </w:rPr>
              <w:t>本项目为</w:t>
            </w:r>
            <w:r>
              <w:rPr>
                <w:rFonts w:hint="eastAsia" w:hAnsi="宋体"/>
                <w:color w:val="auto"/>
                <w:sz w:val="24"/>
                <w:szCs w:val="24"/>
                <w:lang w:val="en-US" w:eastAsia="zh-CN"/>
              </w:rPr>
              <w:t>C3985电子专用材料制造</w:t>
            </w:r>
            <w:r>
              <w:rPr>
                <w:rFonts w:hint="eastAsia"/>
                <w:sz w:val="24"/>
                <w:szCs w:val="24"/>
                <w:lang w:val="en-US" w:eastAsia="zh-CN"/>
              </w:rPr>
              <w:t>，</w:t>
            </w:r>
            <w:r>
              <w:rPr>
                <w:rFonts w:hint="eastAsia"/>
                <w:color w:val="000000" w:themeColor="text1"/>
                <w:sz w:val="24"/>
                <w:szCs w:val="24"/>
                <w:highlight w:val="none"/>
                <w:lang w:eastAsia="zh-CN"/>
                <w14:textFill>
                  <w14:solidFill>
                    <w14:schemeClr w14:val="tx1"/>
                  </w14:solidFill>
                </w14:textFill>
              </w:rPr>
              <w:t>根据</w:t>
            </w:r>
            <w:r>
              <w:rPr>
                <w:rFonts w:hint="eastAsia"/>
                <w:color w:val="000000" w:themeColor="text1"/>
                <w:sz w:val="24"/>
                <w:szCs w:val="24"/>
                <w:highlight w:val="none"/>
                <w14:textFill>
                  <w14:solidFill>
                    <w14:schemeClr w14:val="tx1"/>
                  </w14:solidFill>
                </w14:textFill>
              </w:rPr>
              <w:t>《产业结构调整指导目录（</w:t>
            </w:r>
            <w:r>
              <w:rPr>
                <w:color w:val="000000" w:themeColor="text1"/>
                <w:sz w:val="24"/>
                <w:szCs w:val="24"/>
                <w:highlight w:val="none"/>
                <w14:textFill>
                  <w14:solidFill>
                    <w14:schemeClr w14:val="tx1"/>
                  </w14:solidFill>
                </w14:textFill>
              </w:rPr>
              <w:t>20</w:t>
            </w:r>
            <w:r>
              <w:rPr>
                <w:rFonts w:hint="eastAsia"/>
                <w:color w:val="000000" w:themeColor="text1"/>
                <w:sz w:val="24"/>
                <w:szCs w:val="24"/>
                <w:highlight w:val="none"/>
                <w:lang w:val="en-US" w:eastAsia="zh-CN"/>
                <w14:textFill>
                  <w14:solidFill>
                    <w14:schemeClr w14:val="tx1"/>
                  </w14:solidFill>
                </w14:textFill>
              </w:rPr>
              <w:t>24</w:t>
            </w:r>
            <w:r>
              <w:rPr>
                <w:rFonts w:hint="eastAsia"/>
                <w:color w:val="000000" w:themeColor="text1"/>
                <w:sz w:val="24"/>
                <w:szCs w:val="24"/>
                <w:highlight w:val="none"/>
                <w14:textFill>
                  <w14:solidFill>
                    <w14:schemeClr w14:val="tx1"/>
                  </w14:solidFill>
                </w14:textFill>
              </w:rPr>
              <w:t>年本）》</w:t>
            </w:r>
            <w:r>
              <w:rPr>
                <w:rFonts w:hint="eastAsia"/>
                <w:color w:val="000000" w:themeColor="text1"/>
                <w:sz w:val="24"/>
                <w:szCs w:val="24"/>
                <w:highlight w:val="none"/>
                <w:lang w:eastAsia="zh-CN"/>
                <w14:textFill>
                  <w14:solidFill>
                    <w14:schemeClr w14:val="tx1"/>
                  </w14:solidFill>
                </w14:textFill>
              </w:rPr>
              <w:t>中规定，本项目</w:t>
            </w:r>
            <w:r>
              <w:rPr>
                <w:rFonts w:hint="eastAsia"/>
                <w:b w:val="0"/>
                <w:bCs/>
                <w:color w:val="auto"/>
                <w:sz w:val="24"/>
                <w:szCs w:val="24"/>
                <w:lang w:eastAsia="zh-CN"/>
              </w:rPr>
              <w:t>不属于</w:t>
            </w:r>
            <w:r>
              <w:rPr>
                <w:rFonts w:hint="eastAsia"/>
                <w:color w:val="000000" w:themeColor="text1"/>
                <w:sz w:val="24"/>
                <w:szCs w:val="24"/>
                <w:highlight w:val="none"/>
                <w:lang w:eastAsia="zh-CN"/>
                <w14:textFill>
                  <w14:solidFill>
                    <w14:schemeClr w14:val="tx1"/>
                  </w14:solidFill>
                </w14:textFill>
              </w:rPr>
              <w:t>限制类、淘汰类和鼓励类</w:t>
            </w:r>
            <w:r>
              <w:rPr>
                <w:rFonts w:hint="default" w:ascii="Times New Roman" w:hAnsi="Times New Roman" w:eastAsia="宋体" w:cs="Times New Roman"/>
                <w:sz w:val="24"/>
                <w:szCs w:val="24"/>
              </w:rPr>
              <w:t>项目，视为允许类</w:t>
            </w:r>
            <w:r>
              <w:rPr>
                <w:rFonts w:hint="eastAsia" w:cs="Times New Roman"/>
                <w:sz w:val="24"/>
                <w:szCs w:val="24"/>
                <w:lang w:eastAsia="zh-CN"/>
              </w:rPr>
              <w:t>项目</w:t>
            </w:r>
            <w:r>
              <w:rPr>
                <w:rFonts w:hint="default" w:ascii="Times New Roman" w:hAnsi="Times New Roman" w:eastAsia="宋体" w:cs="Times New Roman"/>
                <w:sz w:val="24"/>
                <w:szCs w:val="24"/>
              </w:rPr>
              <w:t>。</w:t>
            </w:r>
            <w:r>
              <w:rPr>
                <w:snapToGrid w:val="0"/>
                <w:kern w:val="0"/>
                <w:sz w:val="24"/>
                <w:szCs w:val="24"/>
              </w:rPr>
              <w:t>本项目于20</w:t>
            </w:r>
            <w:r>
              <w:rPr>
                <w:rFonts w:hint="eastAsia"/>
                <w:snapToGrid w:val="0"/>
                <w:kern w:val="0"/>
                <w:sz w:val="24"/>
                <w:szCs w:val="24"/>
                <w:lang w:val="en-US" w:eastAsia="zh-CN"/>
              </w:rPr>
              <w:t>24</w:t>
            </w:r>
            <w:r>
              <w:rPr>
                <w:snapToGrid w:val="0"/>
                <w:kern w:val="0"/>
                <w:sz w:val="24"/>
                <w:szCs w:val="24"/>
              </w:rPr>
              <w:t>年</w:t>
            </w:r>
            <w:r>
              <w:rPr>
                <w:rFonts w:hint="eastAsia"/>
                <w:snapToGrid w:val="0"/>
                <w:kern w:val="0"/>
                <w:sz w:val="24"/>
                <w:szCs w:val="24"/>
                <w:lang w:val="en-US" w:eastAsia="zh-CN"/>
              </w:rPr>
              <w:t>4</w:t>
            </w:r>
            <w:r>
              <w:rPr>
                <w:snapToGrid w:val="0"/>
                <w:kern w:val="0"/>
                <w:sz w:val="24"/>
                <w:szCs w:val="24"/>
              </w:rPr>
              <w:t>月获得蚌埠市</w:t>
            </w:r>
            <w:r>
              <w:rPr>
                <w:rFonts w:hint="eastAsia"/>
                <w:snapToGrid w:val="0"/>
                <w:kern w:val="0"/>
                <w:sz w:val="24"/>
                <w:szCs w:val="24"/>
                <w:lang w:eastAsia="zh-CN"/>
              </w:rPr>
              <w:t>固镇县发展和改革委员会</w:t>
            </w:r>
            <w:r>
              <w:rPr>
                <w:snapToGrid w:val="0"/>
                <w:kern w:val="0"/>
                <w:sz w:val="24"/>
              </w:rPr>
              <w:t>的备案（项目编码：</w:t>
            </w:r>
            <w:r>
              <w:rPr>
                <w:rFonts w:hint="default" w:ascii="Times New Roman" w:hAnsi="Times New Roman" w:eastAsia="宋体" w:cs="Times New Roman"/>
                <w:color w:val="auto"/>
                <w:sz w:val="24"/>
                <w:szCs w:val="24"/>
              </w:rPr>
              <w:t>2</w:t>
            </w:r>
            <w:r>
              <w:rPr>
                <w:rFonts w:hint="eastAsia" w:ascii="Times New Roman" w:hAnsi="Times New Roman" w:cs="Times New Roman"/>
                <w:color w:val="auto"/>
                <w:sz w:val="24"/>
                <w:szCs w:val="24"/>
                <w:lang w:val="en-US" w:eastAsia="zh-CN"/>
              </w:rPr>
              <w:t>402</w:t>
            </w:r>
            <w:r>
              <w:rPr>
                <w:rFonts w:hint="default" w:ascii="Times New Roman" w:hAnsi="Times New Roman" w:eastAsia="宋体" w:cs="Times New Roman"/>
                <w:color w:val="auto"/>
                <w:sz w:val="24"/>
                <w:szCs w:val="24"/>
              </w:rPr>
              <w:t>-3403</w:t>
            </w:r>
            <w:r>
              <w:rPr>
                <w:rFonts w:hint="eastAsia"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rPr>
              <w:t>-04-0</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319264</w:t>
            </w:r>
            <w:r>
              <w:rPr>
                <w:snapToGrid w:val="0"/>
                <w:color w:val="auto"/>
                <w:kern w:val="0"/>
                <w:sz w:val="24"/>
              </w:rPr>
              <w:t>）。因此，本项目建设符合国家和地方产业政策要求。</w:t>
            </w:r>
          </w:p>
          <w:p w14:paraId="42ABEC55">
            <w:pPr>
              <w:spacing w:line="360" w:lineRule="auto"/>
              <w:rPr>
                <w:rFonts w:hint="default" w:ascii="Times New Roman" w:hAnsi="Times New Roman" w:eastAsia="宋体" w:cs="Times New Roman"/>
                <w:b/>
                <w:bCs/>
                <w:color w:val="auto"/>
                <w:sz w:val="24"/>
                <w:szCs w:val="32"/>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rPr>
              <w:t>与</w:t>
            </w:r>
            <w:r>
              <w:rPr>
                <w:rFonts w:hint="eastAsia" w:ascii="Times New Roman" w:hAnsi="Times New Roman" w:eastAsia="宋体" w:cs="Times New Roman"/>
                <w:b/>
                <w:bCs/>
                <w:color w:val="auto"/>
                <w:sz w:val="24"/>
              </w:rPr>
              <w:t>《空气质量持续改善行动计划》的通知</w:t>
            </w:r>
            <w:r>
              <w:rPr>
                <w:rFonts w:hint="default" w:ascii="Times New Roman" w:hAnsi="Times New Roman" w:eastAsia="宋体" w:cs="Times New Roman"/>
                <w:b/>
                <w:bCs/>
                <w:color w:val="auto"/>
                <w:sz w:val="24"/>
              </w:rPr>
              <w:t>国发〔2023〕24号</w:t>
            </w:r>
            <w:r>
              <w:rPr>
                <w:rFonts w:hint="eastAsia" w:ascii="Times New Roman" w:hAnsi="Times New Roman" w:eastAsia="宋体" w:cs="Times New Roman"/>
                <w:b/>
                <w:bCs/>
                <w:color w:val="auto"/>
                <w:sz w:val="24"/>
                <w:lang w:val="en-US" w:eastAsia="zh-CN"/>
              </w:rPr>
              <w:t>符合性分析</w:t>
            </w:r>
          </w:p>
          <w:p w14:paraId="1ABB15A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与国发〔2023〕24号</w:t>
            </w:r>
            <w:r>
              <w:rPr>
                <w:rFonts w:hint="eastAsia" w:ascii="Times New Roman" w:hAnsi="Times New Roman" w:eastAsia="宋体" w:cs="Times New Roman"/>
                <w:b/>
                <w:bCs/>
                <w:color w:val="auto"/>
                <w:sz w:val="21"/>
                <w:szCs w:val="21"/>
                <w:lang w:val="en-US" w:eastAsia="zh-CN"/>
              </w:rPr>
              <w:t>文</w:t>
            </w:r>
            <w:r>
              <w:rPr>
                <w:rFonts w:hint="default" w:ascii="Times New Roman" w:hAnsi="Times New Roman" w:eastAsia="宋体" w:cs="Times New Roman"/>
                <w:b/>
                <w:bCs/>
                <w:color w:val="auto"/>
                <w:sz w:val="21"/>
                <w:szCs w:val="21"/>
              </w:rPr>
              <w:t>相符性分析</w:t>
            </w:r>
          </w:p>
          <w:tbl>
            <w:tblPr>
              <w:tblStyle w:val="25"/>
              <w:tblW w:w="761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828"/>
              <w:gridCol w:w="1546"/>
              <w:gridCol w:w="789"/>
            </w:tblGrid>
            <w:tr w14:paraId="30D808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45F9735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4828" w:type="dxa"/>
                  <w:noWrap w:val="0"/>
                  <w:vAlign w:val="center"/>
                </w:tcPr>
                <w:p w14:paraId="457A87A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国发〔2023〕24号内容</w:t>
                  </w:r>
                </w:p>
              </w:tc>
              <w:tc>
                <w:tcPr>
                  <w:tcW w:w="1546" w:type="dxa"/>
                  <w:noWrap w:val="0"/>
                  <w:vAlign w:val="center"/>
                </w:tcPr>
                <w:p w14:paraId="3400C2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本项目情况</w:t>
                  </w:r>
                </w:p>
              </w:tc>
              <w:tc>
                <w:tcPr>
                  <w:tcW w:w="789" w:type="dxa"/>
                  <w:noWrap w:val="0"/>
                  <w:vAlign w:val="center"/>
                </w:tcPr>
                <w:p w14:paraId="6EAEC03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相符性</w:t>
                  </w:r>
                </w:p>
              </w:tc>
            </w:tr>
            <w:tr w14:paraId="37928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6073169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828" w:type="dxa"/>
                  <w:noWrap w:val="0"/>
                  <w:vAlign w:val="center"/>
                </w:tcPr>
                <w:p w14:paraId="1BC66949">
                  <w:pPr>
                    <w:numPr>
                      <w:ilvl w:val="0"/>
                      <w:numId w:val="1"/>
                    </w:num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坚决遏制高耗能、高排放、低水平项目盲目上马。</w:t>
                  </w:r>
                  <w:r>
                    <w:rPr>
                      <w:rFonts w:hint="eastAsia" w:ascii="Times New Roman" w:hAnsi="Times New Roman" w:eastAsia="宋体" w:cs="Times New Roman"/>
                      <w:color w:val="auto"/>
                      <w:sz w:val="21"/>
                      <w:szCs w:val="21"/>
                      <w:lang w:val="en-US" w:eastAsia="zh-CN"/>
                    </w:rPr>
                    <w:t>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3C116CF0">
                  <w:pPr>
                    <w:numPr>
                      <w:ilvl w:val="0"/>
                      <w:numId w:val="1"/>
                    </w:num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546" w:type="dxa"/>
                  <w:noWrap w:val="0"/>
                  <w:vAlign w:val="center"/>
                </w:tcPr>
                <w:p w14:paraId="7E08379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eastAsia="zh-CN"/>
                    </w:rPr>
                    <w:t>项目不属于两高</w:t>
                  </w:r>
                  <w:r>
                    <w:rPr>
                      <w:rFonts w:hint="eastAsia" w:cs="Times New Roman"/>
                      <w:color w:val="auto"/>
                      <w:sz w:val="21"/>
                      <w:szCs w:val="21"/>
                      <w:lang w:val="en-US" w:eastAsia="zh-CN"/>
                    </w:rPr>
                    <w:t>项目</w:t>
                  </w:r>
                </w:p>
              </w:tc>
              <w:tc>
                <w:tcPr>
                  <w:tcW w:w="789" w:type="dxa"/>
                  <w:noWrap w:val="0"/>
                  <w:vAlign w:val="center"/>
                </w:tcPr>
                <w:p w14:paraId="70D0592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330F4A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456" w:type="dxa"/>
                  <w:noWrap w:val="0"/>
                  <w:vAlign w:val="center"/>
                </w:tcPr>
                <w:p w14:paraId="1BD6758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4828" w:type="dxa"/>
                  <w:noWrap w:val="0"/>
                  <w:vAlign w:val="center"/>
                </w:tcPr>
                <w:p w14:paraId="00C9246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（十一）积极开展燃煤锅炉关停整合。</w:t>
                  </w:r>
                  <w:r>
                    <w:rPr>
                      <w:rFonts w:hint="eastAsia" w:ascii="Times New Roman" w:hAnsi="Times New Roman" w:eastAsia="宋体" w:cs="Times New Roman"/>
                      <w:color w:val="auto"/>
                      <w:sz w:val="21"/>
                      <w:szCs w:val="21"/>
                      <w:lang w:val="en-US" w:eastAsia="zh-CN"/>
                    </w:rPr>
                    <w:t>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546" w:type="dxa"/>
                  <w:noWrap w:val="0"/>
                  <w:vAlign w:val="center"/>
                </w:tcPr>
                <w:p w14:paraId="6A9EC66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本项目生产不使用</w:t>
                  </w:r>
                  <w:r>
                    <w:rPr>
                      <w:rFonts w:hint="eastAsia" w:cs="Times New Roman"/>
                      <w:color w:val="auto"/>
                      <w:sz w:val="21"/>
                      <w:szCs w:val="21"/>
                      <w:lang w:val="en-US" w:eastAsia="zh-CN"/>
                    </w:rPr>
                    <w:t>燃煤</w:t>
                  </w:r>
                  <w:r>
                    <w:rPr>
                      <w:rFonts w:hint="eastAsia" w:ascii="Times New Roman" w:hAnsi="Times New Roman" w:eastAsia="宋体" w:cs="Times New Roman"/>
                      <w:color w:val="auto"/>
                      <w:sz w:val="21"/>
                      <w:szCs w:val="21"/>
                      <w:lang w:val="en-US" w:eastAsia="zh-CN"/>
                    </w:rPr>
                    <w:t>锅炉</w:t>
                  </w:r>
                </w:p>
              </w:tc>
              <w:tc>
                <w:tcPr>
                  <w:tcW w:w="789" w:type="dxa"/>
                  <w:noWrap w:val="0"/>
                  <w:vAlign w:val="center"/>
                </w:tcPr>
                <w:p w14:paraId="2492D7D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57867D9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根据上表分析可知，本项目建设满足</w:t>
            </w:r>
            <w:r>
              <w:rPr>
                <w:rFonts w:hint="default" w:ascii="Times New Roman" w:hAnsi="Times New Roman" w:eastAsia="宋体" w:cs="Times New Roman"/>
                <w:color w:val="auto"/>
                <w:sz w:val="24"/>
              </w:rPr>
              <w:t>国发〔2023〕24号</w:t>
            </w:r>
            <w:r>
              <w:rPr>
                <w:rFonts w:hint="eastAsia" w:ascii="Times New Roman" w:hAnsi="Times New Roman" w:eastAsia="宋体" w:cs="Times New Roman"/>
                <w:color w:val="auto"/>
                <w:sz w:val="24"/>
                <w:lang w:val="en-US" w:eastAsia="zh-CN"/>
              </w:rPr>
              <w:t>文要求。</w:t>
            </w:r>
          </w:p>
          <w:p w14:paraId="6F17F11D">
            <w:pPr>
              <w:adjustRightInd w:val="0"/>
              <w:snapToGrid w:val="0"/>
              <w:spacing w:line="360" w:lineRule="auto"/>
              <w:jc w:val="left"/>
              <w:rPr>
                <w:b/>
                <w:color w:val="auto"/>
                <w:sz w:val="24"/>
              </w:rPr>
            </w:pPr>
            <w:r>
              <w:rPr>
                <w:rFonts w:hint="eastAsia"/>
                <w:b/>
                <w:color w:val="auto"/>
                <w:sz w:val="24"/>
                <w:szCs w:val="24"/>
                <w:lang w:val="en-US" w:eastAsia="zh-CN"/>
              </w:rPr>
              <w:t>3</w:t>
            </w:r>
            <w:r>
              <w:rPr>
                <w:rFonts w:hint="eastAsia"/>
                <w:b/>
                <w:bCs w:val="0"/>
                <w:color w:val="auto"/>
                <w:sz w:val="24"/>
                <w:szCs w:val="24"/>
              </w:rPr>
              <w:t>.</w:t>
            </w:r>
            <w:r>
              <w:rPr>
                <w:rFonts w:hint="eastAsia"/>
                <w:b/>
                <w:color w:val="auto"/>
                <w:sz w:val="24"/>
              </w:rPr>
              <w:t>与《安徽省淮河流域水污染防治条例》相符性</w:t>
            </w:r>
          </w:p>
          <w:p w14:paraId="2584E0F0">
            <w:pPr>
              <w:adjustRightInd w:val="0"/>
              <w:snapToGrid w:val="0"/>
              <w:spacing w:line="240" w:lineRule="auto"/>
              <w:jc w:val="center"/>
              <w:rPr>
                <w:b/>
                <w:bCs/>
                <w:snapToGrid w:val="0"/>
                <w:kern w:val="0"/>
                <w:sz w:val="21"/>
                <w:szCs w:val="21"/>
              </w:rPr>
            </w:pPr>
            <w:r>
              <w:rPr>
                <w:b/>
                <w:bCs/>
                <w:snapToGrid w:val="0"/>
                <w:kern w:val="0"/>
                <w:sz w:val="21"/>
                <w:szCs w:val="21"/>
              </w:rPr>
              <w:t>表1-</w:t>
            </w:r>
            <w:r>
              <w:rPr>
                <w:rFonts w:hint="eastAsia"/>
                <w:b/>
                <w:bCs/>
                <w:snapToGrid w:val="0"/>
                <w:kern w:val="0"/>
                <w:sz w:val="21"/>
                <w:szCs w:val="21"/>
                <w:lang w:val="en-US" w:eastAsia="zh-CN"/>
              </w:rPr>
              <w:t xml:space="preserve">4 </w:t>
            </w:r>
            <w:r>
              <w:rPr>
                <w:rFonts w:hint="eastAsia"/>
                <w:b/>
                <w:bCs/>
                <w:snapToGrid w:val="0"/>
                <w:kern w:val="0"/>
                <w:sz w:val="21"/>
                <w:szCs w:val="21"/>
              </w:rPr>
              <w:t>本项目与《</w:t>
            </w:r>
            <w:r>
              <w:rPr>
                <w:rFonts w:hint="eastAsia"/>
                <w:b/>
                <w:bCs/>
                <w:snapToGrid w:val="0"/>
                <w:kern w:val="0"/>
                <w:sz w:val="21"/>
                <w:szCs w:val="21"/>
                <w:lang w:eastAsia="zh-CN"/>
              </w:rPr>
              <w:t>安徽省</w:t>
            </w:r>
            <w:r>
              <w:rPr>
                <w:rFonts w:hint="eastAsia"/>
                <w:b/>
                <w:bCs/>
                <w:snapToGrid w:val="0"/>
                <w:kern w:val="0"/>
                <w:sz w:val="21"/>
                <w:szCs w:val="21"/>
              </w:rPr>
              <w:t>淮河流域水污染防治条例》符合性分析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9"/>
              <w:gridCol w:w="4021"/>
              <w:gridCol w:w="2085"/>
              <w:gridCol w:w="856"/>
            </w:tblGrid>
            <w:tr w14:paraId="4BC3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noWrap w:val="0"/>
                  <w:vAlign w:val="center"/>
                </w:tcPr>
                <w:p w14:paraId="4A614524">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4021" w:type="dxa"/>
                  <w:noWrap w:val="0"/>
                  <w:vAlign w:val="center"/>
                </w:tcPr>
                <w:p w14:paraId="33E71C99">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条例内容</w:t>
                  </w:r>
                </w:p>
              </w:tc>
              <w:tc>
                <w:tcPr>
                  <w:tcW w:w="2085" w:type="dxa"/>
                  <w:noWrap w:val="0"/>
                  <w:vAlign w:val="center"/>
                </w:tcPr>
                <w:p w14:paraId="4E7A80FD">
                  <w:pPr>
                    <w:pStyle w:val="5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项目建设情况</w:t>
                  </w:r>
                </w:p>
              </w:tc>
              <w:tc>
                <w:tcPr>
                  <w:tcW w:w="856" w:type="dxa"/>
                  <w:noWrap w:val="0"/>
                  <w:vAlign w:val="center"/>
                </w:tcPr>
                <w:p w14:paraId="7F74402E">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p w14:paraId="43232008">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性</w:t>
                  </w:r>
                </w:p>
              </w:tc>
            </w:tr>
            <w:tr w14:paraId="6497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noWrap w:val="0"/>
                  <w:vAlign w:val="center"/>
                </w:tcPr>
                <w:p w14:paraId="7E7DFFC9">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第十三条</w:t>
                  </w:r>
                </w:p>
              </w:tc>
              <w:tc>
                <w:tcPr>
                  <w:tcW w:w="4021" w:type="dxa"/>
                  <w:noWrap w:val="0"/>
                  <w:vAlign w:val="center"/>
                </w:tcPr>
                <w:p w14:paraId="40B2B35F">
                  <w:pPr>
                    <w:pStyle w:val="57"/>
                    <w:spacing w:line="240" w:lineRule="auto"/>
                    <w:ind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严格限制在淮河流域新建印染、制革、化工、电镀、酿造等大中型项目或者其他污染严重的项目；建设该类项目的，应当事前征得省人民政府生态环境行政主管部门的同意，并按照规定办理有关手续</w:t>
                  </w:r>
                  <w:r>
                    <w:rPr>
                      <w:rFonts w:hint="default" w:ascii="Times New Roman" w:hAnsi="Times New Roman" w:eastAsia="宋体" w:cs="Times New Roman"/>
                      <w:sz w:val="21"/>
                      <w:szCs w:val="21"/>
                      <w:lang w:val="en-US" w:eastAsia="zh-CN"/>
                    </w:rPr>
                    <w:t>。</w:t>
                  </w:r>
                </w:p>
              </w:tc>
              <w:tc>
                <w:tcPr>
                  <w:tcW w:w="2085" w:type="dxa"/>
                  <w:noWrap w:val="0"/>
                  <w:vAlign w:val="center"/>
                </w:tcPr>
                <w:p w14:paraId="630FCDD9">
                  <w:pPr>
                    <w:pStyle w:val="57"/>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9"/>
                      <w:sz w:val="21"/>
                      <w:szCs w:val="21"/>
                    </w:rPr>
                    <w:t>本项目属于</w:t>
                  </w:r>
                  <w:r>
                    <w:rPr>
                      <w:rFonts w:hint="default" w:ascii="Times New Roman" w:hAnsi="Times New Roman" w:cs="Times New Roman"/>
                      <w:color w:val="auto"/>
                      <w:sz w:val="21"/>
                      <w:szCs w:val="21"/>
                      <w:lang w:val="en-US" w:eastAsia="zh-CN"/>
                    </w:rPr>
                    <w:t>C3985电</w:t>
                  </w:r>
                  <w:r>
                    <w:rPr>
                      <w:rFonts w:hint="eastAsia" w:hAnsi="宋体"/>
                      <w:color w:val="auto"/>
                      <w:sz w:val="21"/>
                      <w:szCs w:val="21"/>
                      <w:lang w:val="en-US" w:eastAsia="zh-CN"/>
                    </w:rPr>
                    <w:t>子专用材料制造</w:t>
                  </w:r>
                  <w:r>
                    <w:rPr>
                      <w:rFonts w:hint="default" w:ascii="Times New Roman" w:hAnsi="Times New Roman" w:eastAsia="宋体" w:cs="Times New Roman"/>
                      <w:color w:val="auto"/>
                      <w:spacing w:val="-10"/>
                      <w:sz w:val="21"/>
                      <w:szCs w:val="21"/>
                    </w:rPr>
                    <w:t>，不属于印</w:t>
                  </w:r>
                  <w:r>
                    <w:rPr>
                      <w:rFonts w:hint="default" w:ascii="Times New Roman" w:hAnsi="Times New Roman" w:eastAsia="宋体" w:cs="Times New Roman"/>
                      <w:color w:val="auto"/>
                      <w:spacing w:val="-20"/>
                      <w:sz w:val="21"/>
                      <w:szCs w:val="21"/>
                    </w:rPr>
                    <w:t>染、制革、化工、电镀、</w:t>
                  </w:r>
                  <w:r>
                    <w:rPr>
                      <w:rFonts w:hint="default" w:ascii="Times New Roman" w:hAnsi="Times New Roman" w:eastAsia="宋体" w:cs="Times New Roman"/>
                      <w:color w:val="auto"/>
                      <w:sz w:val="21"/>
                      <w:szCs w:val="21"/>
                    </w:rPr>
                    <w:t>酿造等大中型项目或者其他污染严重的项目</w:t>
                  </w:r>
                  <w:r>
                    <w:rPr>
                      <w:rFonts w:hint="default" w:ascii="Times New Roman" w:hAnsi="Times New Roman" w:eastAsia="宋体" w:cs="Times New Roman"/>
                      <w:color w:val="auto"/>
                      <w:sz w:val="21"/>
                      <w:szCs w:val="21"/>
                      <w:lang w:eastAsia="zh-CN"/>
                    </w:rPr>
                    <w:t>。</w:t>
                  </w:r>
                </w:p>
              </w:tc>
              <w:tc>
                <w:tcPr>
                  <w:tcW w:w="856" w:type="dxa"/>
                  <w:noWrap w:val="0"/>
                  <w:vAlign w:val="center"/>
                </w:tcPr>
                <w:p w14:paraId="5B3C1990">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775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vMerge w:val="restart"/>
                  <w:noWrap w:val="0"/>
                  <w:vAlign w:val="center"/>
                </w:tcPr>
                <w:p w14:paraId="2517B2B6">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第十</w:t>
                  </w:r>
                  <w:r>
                    <w:rPr>
                      <w:rFonts w:hint="default" w:ascii="Times New Roman" w:hAnsi="Times New Roman" w:eastAsia="宋体" w:cs="Times New Roman"/>
                      <w:sz w:val="21"/>
                      <w:szCs w:val="21"/>
                    </w:rPr>
                    <w:t>四条</w:t>
                  </w:r>
                </w:p>
              </w:tc>
              <w:tc>
                <w:tcPr>
                  <w:tcW w:w="4021" w:type="dxa"/>
                  <w:noWrap w:val="0"/>
                  <w:vAlign w:val="center"/>
                </w:tcPr>
                <w:p w14:paraId="577BE181">
                  <w:pPr>
                    <w:pStyle w:val="57"/>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r>
                    <w:rPr>
                      <w:rFonts w:hint="default" w:ascii="Times New Roman" w:hAnsi="Times New Roman" w:eastAsia="宋体" w:cs="Times New Roman"/>
                      <w:sz w:val="21"/>
                      <w:szCs w:val="21"/>
                      <w:lang w:eastAsia="zh-CN"/>
                    </w:rPr>
                    <w:t>。</w:t>
                  </w:r>
                </w:p>
              </w:tc>
              <w:tc>
                <w:tcPr>
                  <w:tcW w:w="2085" w:type="dxa"/>
                  <w:noWrap w:val="0"/>
                  <w:vAlign w:val="center"/>
                </w:tcPr>
                <w:p w14:paraId="01B26CD6">
                  <w:pPr>
                    <w:pStyle w:val="57"/>
                    <w:spacing w:line="240" w:lineRule="auto"/>
                    <w:jc w:val="center"/>
                    <w:rPr>
                      <w:rFonts w:hint="default" w:ascii="Times New Roman" w:hAnsi="Times New Roman" w:eastAsia="宋体" w:cs="Times New Roman"/>
                      <w:color w:val="auto"/>
                      <w:sz w:val="21"/>
                      <w:szCs w:val="21"/>
                    </w:rPr>
                  </w:pPr>
                  <w:r>
                    <w:rPr>
                      <w:rFonts w:hint="eastAsia"/>
                      <w:b w:val="0"/>
                      <w:bCs/>
                      <w:color w:val="auto"/>
                      <w:sz w:val="21"/>
                      <w:szCs w:val="21"/>
                    </w:rPr>
                    <w:t>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一同排入园区污水管网，进入固镇经济开发区污水处理厂集中处理。</w:t>
                  </w:r>
                  <w:r>
                    <w:rPr>
                      <w:rFonts w:hint="default" w:ascii="Times New Roman" w:hAnsi="Times New Roman" w:eastAsia="宋体" w:cs="Times New Roman"/>
                      <w:color w:val="auto"/>
                      <w:sz w:val="21"/>
                      <w:szCs w:val="21"/>
                    </w:rPr>
                    <w:t>本项目的水污染防治设施与主体工程同时</w:t>
                  </w:r>
                  <w:r>
                    <w:rPr>
                      <w:rFonts w:hint="default" w:ascii="Times New Roman" w:hAnsi="Times New Roman" w:eastAsia="宋体" w:cs="Times New Roman"/>
                      <w:color w:val="auto"/>
                      <w:spacing w:val="-2"/>
                      <w:sz w:val="21"/>
                      <w:szCs w:val="21"/>
                    </w:rPr>
                    <w:t>设计、同时施工、同时</w:t>
                  </w:r>
                  <w:r>
                    <w:rPr>
                      <w:rFonts w:hint="default" w:ascii="Times New Roman" w:hAnsi="Times New Roman" w:eastAsia="宋体" w:cs="Times New Roman"/>
                      <w:color w:val="auto"/>
                      <w:sz w:val="21"/>
                      <w:szCs w:val="21"/>
                    </w:rPr>
                    <w:t>投入使用。</w:t>
                  </w:r>
                </w:p>
              </w:tc>
              <w:tc>
                <w:tcPr>
                  <w:tcW w:w="856" w:type="dxa"/>
                  <w:noWrap w:val="0"/>
                  <w:vAlign w:val="center"/>
                </w:tcPr>
                <w:p w14:paraId="65944D9D">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F32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vMerge w:val="continue"/>
                  <w:noWrap w:val="0"/>
                  <w:vAlign w:val="center"/>
                </w:tcPr>
                <w:p w14:paraId="23C19C0B">
                  <w:pPr>
                    <w:autoSpaceDE w:val="0"/>
                    <w:autoSpaceDN w:val="0"/>
                    <w:spacing w:line="240" w:lineRule="auto"/>
                    <w:jc w:val="center"/>
                    <w:rPr>
                      <w:rFonts w:hint="default" w:ascii="Times New Roman" w:hAnsi="Times New Roman" w:eastAsia="宋体" w:cs="Times New Roman"/>
                      <w:sz w:val="21"/>
                      <w:szCs w:val="21"/>
                    </w:rPr>
                  </w:pPr>
                </w:p>
              </w:tc>
              <w:tc>
                <w:tcPr>
                  <w:tcW w:w="4021" w:type="dxa"/>
                  <w:noWrap w:val="0"/>
                  <w:vAlign w:val="center"/>
                </w:tcPr>
                <w:p w14:paraId="39E1D83A">
                  <w:pPr>
                    <w:pStyle w:val="57"/>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新建、扩建、改建项目，除执行前款规定外，还应当遵守下列规定：</w:t>
                  </w:r>
                </w:p>
                <w:p w14:paraId="6277A8F6">
                  <w:pPr>
                    <w:pStyle w:val="57"/>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（一）新建项目的选址应符合城市总体规划，避开饮用水水源地和对环境有特殊要求的功能区；</w:t>
                  </w:r>
                </w:p>
                <w:p w14:paraId="502F5F44">
                  <w:pPr>
                    <w:pStyle w:val="57"/>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（二）采用资源利用率高、污染物排放量少的先进设备和先进工艺；</w:t>
                  </w:r>
                </w:p>
                <w:p w14:paraId="587B2FD9">
                  <w:pPr>
                    <w:pStyle w:val="57"/>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（三）改建、扩建项目和技改项目应当把水污染治理纳入项目内容。工程配套建设的水污染防治设施竣工</w:t>
                  </w:r>
                  <w:r>
                    <w:rPr>
                      <w:rFonts w:hint="default" w:ascii="Times New Roman" w:hAnsi="Times New Roman" w:eastAsia="宋体" w:cs="Times New Roman"/>
                      <w:spacing w:val="-1"/>
                      <w:sz w:val="21"/>
                      <w:szCs w:val="21"/>
                    </w:rPr>
                    <w:t>后，建设单位应当按照国务院生态环境</w:t>
                  </w:r>
                  <w:r>
                    <w:rPr>
                      <w:rFonts w:hint="default" w:ascii="Times New Roman" w:hAnsi="Times New Roman" w:eastAsia="宋体" w:cs="Times New Roman"/>
                      <w:sz w:val="21"/>
                      <w:szCs w:val="21"/>
                    </w:rPr>
                    <w:t>行政主管部门规定的标准和程序进行验收。验收合格后，方可投入使用；未经验收或者</w:t>
                  </w:r>
                  <w:r>
                    <w:rPr>
                      <w:rFonts w:hint="default" w:ascii="Times New Roman" w:hAnsi="Times New Roman" w:eastAsia="宋体" w:cs="Times New Roman"/>
                      <w:spacing w:val="-1"/>
                      <w:sz w:val="21"/>
                      <w:szCs w:val="21"/>
                    </w:rPr>
                    <w:t>验收不合格的，不得投入生产或者使用</w:t>
                  </w:r>
                  <w:r>
                    <w:rPr>
                      <w:rFonts w:hint="default" w:ascii="Times New Roman" w:hAnsi="Times New Roman" w:eastAsia="宋体" w:cs="Times New Roman"/>
                      <w:spacing w:val="-1"/>
                      <w:sz w:val="21"/>
                      <w:szCs w:val="21"/>
                      <w:lang w:eastAsia="zh-CN"/>
                    </w:rPr>
                    <w:t>。</w:t>
                  </w:r>
                </w:p>
              </w:tc>
              <w:tc>
                <w:tcPr>
                  <w:tcW w:w="2085" w:type="dxa"/>
                  <w:noWrap w:val="0"/>
                  <w:vAlign w:val="center"/>
                </w:tcPr>
                <w:p w14:paraId="4E3BA652">
                  <w:pPr>
                    <w:pStyle w:val="57"/>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本项目选址位于</w:t>
                  </w:r>
                  <w:r>
                    <w:rPr>
                      <w:rFonts w:hint="eastAsia"/>
                      <w:color w:val="000000" w:themeColor="text1"/>
                      <w:szCs w:val="21"/>
                      <w14:textFill>
                        <w14:solidFill>
                          <w14:schemeClr w14:val="tx1"/>
                        </w14:solidFill>
                      </w14:textFill>
                    </w:rPr>
                    <w:t>安徽</w:t>
                  </w:r>
                  <w:r>
                    <w:rPr>
                      <w:rFonts w:hint="eastAsia"/>
                      <w:color w:val="000000" w:themeColor="text1"/>
                      <w:sz w:val="21"/>
                      <w:szCs w:val="21"/>
                      <w14:textFill>
                        <w14:solidFill>
                          <w14:schemeClr w14:val="tx1"/>
                        </w14:solidFill>
                      </w14:textFill>
                    </w:rPr>
                    <w:t>省蚌埠市</w:t>
                  </w:r>
                  <w:r>
                    <w:rPr>
                      <w:rFonts w:hint="eastAsia"/>
                      <w:color w:val="auto"/>
                      <w:sz w:val="21"/>
                      <w:szCs w:val="21"/>
                      <w:lang w:val="en-US" w:eastAsia="zh-CN"/>
                    </w:rPr>
                    <w:t>固镇经济开发区门东路南侧、经二路西侧</w:t>
                  </w:r>
                  <w:r>
                    <w:rPr>
                      <w:rFonts w:hint="default" w:ascii="Times New Roman" w:hAnsi="Times New Roman" w:eastAsia="宋体" w:cs="Times New Roman"/>
                      <w:color w:val="auto"/>
                      <w:sz w:val="21"/>
                      <w:szCs w:val="21"/>
                    </w:rPr>
                    <w:t>，符合用地和产业规划，评价范围内不涉及饮用水水源地和对环境有特殊要求的功能区。要求企业采用资源利</w:t>
                  </w:r>
                  <w:r>
                    <w:rPr>
                      <w:rFonts w:hint="default" w:ascii="Times New Roman" w:hAnsi="Times New Roman" w:eastAsia="宋体" w:cs="Times New Roman"/>
                      <w:color w:val="auto"/>
                      <w:spacing w:val="-11"/>
                      <w:sz w:val="21"/>
                      <w:szCs w:val="21"/>
                    </w:rPr>
                    <w:t>用率高，污染物排放量</w:t>
                  </w:r>
                  <w:r>
                    <w:rPr>
                      <w:rFonts w:hint="default" w:ascii="Times New Roman" w:hAnsi="Times New Roman" w:eastAsia="宋体" w:cs="Times New Roman"/>
                      <w:color w:val="auto"/>
                      <w:sz w:val="21"/>
                      <w:szCs w:val="21"/>
                    </w:rPr>
                    <w:t>少的先进设备和先进工艺。建设单位应当按照国务院生态环境行政主管部门规定的标准和</w:t>
                  </w:r>
                  <w:r>
                    <w:rPr>
                      <w:rFonts w:hint="default" w:ascii="Times New Roman" w:hAnsi="Times New Roman" w:eastAsia="宋体" w:cs="Times New Roman"/>
                      <w:color w:val="auto"/>
                      <w:spacing w:val="-11"/>
                      <w:sz w:val="21"/>
                      <w:szCs w:val="21"/>
                    </w:rPr>
                    <w:t>程序进行验收。验收合</w:t>
                  </w:r>
                  <w:r>
                    <w:rPr>
                      <w:rFonts w:hint="default" w:ascii="Times New Roman" w:hAnsi="Times New Roman" w:eastAsia="宋体" w:cs="Times New Roman"/>
                      <w:color w:val="auto"/>
                      <w:sz w:val="21"/>
                      <w:szCs w:val="21"/>
                    </w:rPr>
                    <w:t>格后，方可投入使用；未经验收或者验收不</w:t>
                  </w:r>
                  <w:r>
                    <w:rPr>
                      <w:rFonts w:hint="default" w:ascii="Times New Roman" w:hAnsi="Times New Roman" w:eastAsia="宋体" w:cs="Times New Roman"/>
                      <w:color w:val="auto"/>
                      <w:spacing w:val="-11"/>
                      <w:sz w:val="21"/>
                      <w:szCs w:val="21"/>
                    </w:rPr>
                    <w:t>合格的，不得投入生产</w:t>
                  </w:r>
                  <w:r>
                    <w:rPr>
                      <w:rFonts w:hint="default" w:ascii="Times New Roman" w:hAnsi="Times New Roman" w:eastAsia="宋体" w:cs="Times New Roman"/>
                      <w:color w:val="auto"/>
                      <w:sz w:val="21"/>
                      <w:szCs w:val="21"/>
                    </w:rPr>
                    <w:t>或者使用</w:t>
                  </w:r>
                  <w:r>
                    <w:rPr>
                      <w:rFonts w:hint="default" w:ascii="Times New Roman" w:hAnsi="Times New Roman" w:eastAsia="宋体" w:cs="Times New Roman"/>
                      <w:color w:val="auto"/>
                      <w:sz w:val="21"/>
                      <w:szCs w:val="21"/>
                      <w:lang w:eastAsia="zh-CN"/>
                    </w:rPr>
                    <w:t>。</w:t>
                  </w:r>
                </w:p>
              </w:tc>
              <w:tc>
                <w:tcPr>
                  <w:tcW w:w="856" w:type="dxa"/>
                  <w:noWrap w:val="0"/>
                  <w:vAlign w:val="center"/>
                </w:tcPr>
                <w:p w14:paraId="2AD09001">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4485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noWrap w:val="0"/>
                  <w:vAlign w:val="center"/>
                </w:tcPr>
                <w:p w14:paraId="391A584D">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第十五条</w:t>
                  </w:r>
                </w:p>
              </w:tc>
              <w:tc>
                <w:tcPr>
                  <w:tcW w:w="4021" w:type="dxa"/>
                  <w:noWrap w:val="0"/>
                  <w:vAlign w:val="center"/>
                </w:tcPr>
                <w:p w14:paraId="272D461B">
                  <w:pPr>
                    <w:pStyle w:val="57"/>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所有排污单位的污水治理设施，应当确保正常运转，达标排放</w:t>
                  </w:r>
                  <w:r>
                    <w:rPr>
                      <w:rFonts w:hint="default" w:ascii="Times New Roman" w:hAnsi="Times New Roman" w:eastAsia="宋体" w:cs="Times New Roman"/>
                      <w:sz w:val="21"/>
                      <w:szCs w:val="21"/>
                      <w:lang w:eastAsia="zh-CN"/>
                    </w:rPr>
                    <w:t>。</w:t>
                  </w:r>
                </w:p>
              </w:tc>
              <w:tc>
                <w:tcPr>
                  <w:tcW w:w="2085" w:type="dxa"/>
                  <w:noWrap w:val="0"/>
                  <w:vAlign w:val="center"/>
                </w:tcPr>
                <w:p w14:paraId="3A2CCC8C">
                  <w:pPr>
                    <w:pStyle w:val="57"/>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b w:val="0"/>
                      <w:bCs/>
                      <w:color w:val="auto"/>
                      <w:sz w:val="21"/>
                      <w:szCs w:val="21"/>
                    </w:rPr>
                    <w:t>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一同排入园区污水管网，进入固镇经济开发区污水处理厂集中处理。</w:t>
                  </w:r>
                </w:p>
              </w:tc>
              <w:tc>
                <w:tcPr>
                  <w:tcW w:w="856" w:type="dxa"/>
                  <w:noWrap w:val="0"/>
                  <w:vAlign w:val="center"/>
                </w:tcPr>
                <w:p w14:paraId="23F9C8B4">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3F56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noWrap w:val="0"/>
                  <w:vAlign w:val="center"/>
                </w:tcPr>
                <w:p w14:paraId="03D5459B">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第十七条</w:t>
                  </w:r>
                </w:p>
              </w:tc>
              <w:tc>
                <w:tcPr>
                  <w:tcW w:w="4021" w:type="dxa"/>
                  <w:noWrap w:val="0"/>
                  <w:vAlign w:val="center"/>
                </w:tcPr>
                <w:p w14:paraId="4F56E1E4">
                  <w:pPr>
                    <w:pStyle w:val="57"/>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在饮用水水源保护区内，禁止设置排污口。在风景名胜区水体、重要渔业水体和其他具有特殊经济文化价值的水体的保护区内，不得新建排污口。在保护区附近新建</w:t>
                  </w:r>
                  <w:r>
                    <w:rPr>
                      <w:rFonts w:hint="default" w:ascii="Times New Roman" w:hAnsi="Times New Roman" w:eastAsia="宋体" w:cs="Times New Roman"/>
                      <w:spacing w:val="-1"/>
                      <w:sz w:val="21"/>
                      <w:szCs w:val="21"/>
                    </w:rPr>
                    <w:t>排污口，应当保证保护区水体不受污染</w:t>
                  </w:r>
                  <w:r>
                    <w:rPr>
                      <w:rFonts w:hint="default" w:ascii="Times New Roman" w:hAnsi="Times New Roman" w:eastAsia="宋体" w:cs="Times New Roman"/>
                      <w:spacing w:val="-1"/>
                      <w:sz w:val="21"/>
                      <w:szCs w:val="21"/>
                      <w:lang w:eastAsia="zh-CN"/>
                    </w:rPr>
                    <w:t>。</w:t>
                  </w:r>
                </w:p>
              </w:tc>
              <w:tc>
                <w:tcPr>
                  <w:tcW w:w="2085" w:type="dxa"/>
                  <w:noWrap w:val="0"/>
                  <w:vAlign w:val="center"/>
                </w:tcPr>
                <w:p w14:paraId="674A1AEC">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cs="Times New Roman"/>
                      <w:color w:val="auto"/>
                      <w:sz w:val="21"/>
                      <w:szCs w:val="21"/>
                      <w:lang w:eastAsia="zh-CN"/>
                    </w:rPr>
                    <w:t>废水间接排放，</w:t>
                  </w:r>
                  <w:r>
                    <w:rPr>
                      <w:rFonts w:hint="default" w:ascii="Times New Roman" w:hAnsi="Times New Roman" w:eastAsia="宋体" w:cs="Times New Roman"/>
                      <w:color w:val="auto"/>
                      <w:sz w:val="21"/>
                      <w:szCs w:val="21"/>
                    </w:rPr>
                    <w:t>不新建排污口</w:t>
                  </w:r>
                </w:p>
              </w:tc>
              <w:tc>
                <w:tcPr>
                  <w:tcW w:w="856" w:type="dxa"/>
                  <w:noWrap w:val="0"/>
                  <w:vAlign w:val="center"/>
                </w:tcPr>
                <w:p w14:paraId="0134B842">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14:paraId="5B5A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89" w:type="dxa"/>
                  <w:noWrap w:val="0"/>
                  <w:vAlign w:val="center"/>
                </w:tcPr>
                <w:p w14:paraId="3197D304">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第十九条</w:t>
                  </w:r>
                </w:p>
              </w:tc>
              <w:tc>
                <w:tcPr>
                  <w:tcW w:w="4021" w:type="dxa"/>
                  <w:noWrap w:val="0"/>
                  <w:vAlign w:val="center"/>
                </w:tcPr>
                <w:p w14:paraId="27088CAB">
                  <w:pPr>
                    <w:pStyle w:val="57"/>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禁止下列行为：</w:t>
                  </w:r>
                </w:p>
                <w:p w14:paraId="6B116D5E">
                  <w:pPr>
                    <w:pStyle w:val="57"/>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w:t>
                  </w:r>
                  <w:r>
                    <w:rPr>
                      <w:rFonts w:hint="default" w:ascii="Times New Roman" w:hAnsi="Times New Roman" w:eastAsia="宋体" w:cs="Times New Roman"/>
                      <w:sz w:val="21"/>
                      <w:szCs w:val="21"/>
                      <w:lang w:eastAsia="zh-CN"/>
                    </w:rPr>
                    <w:t>。</w:t>
                  </w:r>
                </w:p>
              </w:tc>
              <w:tc>
                <w:tcPr>
                  <w:tcW w:w="2085" w:type="dxa"/>
                  <w:noWrap w:val="0"/>
                  <w:vAlign w:val="center"/>
                </w:tcPr>
                <w:p w14:paraId="0C033CF5">
                  <w:pPr>
                    <w:pStyle w:val="57"/>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评价要求企业严格遵</w:t>
                  </w:r>
                  <w:r>
                    <w:rPr>
                      <w:rFonts w:hint="default" w:ascii="Times New Roman" w:hAnsi="Times New Roman" w:eastAsia="宋体" w:cs="Times New Roman"/>
                      <w:spacing w:val="-11"/>
                      <w:sz w:val="21"/>
                      <w:szCs w:val="21"/>
                    </w:rPr>
                    <w:t>守《安徽省淮河流域水</w:t>
                  </w:r>
                  <w:r>
                    <w:rPr>
                      <w:rFonts w:hint="default" w:ascii="Times New Roman" w:hAnsi="Times New Roman" w:eastAsia="宋体" w:cs="Times New Roman"/>
                      <w:spacing w:val="-9"/>
                      <w:sz w:val="21"/>
                      <w:szCs w:val="21"/>
                    </w:rPr>
                    <w:t>污染防治条例》，不得</w:t>
                  </w:r>
                  <w:r>
                    <w:rPr>
                      <w:rFonts w:hint="default" w:ascii="Times New Roman" w:hAnsi="Times New Roman" w:eastAsia="宋体" w:cs="Times New Roman"/>
                      <w:sz w:val="21"/>
                      <w:szCs w:val="21"/>
                    </w:rPr>
                    <w:t>有明令禁止的违法行为</w:t>
                  </w:r>
                  <w:r>
                    <w:rPr>
                      <w:rFonts w:hint="default" w:ascii="Times New Roman" w:hAnsi="Times New Roman" w:eastAsia="宋体" w:cs="Times New Roman"/>
                      <w:sz w:val="21"/>
                      <w:szCs w:val="21"/>
                      <w:lang w:eastAsia="zh-CN"/>
                    </w:rPr>
                    <w:t>。</w:t>
                  </w:r>
                </w:p>
              </w:tc>
              <w:tc>
                <w:tcPr>
                  <w:tcW w:w="856" w:type="dxa"/>
                  <w:noWrap w:val="0"/>
                  <w:vAlign w:val="center"/>
                </w:tcPr>
                <w:p w14:paraId="7FFD736E">
                  <w:pPr>
                    <w:pStyle w:val="57"/>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14:paraId="68CF4671">
            <w:pPr>
              <w:spacing w:line="360" w:lineRule="auto"/>
              <w:rPr>
                <w:b/>
                <w:bCs/>
                <w:color w:val="auto"/>
                <w:kern w:val="0"/>
                <w:sz w:val="24"/>
              </w:rPr>
            </w:pPr>
            <w:r>
              <w:rPr>
                <w:rFonts w:hint="eastAsia"/>
                <w:b/>
                <w:sz w:val="24"/>
                <w:szCs w:val="24"/>
                <w:lang w:val="en-US" w:eastAsia="zh-CN"/>
              </w:rPr>
              <w:t>4</w:t>
            </w:r>
            <w:r>
              <w:rPr>
                <w:rFonts w:hint="eastAsia"/>
                <w:b/>
                <w:color w:val="auto"/>
                <w:sz w:val="24"/>
                <w:szCs w:val="24"/>
              </w:rPr>
              <w:t>.</w:t>
            </w:r>
            <w:r>
              <w:rPr>
                <w:b/>
                <w:color w:val="auto"/>
                <w:sz w:val="24"/>
                <w:szCs w:val="24"/>
              </w:rPr>
              <w:t>“三线一单”相符性分</w:t>
            </w:r>
            <w:r>
              <w:rPr>
                <w:rFonts w:hint="eastAsia"/>
                <w:b/>
                <w:bCs/>
                <w:color w:val="auto"/>
                <w:kern w:val="0"/>
                <w:sz w:val="24"/>
              </w:rPr>
              <w:t>析</w:t>
            </w:r>
          </w:p>
          <w:p w14:paraId="66094536">
            <w:pPr>
              <w:spacing w:line="360" w:lineRule="auto"/>
              <w:ind w:firstLine="480"/>
              <w:rPr>
                <w:rFonts w:hint="eastAsia"/>
                <w:kern w:val="0"/>
                <w:sz w:val="24"/>
              </w:rPr>
            </w:pPr>
            <w:r>
              <w:rPr>
                <w:rFonts w:hint="eastAsia"/>
                <w:color w:val="auto"/>
                <w:kern w:val="0"/>
                <w:sz w:val="24"/>
              </w:rPr>
              <w:t>中华人民共和国环境保护部环环评[2016]150号文《关于以改善环境质量为核心加强环境影响评价管理的通知》要求：为适应以改善环境质量为核心的环境管理要求，切</w:t>
            </w:r>
            <w:r>
              <w:rPr>
                <w:rFonts w:hint="eastAsia"/>
                <w:kern w:val="0"/>
                <w:sz w:val="24"/>
              </w:rPr>
              <w:t>实加强环境影响评价（以下简称环评）管理，落实“生态保护红线、环境质量底线、资源利用上线和环境准入负面清单”（以下简称“三线一单”）约束，建立项目环评审批与规划环评、现有项目环境管理、区域环境质量联动机制（以下简称“三挂钩”机制），更好地发挥环评制度从源头防范环境污染和生态破坏的作用，加快推进改善环境质量。</w:t>
            </w:r>
          </w:p>
          <w:p w14:paraId="7C0EC38C">
            <w:pPr>
              <w:snapToGrid w:val="0"/>
              <w:spacing w:line="240" w:lineRule="auto"/>
              <w:ind w:firstLine="422" w:firstLineChars="200"/>
              <w:jc w:val="center"/>
              <w:rPr>
                <w:rFonts w:hint="eastAsia" w:eastAsia="宋体"/>
                <w:sz w:val="21"/>
                <w:szCs w:val="21"/>
                <w:lang w:val="en-US" w:eastAsia="zh-CN"/>
              </w:rPr>
            </w:pPr>
            <w:r>
              <w:rPr>
                <w:b/>
                <w:sz w:val="21"/>
                <w:szCs w:val="21"/>
                <w:lang w:bidi="en-US"/>
              </w:rPr>
              <w:t>表1</w:t>
            </w:r>
            <w:r>
              <w:rPr>
                <w:rFonts w:hint="eastAsia"/>
                <w:b/>
                <w:sz w:val="21"/>
                <w:szCs w:val="21"/>
                <w:lang w:bidi="en-US"/>
              </w:rPr>
              <w:t>-</w:t>
            </w:r>
            <w:r>
              <w:rPr>
                <w:rFonts w:hint="eastAsia"/>
                <w:b/>
                <w:sz w:val="21"/>
                <w:szCs w:val="21"/>
                <w:lang w:val="en-US" w:eastAsia="zh-CN" w:bidi="en-US"/>
              </w:rPr>
              <w:t xml:space="preserve">5 </w:t>
            </w:r>
            <w:r>
              <w:rPr>
                <w:b/>
                <w:sz w:val="21"/>
                <w:szCs w:val="21"/>
                <w:lang w:bidi="en-US"/>
              </w:rPr>
              <w:t>项目</w:t>
            </w:r>
            <w:r>
              <w:rPr>
                <w:rFonts w:hint="eastAsia"/>
                <w:b/>
                <w:sz w:val="21"/>
                <w:szCs w:val="21"/>
                <w:lang w:eastAsia="zh-CN" w:bidi="en-US"/>
              </w:rPr>
              <w:t>“</w:t>
            </w:r>
            <w:r>
              <w:rPr>
                <w:b/>
                <w:sz w:val="21"/>
                <w:szCs w:val="21"/>
                <w:lang w:bidi="en-US"/>
              </w:rPr>
              <w:t>三线一单</w:t>
            </w:r>
            <w:r>
              <w:rPr>
                <w:rFonts w:hint="eastAsia"/>
                <w:b/>
                <w:sz w:val="21"/>
                <w:szCs w:val="21"/>
                <w:lang w:eastAsia="zh-CN" w:bidi="en-US"/>
              </w:rPr>
              <w:t>”符合性</w:t>
            </w:r>
            <w:r>
              <w:rPr>
                <w:b/>
                <w:sz w:val="21"/>
                <w:szCs w:val="21"/>
                <w:lang w:bidi="en-US"/>
              </w:rPr>
              <w:t>分析表</w:t>
            </w:r>
            <w:r>
              <w:rPr>
                <w:rFonts w:hint="eastAsia"/>
                <w:b/>
                <w:sz w:val="21"/>
                <w:szCs w:val="21"/>
                <w:lang w:val="en-US" w:eastAsia="zh-CN" w:bidi="en-US"/>
              </w:rPr>
              <w:t xml:space="preserve"> </w:t>
            </w:r>
          </w:p>
          <w:tbl>
            <w:tblPr>
              <w:tblStyle w:val="25"/>
              <w:tblpPr w:leftFromText="180" w:rightFromText="180" w:vertAnchor="text" w:horzAnchor="page" w:tblpXSpec="center" w:tblpY="1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094"/>
              <w:gridCol w:w="2341"/>
              <w:gridCol w:w="636"/>
            </w:tblGrid>
            <w:tr w14:paraId="5DBC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14:paraId="23A53902">
                  <w:pPr>
                    <w:adjustRightInd w:val="0"/>
                    <w:snapToGrid w:val="0"/>
                    <w:jc w:val="center"/>
                    <w:rPr>
                      <w:bCs/>
                      <w:sz w:val="21"/>
                      <w:szCs w:val="21"/>
                    </w:rPr>
                  </w:pPr>
                  <w:r>
                    <w:rPr>
                      <w:bCs/>
                      <w:sz w:val="21"/>
                      <w:szCs w:val="21"/>
                    </w:rPr>
                    <w:t>内容</w:t>
                  </w:r>
                </w:p>
              </w:tc>
              <w:tc>
                <w:tcPr>
                  <w:tcW w:w="2710" w:type="pct"/>
                  <w:vAlign w:val="center"/>
                </w:tcPr>
                <w:p w14:paraId="02E1C284">
                  <w:pPr>
                    <w:adjustRightInd w:val="0"/>
                    <w:snapToGrid w:val="0"/>
                    <w:jc w:val="center"/>
                    <w:rPr>
                      <w:bCs/>
                      <w:sz w:val="21"/>
                      <w:szCs w:val="21"/>
                    </w:rPr>
                  </w:pPr>
                  <w:r>
                    <w:rPr>
                      <w:bCs/>
                      <w:sz w:val="21"/>
                      <w:szCs w:val="21"/>
                    </w:rPr>
                    <w:t>要求</w:t>
                  </w:r>
                </w:p>
              </w:tc>
              <w:tc>
                <w:tcPr>
                  <w:tcW w:w="1550" w:type="pct"/>
                  <w:vAlign w:val="center"/>
                </w:tcPr>
                <w:p w14:paraId="12DAB017">
                  <w:pPr>
                    <w:adjustRightInd w:val="0"/>
                    <w:snapToGrid w:val="0"/>
                    <w:jc w:val="center"/>
                    <w:rPr>
                      <w:bCs/>
                      <w:sz w:val="21"/>
                      <w:szCs w:val="21"/>
                    </w:rPr>
                  </w:pPr>
                  <w:r>
                    <w:rPr>
                      <w:sz w:val="21"/>
                      <w:szCs w:val="21"/>
                    </w:rPr>
                    <w:t>项目情况</w:t>
                  </w:r>
                </w:p>
              </w:tc>
              <w:tc>
                <w:tcPr>
                  <w:tcW w:w="421" w:type="pct"/>
                  <w:vAlign w:val="center"/>
                </w:tcPr>
                <w:p w14:paraId="30DE0DEF">
                  <w:pPr>
                    <w:adjustRightInd w:val="0"/>
                    <w:snapToGrid w:val="0"/>
                    <w:jc w:val="center"/>
                    <w:rPr>
                      <w:bCs/>
                      <w:sz w:val="21"/>
                      <w:szCs w:val="21"/>
                    </w:rPr>
                  </w:pPr>
                  <w:r>
                    <w:rPr>
                      <w:bCs/>
                      <w:sz w:val="21"/>
                      <w:szCs w:val="21"/>
                    </w:rPr>
                    <w:t>符合性</w:t>
                  </w:r>
                </w:p>
              </w:tc>
            </w:tr>
            <w:tr w14:paraId="58C9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14:paraId="47A045CB">
                  <w:pPr>
                    <w:adjustRightInd w:val="0"/>
                    <w:snapToGrid w:val="0"/>
                    <w:jc w:val="center"/>
                    <w:rPr>
                      <w:bCs/>
                      <w:sz w:val="21"/>
                      <w:szCs w:val="21"/>
                    </w:rPr>
                  </w:pPr>
                  <w:r>
                    <w:rPr>
                      <w:bCs/>
                      <w:sz w:val="21"/>
                      <w:szCs w:val="21"/>
                    </w:rPr>
                    <w:t>生态保护红线</w:t>
                  </w:r>
                </w:p>
              </w:tc>
              <w:tc>
                <w:tcPr>
                  <w:tcW w:w="2710" w:type="pct"/>
                  <w:vAlign w:val="center"/>
                </w:tcPr>
                <w:p w14:paraId="5258A893">
                  <w:pPr>
                    <w:adjustRightInd w:val="0"/>
                    <w:snapToGrid w:val="0"/>
                    <w:jc w:val="center"/>
                    <w:rPr>
                      <w:sz w:val="21"/>
                      <w:szCs w:val="21"/>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依据中共中央办公厅、国务院办公厅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蚌埠市生态保护红线面积为2</w:t>
                  </w:r>
                  <w:r>
                    <w:rPr>
                      <w:rFonts w:hint="eastAsia" w:cs="Times New Roman"/>
                      <w:color w:val="000000" w:themeColor="text1"/>
                      <w:sz w:val="21"/>
                      <w:szCs w:val="21"/>
                      <w:highlight w:val="none"/>
                      <w:lang w:val="en-US" w:eastAsia="zh-CN" w:bidi="ar-SA"/>
                      <w14:textFill>
                        <w14:solidFill>
                          <w14:schemeClr w14:val="tx1"/>
                        </w14:solidFill>
                      </w14:textFill>
                    </w:rPr>
                    <w:t>42.67</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km</w:t>
                  </w:r>
                  <w:r>
                    <w:rPr>
                      <w:rFonts w:hint="default" w:ascii="Times New Roman" w:hAnsi="Times New Roman" w:eastAsia="宋体" w:cs="Times New Roman"/>
                      <w:color w:val="000000" w:themeColor="text1"/>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，占</w:t>
                  </w:r>
                  <w:r>
                    <w:rPr>
                      <w:rFonts w:hint="eastAsia" w:cs="Times New Roman"/>
                      <w:color w:val="000000" w:themeColor="text1"/>
                      <w:sz w:val="21"/>
                      <w:szCs w:val="21"/>
                      <w:highlight w:val="none"/>
                      <w:lang w:val="en-US" w:eastAsia="zh-CN" w:bidi="ar-SA"/>
                      <w14:textFill>
                        <w14:solidFill>
                          <w14:schemeClr w14:val="tx1"/>
                        </w14:solidFill>
                      </w14:textFill>
                    </w:rPr>
                    <w:t>蚌埠市全市总面积</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的4.</w:t>
                  </w:r>
                  <w:r>
                    <w:rPr>
                      <w:rFonts w:hint="eastAsia" w:cs="Times New Roman"/>
                      <w:color w:val="000000" w:themeColor="text1"/>
                      <w:sz w:val="21"/>
                      <w:szCs w:val="21"/>
                      <w:highlight w:val="none"/>
                      <w:lang w:val="en-US" w:eastAsia="zh-CN" w:bidi="ar-SA"/>
                      <w14:textFill>
                        <w14:solidFill>
                          <w14:schemeClr w14:val="tx1"/>
                        </w14:solidFill>
                      </w14:textFill>
                    </w:rPr>
                    <w:t>08</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c>
                <w:tcPr>
                  <w:tcW w:w="1550" w:type="pct"/>
                  <w:vAlign w:val="center"/>
                </w:tcPr>
                <w:p w14:paraId="7B9AC9FB">
                  <w:pPr>
                    <w:adjustRightInd w:val="0"/>
                    <w:snapToGrid w:val="0"/>
                    <w:jc w:val="center"/>
                    <w:rPr>
                      <w:rFonts w:hint="eastAsia" w:eastAsia="宋体"/>
                      <w:bCs/>
                      <w:sz w:val="21"/>
                      <w:szCs w:val="21"/>
                      <w:lang w:eastAsia="zh-CN"/>
                    </w:rPr>
                  </w:pPr>
                  <w:r>
                    <w:rPr>
                      <w:rFonts w:hint="default" w:ascii="Times New Roman" w:hAnsi="Times New Roman" w:cs="Times New Roman"/>
                      <w:color w:val="000000" w:themeColor="text1"/>
                      <w:kern w:val="0"/>
                      <w:sz w:val="21"/>
                      <w:szCs w:val="21"/>
                      <w:highlight w:val="none"/>
                      <w14:textFill>
                        <w14:solidFill>
                          <w14:schemeClr w14:val="tx1"/>
                        </w14:solidFill>
                      </w14:textFill>
                    </w:rPr>
                    <w:t>项目位于</w:t>
                  </w:r>
                  <w:r>
                    <w:rPr>
                      <w:rFonts w:hint="eastAsia"/>
                      <w:color w:val="000000" w:themeColor="text1"/>
                      <w:szCs w:val="21"/>
                      <w14:textFill>
                        <w14:solidFill>
                          <w14:schemeClr w14:val="tx1"/>
                        </w14:solidFill>
                      </w14:textFill>
                    </w:rPr>
                    <w:t>安徽省蚌埠市</w:t>
                  </w:r>
                  <w:r>
                    <w:rPr>
                      <w:rFonts w:hint="eastAsia"/>
                      <w:color w:val="auto"/>
                      <w:sz w:val="21"/>
                      <w:szCs w:val="21"/>
                      <w:lang w:val="en-US" w:eastAsia="zh-CN"/>
                    </w:rPr>
                    <w:t>固镇经济开发区门东路南侧、经二路西侧</w:t>
                  </w:r>
                  <w:r>
                    <w:rPr>
                      <w:rFonts w:hint="eastAsia"/>
                      <w:color w:val="000000" w:themeColor="text1"/>
                      <w:sz w:val="21"/>
                      <w:szCs w:val="21"/>
                      <w:highlight w:val="none"/>
                      <w:lang w:val="en-US" w:eastAsia="zh-CN"/>
                      <w14:textFill>
                        <w14:solidFill>
                          <w14:schemeClr w14:val="tx1"/>
                        </w14:solidFill>
                      </w14:textFill>
                    </w:rPr>
                    <w:t>，</w:t>
                  </w:r>
                  <w:r>
                    <w:rPr>
                      <w:rFonts w:hint="eastAsia"/>
                      <w:color w:val="auto"/>
                      <w:sz w:val="21"/>
                      <w:szCs w:val="21"/>
                      <w:highlight w:val="none"/>
                      <w:lang w:val="en-US" w:eastAsia="zh-CN"/>
                    </w:rPr>
                    <w:t>对照蚌埠市生态保护红线图，本项目不在生态红线范围内，所在地周边无自然保护区、饮用水源保护区等生态保护目标，故</w:t>
                  </w:r>
                  <w:r>
                    <w:rPr>
                      <w:rFonts w:hint="default" w:ascii="Times New Roman" w:hAnsi="Times New Roman" w:cs="Times New Roman"/>
                      <w:color w:val="auto"/>
                      <w:kern w:val="0"/>
                      <w:sz w:val="21"/>
                      <w:szCs w:val="21"/>
                      <w:highlight w:val="none"/>
                    </w:rPr>
                    <w:t>不在生态保护红线范围内</w:t>
                  </w:r>
                  <w:r>
                    <w:rPr>
                      <w:rFonts w:hint="eastAsia" w:cs="Times New Roman"/>
                      <w:color w:val="auto"/>
                      <w:kern w:val="0"/>
                      <w:sz w:val="21"/>
                      <w:szCs w:val="21"/>
                      <w:highlight w:val="none"/>
                      <w:lang w:eastAsia="zh-CN"/>
                    </w:rPr>
                    <w:t>。</w:t>
                  </w:r>
                </w:p>
              </w:tc>
              <w:tc>
                <w:tcPr>
                  <w:tcW w:w="421" w:type="pct"/>
                  <w:vAlign w:val="center"/>
                </w:tcPr>
                <w:p w14:paraId="1160F365">
                  <w:pPr>
                    <w:adjustRightInd w:val="0"/>
                    <w:snapToGrid w:val="0"/>
                    <w:jc w:val="center"/>
                    <w:rPr>
                      <w:bCs/>
                      <w:sz w:val="21"/>
                      <w:szCs w:val="21"/>
                    </w:rPr>
                  </w:pPr>
                  <w:r>
                    <w:rPr>
                      <w:bCs/>
                      <w:sz w:val="21"/>
                      <w:szCs w:val="21"/>
                    </w:rPr>
                    <w:t>符合</w:t>
                  </w:r>
                </w:p>
              </w:tc>
            </w:tr>
            <w:tr w14:paraId="5147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restart"/>
                  <w:vAlign w:val="center"/>
                </w:tcPr>
                <w:p w14:paraId="71B74E91">
                  <w:pPr>
                    <w:adjustRightInd w:val="0"/>
                    <w:snapToGrid w:val="0"/>
                    <w:jc w:val="center"/>
                    <w:rPr>
                      <w:bCs/>
                      <w:sz w:val="21"/>
                      <w:szCs w:val="21"/>
                    </w:rPr>
                  </w:pPr>
                  <w:r>
                    <w:rPr>
                      <w:bCs/>
                      <w:sz w:val="21"/>
                      <w:szCs w:val="21"/>
                    </w:rPr>
                    <w:t>环境质量底线</w:t>
                  </w:r>
                </w:p>
              </w:tc>
              <w:tc>
                <w:tcPr>
                  <w:tcW w:w="2710" w:type="pct"/>
                  <w:vAlign w:val="center"/>
                </w:tcPr>
                <w:p w14:paraId="4C456E13">
                  <w:pPr>
                    <w:snapToGrid w:val="0"/>
                    <w:jc w:val="center"/>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rPr>
                    <w:t>2025年地表水</w:t>
                  </w:r>
                  <w:r>
                    <w:rPr>
                      <w:rFonts w:hint="default" w:ascii="Times New Roman" w:hAnsi="Times New Roman" w:eastAsia="宋体" w:cs="Times New Roman"/>
                      <w:color w:val="auto"/>
                      <w:sz w:val="21"/>
                      <w:szCs w:val="21"/>
                      <w:lang w:eastAsia="zh-CN"/>
                    </w:rPr>
                    <w:t>质量底线</w:t>
                  </w:r>
                  <w:r>
                    <w:rPr>
                      <w:rFonts w:hint="default" w:ascii="Times New Roman" w:hAnsi="Times New Roman" w:eastAsia="宋体" w:cs="Times New Roman"/>
                      <w:color w:val="auto"/>
                      <w:sz w:val="21"/>
                      <w:szCs w:val="21"/>
                      <w:lang w:val="en-US" w:eastAsia="zh-CN"/>
                    </w:rPr>
                    <w:t>目标值根据《</w:t>
                  </w:r>
                  <w:r>
                    <w:rPr>
                      <w:rFonts w:hint="default" w:ascii="Times New Roman" w:hAnsi="Times New Roman" w:eastAsia="宋体" w:cs="Times New Roman"/>
                      <w:color w:val="auto"/>
                      <w:sz w:val="21"/>
                      <w:szCs w:val="21"/>
                      <w:lang w:eastAsia="zh-CN"/>
                    </w:rPr>
                    <w:t>安徽省生态环境厅关于下达“十四五”国控断面水质目标及达标年限的通知</w:t>
                  </w:r>
                  <w:r>
                    <w:rPr>
                      <w:rFonts w:hint="default" w:ascii="Times New Roman" w:hAnsi="Times New Roman" w:eastAsia="宋体" w:cs="Times New Roman"/>
                      <w:color w:val="auto"/>
                      <w:sz w:val="21"/>
                      <w:szCs w:val="21"/>
                      <w:lang w:val="en-US" w:eastAsia="zh-CN"/>
                    </w:rPr>
                    <w:t>》（皖环发[2022]18号）进行更新，变化情况为国考断面蚌埠固镇2025年目标值由Ⅳ更改为Ⅲ。2035年质量底线目标为暂定，最终以</w:t>
                  </w:r>
                  <w:r>
                    <w:rPr>
                      <w:rFonts w:hint="default" w:ascii="Times New Roman" w:hAnsi="Times New Roman" w:eastAsia="宋体" w:cs="Times New Roman"/>
                      <w:color w:val="auto"/>
                      <w:sz w:val="21"/>
                      <w:szCs w:val="21"/>
                    </w:rPr>
                    <w:t>“十六五”生态环境保护规划确定的目标为准</w:t>
                  </w:r>
                  <w:r>
                    <w:rPr>
                      <w:rFonts w:hint="default" w:ascii="Times New Roman" w:hAnsi="Times New Roman" w:cs="Times New Roman"/>
                      <w:color w:val="auto"/>
                      <w:sz w:val="21"/>
                      <w:szCs w:val="21"/>
                      <w:highlight w:val="none"/>
                    </w:rPr>
                    <w:t>。淮河水体功能为三类，需达到《地表水环境质量标准》（GB3838-2002）Ⅲ类标准要求</w:t>
                  </w:r>
                  <w:r>
                    <w:rPr>
                      <w:rFonts w:hint="eastAsia" w:cs="Times New Roman"/>
                      <w:color w:val="auto"/>
                      <w:sz w:val="21"/>
                      <w:szCs w:val="21"/>
                      <w:highlight w:val="none"/>
                      <w:lang w:eastAsia="zh-CN"/>
                    </w:rPr>
                    <w:t>。</w:t>
                  </w:r>
                </w:p>
                <w:p w14:paraId="1E751275">
                  <w:pPr>
                    <w:snapToGrid w:val="0"/>
                    <w:jc w:val="center"/>
                    <w:rPr>
                      <w:rFonts w:hint="eastAsia" w:eastAsia="宋体"/>
                      <w:bCs/>
                      <w:color w:val="auto"/>
                      <w:sz w:val="21"/>
                      <w:szCs w:val="21"/>
                      <w:lang w:eastAsia="zh-CN"/>
                    </w:rPr>
                  </w:pPr>
                  <w:r>
                    <w:rPr>
                      <w:rFonts w:hint="default" w:ascii="Times New Roman" w:hAnsi="Times New Roman" w:eastAsia="宋体" w:cs="Times New Roman"/>
                      <w:color w:val="auto"/>
                      <w:sz w:val="21"/>
                      <w:szCs w:val="21"/>
                    </w:rPr>
                    <w:t>重点管控区</w:t>
                  </w:r>
                  <w:r>
                    <w:rPr>
                      <w:rFonts w:hint="eastAsia" w:cs="Times New Roman"/>
                      <w:color w:val="auto"/>
                      <w:sz w:val="21"/>
                      <w:szCs w:val="21"/>
                      <w:lang w:eastAsia="zh-CN"/>
                    </w:rPr>
                    <w:t>：</w:t>
                  </w:r>
                  <w:r>
                    <w:rPr>
                      <w:rFonts w:eastAsia="宋体" w:cs="Times New Roman"/>
                      <w:color w:val="auto"/>
                      <w:kern w:val="2"/>
                      <w:sz w:val="21"/>
                      <w:szCs w:val="24"/>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w:t>
                  </w:r>
                  <w:r>
                    <w:rPr>
                      <w:rFonts w:hint="eastAsia" w:eastAsia="宋体" w:cs="Times New Roman"/>
                      <w:color w:val="auto"/>
                      <w:kern w:val="2"/>
                      <w:sz w:val="21"/>
                      <w:szCs w:val="24"/>
                      <w:lang w:val="en-US" w:eastAsia="zh-CN"/>
                    </w:rPr>
                    <w:t>四</w:t>
                  </w:r>
                  <w:r>
                    <w:rPr>
                      <w:rFonts w:eastAsia="宋体" w:cs="Times New Roman"/>
                      <w:color w:val="auto"/>
                      <w:kern w:val="2"/>
                      <w:sz w:val="21"/>
                      <w:szCs w:val="24"/>
                    </w:rPr>
                    <w:t>五”生态环境保护规划》《安徽省“十</w:t>
                  </w:r>
                  <w:r>
                    <w:rPr>
                      <w:rFonts w:hint="eastAsia" w:eastAsia="宋体" w:cs="Times New Roman"/>
                      <w:color w:val="auto"/>
                      <w:kern w:val="2"/>
                      <w:sz w:val="21"/>
                      <w:szCs w:val="24"/>
                      <w:lang w:val="en-US" w:eastAsia="zh-CN"/>
                    </w:rPr>
                    <w:t>四</w:t>
                  </w:r>
                  <w:r>
                    <w:rPr>
                      <w:rFonts w:eastAsia="宋体" w:cs="Times New Roman"/>
                      <w:color w:val="auto"/>
                      <w:kern w:val="2"/>
                      <w:sz w:val="21"/>
                      <w:szCs w:val="24"/>
                    </w:rPr>
                    <w:t>五”环境保护规划》《安徽省“十</w:t>
                  </w:r>
                  <w:r>
                    <w:rPr>
                      <w:rFonts w:hint="eastAsia" w:eastAsia="宋体" w:cs="Times New Roman"/>
                      <w:color w:val="auto"/>
                      <w:kern w:val="2"/>
                      <w:sz w:val="21"/>
                      <w:szCs w:val="24"/>
                      <w:lang w:val="en-US" w:eastAsia="zh-CN"/>
                    </w:rPr>
                    <w:t>四</w:t>
                  </w:r>
                  <w:r>
                    <w:rPr>
                      <w:rFonts w:eastAsia="宋体" w:cs="Times New Roman"/>
                      <w:color w:val="auto"/>
                      <w:kern w:val="2"/>
                      <w:sz w:val="21"/>
                      <w:szCs w:val="24"/>
                    </w:rPr>
                    <w:t>五”节能减排实施方案》等要求，新建、改建和扩建项目水污染物实施“等量替代”</w:t>
                  </w:r>
                  <w:r>
                    <w:rPr>
                      <w:rFonts w:hint="default" w:ascii="Times New Roman" w:hAnsi="Times New Roman" w:eastAsia="宋体" w:cs="Times New Roman"/>
                      <w:color w:val="auto"/>
                      <w:sz w:val="21"/>
                      <w:szCs w:val="21"/>
                    </w:rPr>
                    <w:t>。</w:t>
                  </w:r>
                </w:p>
              </w:tc>
              <w:tc>
                <w:tcPr>
                  <w:tcW w:w="1550" w:type="pct"/>
                  <w:vAlign w:val="center"/>
                </w:tcPr>
                <w:p w14:paraId="7104D26A">
                  <w:pPr>
                    <w:jc w:val="center"/>
                    <w:rPr>
                      <w:color w:val="auto"/>
                      <w:sz w:val="21"/>
                      <w:szCs w:val="21"/>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根据《长江经济带战略环境评价蚌埠市“三线一单”文本》，经与蚌埠市水环境分区管控图对照分析可知</w:t>
                  </w:r>
                  <w:r>
                    <w:rPr>
                      <w:rFonts w:hint="eastAsia" w:cs="Times New Roman"/>
                      <w:snapToGrid/>
                      <w:color w:val="auto"/>
                      <w:kern w:val="2"/>
                      <w:sz w:val="21"/>
                      <w:szCs w:val="21"/>
                      <w:lang w:val="en-US" w:eastAsia="zh-CN" w:bidi="ar-SA"/>
                    </w:rPr>
                    <w:t>，</w:t>
                  </w:r>
                  <w:r>
                    <w:rPr>
                      <w:rFonts w:hint="eastAsia"/>
                      <w:color w:val="auto"/>
                      <w:sz w:val="21"/>
                      <w:szCs w:val="21"/>
                    </w:rPr>
                    <w:t>本项目</w:t>
                  </w:r>
                  <w:r>
                    <w:rPr>
                      <w:rFonts w:hint="eastAsia"/>
                      <w:color w:val="auto"/>
                      <w:sz w:val="21"/>
                      <w:szCs w:val="21"/>
                      <w:lang w:eastAsia="zh-CN"/>
                    </w:rPr>
                    <w:t>所在地为蚌埠市水环境城镇生活污染重点管控区，</w:t>
                  </w:r>
                  <w:r>
                    <w:rPr>
                      <w:rFonts w:hint="eastAsia"/>
                      <w:b w:val="0"/>
                      <w:bCs/>
                      <w:color w:val="auto"/>
                      <w:sz w:val="21"/>
                      <w:szCs w:val="21"/>
                    </w:rPr>
                    <w:t>项目生活污水经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一同排入园区污水管网，进入固镇经济开发区污水处理厂集中处理，</w:t>
                  </w:r>
                  <w:r>
                    <w:rPr>
                      <w:rFonts w:hint="eastAsia"/>
                      <w:snapToGrid w:val="0"/>
                      <w:color w:val="auto"/>
                      <w:kern w:val="0"/>
                      <w:sz w:val="21"/>
                      <w:szCs w:val="21"/>
                    </w:rPr>
                    <w:t>经处理达到《城镇污水处理厂污染物排放标准》（G</w:t>
                  </w:r>
                  <w:r>
                    <w:rPr>
                      <w:snapToGrid w:val="0"/>
                      <w:color w:val="auto"/>
                      <w:kern w:val="0"/>
                      <w:sz w:val="21"/>
                      <w:szCs w:val="21"/>
                    </w:rPr>
                    <w:t>B18918-2002</w:t>
                  </w:r>
                  <w:r>
                    <w:rPr>
                      <w:rFonts w:hint="eastAsia"/>
                      <w:snapToGrid w:val="0"/>
                      <w:color w:val="auto"/>
                      <w:kern w:val="0"/>
                      <w:sz w:val="21"/>
                      <w:szCs w:val="21"/>
                    </w:rPr>
                    <w:t>）中的一级A标准后排入</w:t>
                  </w:r>
                  <w:r>
                    <w:rPr>
                      <w:rFonts w:hint="eastAsia"/>
                      <w:snapToGrid w:val="0"/>
                      <w:color w:val="auto"/>
                      <w:kern w:val="0"/>
                      <w:sz w:val="21"/>
                      <w:szCs w:val="21"/>
                      <w:lang w:eastAsia="zh-CN"/>
                    </w:rPr>
                    <w:t>北淝河</w:t>
                  </w:r>
                  <w:r>
                    <w:rPr>
                      <w:rFonts w:hint="eastAsia"/>
                      <w:snapToGrid w:val="0"/>
                      <w:color w:val="auto"/>
                      <w:kern w:val="0"/>
                      <w:sz w:val="21"/>
                      <w:szCs w:val="21"/>
                    </w:rPr>
                    <w:t>，</w:t>
                  </w:r>
                  <w:r>
                    <w:rPr>
                      <w:rFonts w:hint="default" w:ascii="Times New Roman" w:hAnsi="Times New Roman" w:cs="Times New Roman"/>
                      <w:color w:val="auto"/>
                      <w:sz w:val="21"/>
                      <w:szCs w:val="21"/>
                      <w:highlight w:val="none"/>
                    </w:rPr>
                    <w:t>产生的影响在环境承载力范围内，不会降低现有环境功能</w:t>
                  </w:r>
                  <w:r>
                    <w:rPr>
                      <w:rFonts w:hint="eastAsia"/>
                      <w:color w:val="auto"/>
                      <w:sz w:val="21"/>
                      <w:szCs w:val="21"/>
                      <w:highlight w:val="none"/>
                    </w:rPr>
                    <w:t>。</w:t>
                  </w:r>
                </w:p>
              </w:tc>
              <w:tc>
                <w:tcPr>
                  <w:tcW w:w="421" w:type="pct"/>
                  <w:vAlign w:val="center"/>
                </w:tcPr>
                <w:p w14:paraId="599F343D">
                  <w:pPr>
                    <w:adjustRightInd w:val="0"/>
                    <w:snapToGrid w:val="0"/>
                    <w:jc w:val="center"/>
                    <w:rPr>
                      <w:bCs/>
                      <w:color w:val="auto"/>
                      <w:sz w:val="21"/>
                      <w:szCs w:val="21"/>
                    </w:rPr>
                  </w:pPr>
                  <w:r>
                    <w:rPr>
                      <w:bCs/>
                      <w:color w:val="auto"/>
                      <w:sz w:val="21"/>
                      <w:szCs w:val="21"/>
                    </w:rPr>
                    <w:t>符合</w:t>
                  </w:r>
                </w:p>
              </w:tc>
            </w:tr>
            <w:tr w14:paraId="36C1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3B658BB1">
                  <w:pPr>
                    <w:adjustRightInd w:val="0"/>
                    <w:snapToGrid w:val="0"/>
                    <w:jc w:val="center"/>
                    <w:rPr>
                      <w:bCs/>
                      <w:sz w:val="21"/>
                      <w:szCs w:val="21"/>
                    </w:rPr>
                  </w:pPr>
                </w:p>
              </w:tc>
              <w:tc>
                <w:tcPr>
                  <w:tcW w:w="2710" w:type="pct"/>
                  <w:vAlign w:val="center"/>
                </w:tcPr>
                <w:p w14:paraId="43BF450E">
                  <w:pPr>
                    <w:spacing w:line="240" w:lineRule="auto"/>
                    <w:ind w:firstLine="420"/>
                    <w:jc w:val="center"/>
                    <w:rPr>
                      <w:rFonts w:hint="eastAsia" w:ascii="Times New Roman" w:hAnsi="Times New Roman" w:eastAsia="宋体" w:cs="Times New Roman"/>
                      <w:color w:val="auto"/>
                      <w:sz w:val="21"/>
                      <w:szCs w:val="21"/>
                      <w:highlight w:val="none"/>
                      <w:lang w:val="en-US" w:bidi="zh-CN"/>
                    </w:rPr>
                  </w:pPr>
                  <w:r>
                    <w:rPr>
                      <w:rFonts w:hint="default" w:ascii="Times New Roman" w:hAnsi="Times New Roman" w:eastAsia="宋体" w:cs="Times New Roman"/>
                      <w:color w:val="auto"/>
                      <w:sz w:val="21"/>
                      <w:szCs w:val="21"/>
                    </w:rPr>
                    <w:t>2025年</w:t>
                  </w:r>
                  <w:r>
                    <w:rPr>
                      <w:rFonts w:hint="default" w:ascii="Times New Roman" w:hAnsi="Times New Roman" w:eastAsia="宋体" w:cs="Times New Roman"/>
                      <w:color w:val="auto"/>
                      <w:sz w:val="21"/>
                      <w:szCs w:val="21"/>
                      <w:lang w:val="en-US" w:eastAsia="zh-CN"/>
                    </w:rPr>
                    <w:t>目标值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根据《蚌埠市生态环境局关于印发&lt;蚌埠市“十四五”大气污染防治规划&gt;的通知》(2022年12月12日)：</w:t>
                  </w:r>
                  <w:r>
                    <w:rPr>
                      <w:rFonts w:hint="default" w:ascii="Times New Roman" w:hAnsi="Times New Roman" w:eastAsia="宋体" w:cs="Times New Roman"/>
                      <w:color w:val="auto"/>
                      <w:sz w:val="21"/>
                      <w:szCs w:val="21"/>
                    </w:rPr>
                    <w:t>2025年，环境空气质量持续改善，蚌埠市PM2.5年均浓度控制在37微克/立方米。</w:t>
                  </w:r>
                  <w:r>
                    <w:rPr>
                      <w:rFonts w:hint="default" w:ascii="Times New Roman" w:hAnsi="Times New Roman" w:eastAsia="宋体" w:cs="Times New Roman"/>
                      <w:color w:val="auto"/>
                      <w:sz w:val="21"/>
                      <w:szCs w:val="21"/>
                      <w:lang w:val="en-US" w:eastAsia="zh-CN"/>
                    </w:rPr>
                    <w:t>参考《蚌埠市大气污染防治联席会议办公室关于下达各县区2023年度空气质量改善目标的通知》（蚌大气办[2023]38号），对2025年各区县目标值进行调整，为暂定值，最终以2025年下达各区县环境空气质量目标为准。</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5年</w:t>
                  </w:r>
                  <w:r>
                    <w:rPr>
                      <w:rFonts w:hint="default" w:ascii="Times New Roman" w:hAnsi="Times New Roman" w:eastAsia="宋体" w:cs="Times New Roman"/>
                      <w:color w:val="auto"/>
                      <w:sz w:val="21"/>
                      <w:szCs w:val="21"/>
                      <w:lang w:val="en-US" w:eastAsia="zh-CN"/>
                    </w:rPr>
                    <w:t>目标值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到2035年，蚌埠市PM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平均浓度目标暂定为&lt;35微克/立方米。最终以“十六五”生态环境保护规划确定的目标为准</w:t>
                  </w:r>
                  <w:r>
                    <w:rPr>
                      <w:rFonts w:hint="default" w:ascii="Times New Roman" w:hAnsi="Times New Roman" w:eastAsia="宋体" w:cs="Times New Roman"/>
                      <w:color w:val="auto"/>
                      <w:sz w:val="21"/>
                      <w:szCs w:val="21"/>
                      <w:highlight w:val="none"/>
                      <w:lang w:val="en-US" w:eastAsia="zh-CN" w:bidi="zh-CN"/>
                    </w:rPr>
                    <w:t>。</w:t>
                  </w:r>
                  <w:r>
                    <w:rPr>
                      <w:rFonts w:hint="default" w:ascii="Times New Roman" w:hAnsi="Times New Roman" w:eastAsia="宋体" w:cs="Times New Roman"/>
                      <w:color w:val="auto"/>
                      <w:sz w:val="21"/>
                      <w:szCs w:val="21"/>
                      <w:highlight w:val="none"/>
                      <w:lang w:val="en-US" w:bidi="zh-CN"/>
                    </w:rPr>
                    <w:t>所在地环境空气功能为二类区，需要达到《环境空气质量标准》（GB3095-2012）二级标准</w:t>
                  </w:r>
                  <w:r>
                    <w:rPr>
                      <w:rFonts w:hint="eastAsia" w:ascii="Times New Roman" w:hAnsi="Times New Roman" w:eastAsia="宋体" w:cs="Times New Roman"/>
                      <w:color w:val="auto"/>
                      <w:sz w:val="21"/>
                      <w:szCs w:val="21"/>
                      <w:highlight w:val="none"/>
                      <w:lang w:val="en-US" w:bidi="zh-CN"/>
                    </w:rPr>
                    <w:t>。</w:t>
                  </w:r>
                </w:p>
                <w:p w14:paraId="6DCDF59C">
                  <w:pPr>
                    <w:spacing w:line="240" w:lineRule="auto"/>
                    <w:jc w:val="both"/>
                    <w:rPr>
                      <w:bCs/>
                      <w:color w:val="auto"/>
                      <w:sz w:val="21"/>
                      <w:szCs w:val="21"/>
                    </w:rPr>
                  </w:pPr>
                  <w:r>
                    <w:rPr>
                      <w:rFonts w:hint="default" w:ascii="Times New Roman" w:hAnsi="Times New Roman" w:eastAsia="宋体" w:cs="Times New Roman"/>
                      <w:color w:val="auto"/>
                      <w:sz w:val="21"/>
                      <w:szCs w:val="21"/>
                    </w:rPr>
                    <w:t>重点管控区</w:t>
                  </w:r>
                  <w:r>
                    <w:rPr>
                      <w:rFonts w:hint="eastAsia" w:ascii="Times New Roman" w:hAnsi="Times New Roman" w:eastAsia="宋体" w:cs="Times New Roman"/>
                      <w:color w:val="auto"/>
                      <w:sz w:val="21"/>
                      <w:szCs w:val="21"/>
                      <w:lang w:eastAsia="zh-CN"/>
                    </w:rPr>
                    <w:t>：</w:t>
                  </w:r>
                  <w:r>
                    <w:rPr>
                      <w:rFonts w:eastAsia="宋体" w:cs="Times New Roman"/>
                      <w:bCs/>
                      <w:color w:val="auto"/>
                      <w:kern w:val="2"/>
                      <w:sz w:val="21"/>
                      <w:szCs w:val="21"/>
                    </w:rPr>
                    <w:t>落实</w:t>
                  </w:r>
                  <w:r>
                    <w:rPr>
                      <w:rFonts w:hint="eastAsia" w:eastAsia="宋体" w:cs="Times New Roman"/>
                      <w:bCs/>
                      <w:color w:val="auto"/>
                      <w:kern w:val="2"/>
                      <w:sz w:val="21"/>
                      <w:szCs w:val="21"/>
                    </w:rPr>
                    <w:t>《“十</w:t>
                  </w:r>
                  <w:r>
                    <w:rPr>
                      <w:rFonts w:hint="eastAsia" w:eastAsia="宋体" w:cs="Times New Roman"/>
                      <w:bCs/>
                      <w:color w:val="auto"/>
                      <w:kern w:val="2"/>
                      <w:sz w:val="21"/>
                      <w:szCs w:val="21"/>
                      <w:lang w:val="en-US" w:eastAsia="zh-CN"/>
                    </w:rPr>
                    <w:t>四</w:t>
                  </w:r>
                  <w:r>
                    <w:rPr>
                      <w:rFonts w:hint="eastAsia" w:eastAsia="宋体" w:cs="Times New Roman"/>
                      <w:bCs/>
                      <w:color w:val="auto"/>
                      <w:kern w:val="2"/>
                      <w:sz w:val="21"/>
                      <w:szCs w:val="21"/>
                    </w:rPr>
                    <w:t>五”生态环境保护规划》《安徽省“十</w:t>
                  </w:r>
                  <w:r>
                    <w:rPr>
                      <w:rFonts w:hint="eastAsia" w:eastAsia="宋体" w:cs="Times New Roman"/>
                      <w:bCs/>
                      <w:color w:val="auto"/>
                      <w:kern w:val="2"/>
                      <w:sz w:val="21"/>
                      <w:szCs w:val="21"/>
                      <w:lang w:val="en-US" w:eastAsia="zh-CN"/>
                    </w:rPr>
                    <w:t>四</w:t>
                  </w:r>
                  <w:r>
                    <w:rPr>
                      <w:rFonts w:hint="eastAsia" w:eastAsia="宋体" w:cs="Times New Roman"/>
                      <w:bCs/>
                      <w:color w:val="auto"/>
                      <w:kern w:val="2"/>
                      <w:sz w:val="21"/>
                      <w:szCs w:val="21"/>
                    </w:rPr>
                    <w:t>五”环境保护规划》</w:t>
                  </w:r>
                  <w:r>
                    <w:rPr>
                      <w:rFonts w:hint="eastAsia" w:eastAsia="宋体" w:cs="Times New Roman"/>
                      <w:bCs/>
                      <w:color w:val="auto"/>
                      <w:kern w:val="2"/>
                      <w:sz w:val="21"/>
                      <w:szCs w:val="21"/>
                      <w:lang w:eastAsia="zh-CN"/>
                    </w:rPr>
                    <w:t>《</w:t>
                  </w:r>
                  <w:r>
                    <w:rPr>
                      <w:rFonts w:hint="eastAsia" w:eastAsia="宋体" w:cs="Times New Roman"/>
                      <w:bCs/>
                      <w:color w:val="auto"/>
                      <w:kern w:val="2"/>
                      <w:sz w:val="21"/>
                      <w:szCs w:val="21"/>
                      <w:lang w:val="en-US" w:eastAsia="zh-CN"/>
                    </w:rPr>
                    <w:t>蚌埠</w:t>
                  </w:r>
                  <w:r>
                    <w:rPr>
                      <w:rFonts w:hint="eastAsia" w:eastAsia="宋体" w:cs="Times New Roman"/>
                      <w:bCs/>
                      <w:color w:val="auto"/>
                      <w:kern w:val="2"/>
                      <w:sz w:val="21"/>
                      <w:szCs w:val="21"/>
                    </w:rPr>
                    <w:t>市“十四五”生态环境保护规划</w:t>
                  </w:r>
                  <w:r>
                    <w:rPr>
                      <w:rFonts w:hint="eastAsia" w:eastAsia="宋体" w:cs="Times New Roman"/>
                      <w:bCs/>
                      <w:color w:val="auto"/>
                      <w:kern w:val="2"/>
                      <w:sz w:val="21"/>
                      <w:szCs w:val="21"/>
                      <w:lang w:eastAsia="zh-CN"/>
                    </w:rPr>
                    <w:t>》、中共蚌埠市委 蚌埠市人民政府关于印发《深入打好污染防治攻坚战实施方案》的通知</w:t>
                  </w:r>
                  <w:r>
                    <w:rPr>
                      <w:rFonts w:eastAsia="宋体" w:cs="Times New Roman"/>
                      <w:bCs/>
                      <w:color w:val="auto"/>
                      <w:kern w:val="2"/>
                      <w:sz w:val="21"/>
                      <w:szCs w:val="21"/>
                    </w:rPr>
                    <w:t>等要求，严格落实目标，加强环境监管，促进生态环境质量好转。上年度PM</w:t>
                  </w:r>
                  <w:r>
                    <w:rPr>
                      <w:rFonts w:eastAsia="宋体" w:cs="Times New Roman"/>
                      <w:bCs/>
                      <w:color w:val="auto"/>
                      <w:kern w:val="2"/>
                      <w:sz w:val="21"/>
                      <w:szCs w:val="21"/>
                      <w:vertAlign w:val="subscript"/>
                    </w:rPr>
                    <w:t>2.5</w:t>
                  </w:r>
                  <w:r>
                    <w:rPr>
                      <w:rFonts w:eastAsia="宋体" w:cs="Times New Roman"/>
                      <w:bCs/>
                      <w:color w:val="auto"/>
                      <w:kern w:val="2"/>
                      <w:sz w:val="21"/>
                      <w:szCs w:val="21"/>
                    </w:rPr>
                    <w:t>不达标城市新建、改建和扩建项目大气污染物实施“倍量替代”，执行特别排放标准的行业实施提标升级改造</w:t>
                  </w:r>
                  <w:r>
                    <w:rPr>
                      <w:rFonts w:hint="default" w:ascii="Times New Roman" w:hAnsi="Times New Roman" w:eastAsia="宋体" w:cs="Times New Roman"/>
                      <w:color w:val="auto"/>
                      <w:sz w:val="21"/>
                      <w:szCs w:val="21"/>
                    </w:rPr>
                    <w:t>。</w:t>
                  </w:r>
                </w:p>
              </w:tc>
              <w:tc>
                <w:tcPr>
                  <w:tcW w:w="1550" w:type="pct"/>
                  <w:vAlign w:val="center"/>
                </w:tcPr>
                <w:p w14:paraId="2D6D52A6">
                  <w:pPr>
                    <w:keepNext w:val="0"/>
                    <w:keepLines w:val="0"/>
                    <w:widowControl/>
                    <w:suppressLineNumbers w:val="0"/>
                    <w:jc w:val="center"/>
                    <w:rPr>
                      <w:color w:val="auto"/>
                      <w:sz w:val="21"/>
                      <w:szCs w:val="21"/>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w:t>
                  </w:r>
                  <w:r>
                    <w:rPr>
                      <w:rFonts w:hint="eastAsia" w:eastAsia="宋体" w:cs="Times New Roman"/>
                      <w:snapToGrid/>
                      <w:color w:val="auto"/>
                      <w:kern w:val="2"/>
                      <w:sz w:val="21"/>
                      <w:szCs w:val="21"/>
                      <w:lang w:val="en-US" w:eastAsia="zh-CN" w:bidi="ar-SA"/>
                    </w:rPr>
                    <w:t>大气</w:t>
                  </w:r>
                  <w:r>
                    <w:rPr>
                      <w:rFonts w:hint="default" w:ascii="Times New Roman" w:hAnsi="Times New Roman" w:eastAsia="宋体" w:cs="Times New Roman"/>
                      <w:snapToGrid/>
                      <w:color w:val="auto"/>
                      <w:kern w:val="2"/>
                      <w:sz w:val="21"/>
                      <w:szCs w:val="21"/>
                      <w:lang w:val="en-US" w:eastAsia="zh-CN" w:bidi="ar-SA"/>
                    </w:rPr>
                    <w:t>环境分区管控图对照分析可知</w:t>
                  </w:r>
                  <w:r>
                    <w:rPr>
                      <w:rFonts w:hint="eastAsia" w:cs="Times New Roman"/>
                      <w:snapToGrid/>
                      <w:color w:val="auto"/>
                      <w:kern w:val="2"/>
                      <w:sz w:val="21"/>
                      <w:szCs w:val="21"/>
                      <w:lang w:val="en-US" w:eastAsia="zh-CN" w:bidi="ar-SA"/>
                    </w:rPr>
                    <w:t>，</w:t>
                  </w:r>
                  <w:r>
                    <w:rPr>
                      <w:rFonts w:hint="default" w:ascii="Times New Roman" w:hAnsi="Times New Roman" w:cs="Times New Roman"/>
                      <w:color w:val="auto"/>
                      <w:sz w:val="21"/>
                      <w:szCs w:val="21"/>
                      <w:highlight w:val="none"/>
                    </w:rPr>
                    <w:t>本</w:t>
                  </w:r>
                  <w:r>
                    <w:rPr>
                      <w:rFonts w:hint="eastAsia" w:cs="Times New Roman"/>
                      <w:color w:val="auto"/>
                      <w:sz w:val="21"/>
                      <w:szCs w:val="21"/>
                      <w:highlight w:val="none"/>
                      <w:lang w:eastAsia="zh-CN"/>
                    </w:rPr>
                    <w:t>项目所在地为蚌埠市大气环境受体敏感重点管控区，</w:t>
                  </w:r>
                  <w:r>
                    <w:rPr>
                      <w:rFonts w:hint="default" w:ascii="Times New Roman" w:hAnsi="Times New Roman" w:cs="Times New Roman"/>
                      <w:color w:val="auto"/>
                      <w:sz w:val="21"/>
                      <w:szCs w:val="21"/>
                      <w:highlight w:val="none"/>
                    </w:rPr>
                    <w:t>本项目所在地PM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目前处于超标状态，本项目</w:t>
                  </w:r>
                  <w:r>
                    <w:rPr>
                      <w:rFonts w:ascii="Times New Roman" w:hAnsi="Times New Roman" w:cs="Times New Roman"/>
                      <w:color w:val="auto"/>
                      <w:sz w:val="21"/>
                      <w:szCs w:val="21"/>
                    </w:rPr>
                    <w:t>运营过程中会产生一定的污染物，采取相应的污染防治措施后，各类污染物的排放对周围环境造成的影响较小，不会降低当地环境质量</w:t>
                  </w:r>
                  <w:r>
                    <w:rPr>
                      <w:rFonts w:hint="default" w:ascii="Times New Roman" w:hAnsi="Times New Roman" w:cs="Times New Roman"/>
                      <w:color w:val="auto"/>
                      <w:sz w:val="21"/>
                      <w:szCs w:val="21"/>
                      <w:highlight w:val="none"/>
                    </w:rPr>
                    <w:t>。</w:t>
                  </w:r>
                </w:p>
              </w:tc>
              <w:tc>
                <w:tcPr>
                  <w:tcW w:w="421" w:type="pct"/>
                  <w:vAlign w:val="center"/>
                </w:tcPr>
                <w:p w14:paraId="487249A1">
                  <w:pPr>
                    <w:adjustRightInd w:val="0"/>
                    <w:snapToGrid w:val="0"/>
                    <w:jc w:val="center"/>
                    <w:rPr>
                      <w:rFonts w:hint="eastAsia" w:eastAsia="宋体"/>
                      <w:bCs/>
                      <w:sz w:val="21"/>
                      <w:szCs w:val="21"/>
                      <w:lang w:eastAsia="zh-CN"/>
                    </w:rPr>
                  </w:pPr>
                  <w:r>
                    <w:rPr>
                      <w:rFonts w:hint="eastAsia"/>
                      <w:bCs/>
                      <w:sz w:val="21"/>
                      <w:szCs w:val="21"/>
                      <w:lang w:eastAsia="zh-CN"/>
                    </w:rPr>
                    <w:t>符合</w:t>
                  </w:r>
                </w:p>
              </w:tc>
            </w:tr>
            <w:tr w14:paraId="54C7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Merge w:val="continue"/>
                  <w:vAlign w:val="center"/>
                </w:tcPr>
                <w:p w14:paraId="45EC2A83">
                  <w:pPr>
                    <w:adjustRightInd w:val="0"/>
                    <w:snapToGrid w:val="0"/>
                    <w:jc w:val="center"/>
                    <w:rPr>
                      <w:bCs/>
                      <w:sz w:val="21"/>
                      <w:szCs w:val="21"/>
                    </w:rPr>
                  </w:pPr>
                </w:p>
              </w:tc>
              <w:tc>
                <w:tcPr>
                  <w:tcW w:w="2710" w:type="pct"/>
                  <w:vAlign w:val="center"/>
                </w:tcPr>
                <w:p w14:paraId="6000344E">
                  <w:pPr>
                    <w:snapToGrid w:val="0"/>
                    <w:jc w:val="center"/>
                    <w:rPr>
                      <w:rFonts w:hint="default" w:ascii="Times New Roman" w:hAnsi="Times New Roman" w:eastAsia="宋体" w:cs="Times New Roman"/>
                      <w:color w:val="auto"/>
                      <w:sz w:val="21"/>
                      <w:szCs w:val="21"/>
                      <w:highlight w:val="none"/>
                      <w:lang w:bidi="zh-TW"/>
                    </w:rPr>
                  </w:pPr>
                  <w:r>
                    <w:rPr>
                      <w:rFonts w:hint="default" w:ascii="Times New Roman" w:hAnsi="Times New Roman" w:eastAsia="宋体" w:cs="Times New Roman"/>
                      <w:color w:val="auto"/>
                      <w:sz w:val="21"/>
                      <w:szCs w:val="21"/>
                      <w:lang w:val="en-US" w:eastAsia="zh-CN"/>
                    </w:rPr>
                    <w:t>根据《蚌埠市土壤污染防治规划 (2021-2025年)》，</w:t>
                  </w:r>
                  <w:r>
                    <w:rPr>
                      <w:rFonts w:hint="default" w:ascii="Times New Roman" w:hAnsi="Times New Roman" w:eastAsia="宋体" w:cs="Times New Roman"/>
                      <w:color w:val="auto"/>
                      <w:sz w:val="21"/>
                      <w:szCs w:val="21"/>
                    </w:rPr>
                    <w:t>到2025年，全市土壤和地下水环境质量总体保持稳定，局部地区稳中向好，受污染耕地和污染地块安全利用水平得到巩固提升，进一步保障老百姓“吃得放心、住得安心”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农业面源污染得到初步管控，农村生态环境基础设施建设加快推进，生产生活方式绿色转型取得显著成效，农村生态环 境明显改善，打造生态宜居的美丽乡村，为老百姓留住山清水秀、鸟语花香的田园风光。</w:t>
                  </w:r>
                  <w:r>
                    <w:rPr>
                      <w:rFonts w:hint="default" w:ascii="Times New Roman" w:hAnsi="Times New Roman" w:eastAsia="宋体" w:cs="Times New Roman"/>
                      <w:color w:val="auto"/>
                      <w:sz w:val="21"/>
                      <w:szCs w:val="21"/>
                      <w:lang w:val="en-US" w:eastAsia="zh-CN"/>
                    </w:rPr>
                    <w:t>根据规划指标，</w:t>
                  </w:r>
                  <w:r>
                    <w:rPr>
                      <w:rFonts w:hint="default" w:ascii="Times New Roman" w:hAnsi="Times New Roman" w:eastAsia="宋体" w:cs="Times New Roman"/>
                      <w:color w:val="auto"/>
                      <w:sz w:val="21"/>
                      <w:szCs w:val="21"/>
                    </w:rPr>
                    <w:t>到202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年，受污染耕地安全利用率达到95%左右，重点建设用防控地安全利用率</w:t>
                  </w:r>
                  <w:r>
                    <w:rPr>
                      <w:rFonts w:hint="default" w:ascii="Times New Roman" w:hAnsi="Times New Roman" w:eastAsia="宋体" w:cs="Times New Roman"/>
                      <w:color w:val="auto"/>
                      <w:sz w:val="21"/>
                      <w:szCs w:val="21"/>
                      <w:lang w:val="en-US" w:eastAsia="zh-CN"/>
                    </w:rPr>
                    <w:t>得到有效保障</w:t>
                  </w:r>
                  <w:r>
                    <w:rPr>
                      <w:rFonts w:hint="default" w:ascii="Times New Roman" w:hAnsi="Times New Roman" w:eastAsia="宋体" w:cs="Times New Roman"/>
                      <w:color w:val="auto"/>
                      <w:sz w:val="21"/>
                      <w:szCs w:val="21"/>
                      <w:highlight w:val="none"/>
                      <w:lang w:bidi="zh-TW"/>
                    </w:rPr>
                    <w:t>。</w:t>
                  </w:r>
                </w:p>
                <w:p w14:paraId="759C7E4C">
                  <w:pPr>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一般</w:t>
                  </w:r>
                  <w:r>
                    <w:rPr>
                      <w:rFonts w:hint="eastAsia" w:ascii="Times New Roman" w:hAnsi="Times New Roman" w:eastAsia="宋体" w:cs="Times New Roman"/>
                      <w:color w:val="auto"/>
                      <w:sz w:val="21"/>
                      <w:szCs w:val="21"/>
                      <w:lang w:eastAsia="zh-CN"/>
                    </w:rPr>
                    <w:t>管控</w:t>
                  </w:r>
                  <w:r>
                    <w:rPr>
                      <w:rFonts w:hint="default" w:ascii="Times New Roman" w:hAnsi="Times New Roman" w:eastAsia="宋体" w:cs="Times New Roman"/>
                      <w:color w:val="auto"/>
                      <w:sz w:val="21"/>
                      <w:szCs w:val="21"/>
                    </w:rPr>
                    <w:t>区</w:t>
                  </w:r>
                  <w:r>
                    <w:rPr>
                      <w:rFonts w:hint="eastAsia" w:cs="Times New Roman"/>
                      <w:color w:val="auto"/>
                      <w:sz w:val="21"/>
                      <w:szCs w:val="21"/>
                      <w:lang w:eastAsia="zh-CN"/>
                    </w:rPr>
                    <w:t>：</w:t>
                  </w:r>
                  <w:r>
                    <w:rPr>
                      <w:rFonts w:eastAsia="宋体" w:cs="Times New Roman"/>
                      <w:color w:val="auto"/>
                      <w:kern w:val="2"/>
                      <w:sz w:val="21"/>
                      <w:szCs w:val="24"/>
                    </w:rPr>
                    <w:t>依据《中华人民共和国土壤污染防治法》《土壤污染防治行动计划》《农用地土壤环境管理办法（试行）》《工矿用地土壤环境管理办法（试行）》《“十</w:t>
                  </w:r>
                  <w:r>
                    <w:rPr>
                      <w:rFonts w:hint="eastAsia" w:eastAsia="宋体" w:cs="Times New Roman"/>
                      <w:color w:val="auto"/>
                      <w:kern w:val="2"/>
                      <w:sz w:val="21"/>
                      <w:szCs w:val="24"/>
                      <w:lang w:val="en-US" w:eastAsia="zh-CN"/>
                    </w:rPr>
                    <w:t>四</w:t>
                  </w:r>
                  <w:r>
                    <w:rPr>
                      <w:rFonts w:eastAsia="宋体" w:cs="Times New Roman"/>
                      <w:color w:val="auto"/>
                      <w:kern w:val="2"/>
                      <w:sz w:val="21"/>
                      <w:szCs w:val="24"/>
                    </w:rPr>
                    <w:t>五”生态环境保护规划》《安徽省“十</w:t>
                  </w:r>
                  <w:r>
                    <w:rPr>
                      <w:rFonts w:hint="eastAsia" w:eastAsia="宋体" w:cs="Times New Roman"/>
                      <w:color w:val="auto"/>
                      <w:kern w:val="2"/>
                      <w:sz w:val="21"/>
                      <w:szCs w:val="24"/>
                      <w:lang w:val="en-US" w:eastAsia="zh-CN"/>
                    </w:rPr>
                    <w:t>四</w:t>
                  </w:r>
                  <w:r>
                    <w:rPr>
                      <w:rFonts w:eastAsia="宋体" w:cs="Times New Roman"/>
                      <w:color w:val="auto"/>
                      <w:kern w:val="2"/>
                      <w:sz w:val="21"/>
                      <w:szCs w:val="24"/>
                    </w:rPr>
                    <w:t>五”环境保护规划》《</w:t>
                  </w:r>
                  <w:r>
                    <w:rPr>
                      <w:rFonts w:hint="eastAsia" w:eastAsia="宋体" w:cs="Times New Roman"/>
                      <w:color w:val="auto"/>
                      <w:kern w:val="2"/>
                      <w:sz w:val="21"/>
                      <w:szCs w:val="24"/>
                    </w:rPr>
                    <w:t>安徽省重金属污染防控工作方案</w:t>
                  </w:r>
                  <w:r>
                    <w:rPr>
                      <w:rFonts w:eastAsia="宋体" w:cs="Times New Roman"/>
                      <w:color w:val="auto"/>
                      <w:kern w:val="2"/>
                      <w:sz w:val="21"/>
                      <w:szCs w:val="24"/>
                    </w:rPr>
                    <w:t>》</w:t>
                  </w:r>
                  <w:r>
                    <w:rPr>
                      <w:rFonts w:hint="eastAsia" w:eastAsia="宋体" w:cs="Times New Roman"/>
                      <w:color w:val="auto"/>
                      <w:kern w:val="2"/>
                      <w:sz w:val="21"/>
                      <w:szCs w:val="24"/>
                      <w:lang w:eastAsia="zh-CN"/>
                    </w:rPr>
                    <w:t>《</w:t>
                  </w:r>
                  <w:r>
                    <w:rPr>
                      <w:rFonts w:hint="eastAsia" w:eastAsia="宋体" w:cs="Times New Roman"/>
                      <w:color w:val="auto"/>
                      <w:kern w:val="2"/>
                      <w:sz w:val="21"/>
                      <w:szCs w:val="24"/>
                    </w:rPr>
                    <w:t>蚌埠市十四五生态环境保护规划</w:t>
                  </w:r>
                  <w:r>
                    <w:rPr>
                      <w:rFonts w:hint="eastAsia" w:eastAsia="宋体" w:cs="Times New Roman"/>
                      <w:color w:val="auto"/>
                      <w:kern w:val="2"/>
                      <w:sz w:val="21"/>
                      <w:szCs w:val="24"/>
                      <w:lang w:eastAsia="zh-CN"/>
                    </w:rPr>
                    <w:t>》《蚌埠市土壤污染防治规划（2021-2025年）》</w:t>
                  </w:r>
                  <w:r>
                    <w:rPr>
                      <w:rFonts w:hint="eastAsia" w:eastAsia="宋体" w:cs="Times New Roman"/>
                      <w:color w:val="auto"/>
                      <w:kern w:val="2"/>
                      <w:sz w:val="21"/>
                      <w:szCs w:val="24"/>
                    </w:rPr>
                    <w:t>《蚌埠市“十四五”危险废物工业固体废物污染环境防治规划》</w:t>
                  </w:r>
                  <w:r>
                    <w:rPr>
                      <w:rFonts w:hint="eastAsia" w:eastAsia="宋体" w:cs="Times New Roman"/>
                      <w:color w:val="auto"/>
                      <w:kern w:val="2"/>
                      <w:sz w:val="21"/>
                      <w:szCs w:val="24"/>
                      <w:lang w:eastAsia="zh-CN"/>
                    </w:rPr>
                    <w:t>《</w:t>
                  </w:r>
                  <w:r>
                    <w:rPr>
                      <w:rFonts w:hint="eastAsia" w:eastAsia="宋体" w:cs="Times New Roman"/>
                      <w:color w:val="auto"/>
                      <w:kern w:val="2"/>
                      <w:sz w:val="21"/>
                      <w:szCs w:val="24"/>
                    </w:rPr>
                    <w:t>蚌埠市医疗废物管理条例</w:t>
                  </w:r>
                  <w:r>
                    <w:rPr>
                      <w:rFonts w:hint="eastAsia" w:eastAsia="宋体" w:cs="Times New Roman"/>
                      <w:color w:val="auto"/>
                      <w:kern w:val="2"/>
                      <w:sz w:val="21"/>
                      <w:szCs w:val="24"/>
                      <w:lang w:eastAsia="zh-CN"/>
                    </w:rPr>
                    <w:t>》</w:t>
                  </w:r>
                  <w:r>
                    <w:rPr>
                      <w:rFonts w:eastAsia="宋体" w:cs="Times New Roman"/>
                      <w:color w:val="auto"/>
                      <w:kern w:val="2"/>
                      <w:sz w:val="21"/>
                      <w:szCs w:val="24"/>
                    </w:rPr>
                    <w:t>等要求及各市土壤污染防治工作方案对一般管控区实施管控</w:t>
                  </w:r>
                  <w:r>
                    <w:rPr>
                      <w:rFonts w:hint="default" w:ascii="Times New Roman" w:hAnsi="Times New Roman" w:eastAsia="宋体" w:cs="Times New Roman"/>
                      <w:color w:val="auto"/>
                      <w:sz w:val="21"/>
                      <w:szCs w:val="21"/>
                    </w:rPr>
                    <w:t>。</w:t>
                  </w:r>
                </w:p>
              </w:tc>
              <w:tc>
                <w:tcPr>
                  <w:tcW w:w="1550" w:type="pct"/>
                  <w:vAlign w:val="center"/>
                </w:tcPr>
                <w:p w14:paraId="16AB0330">
                  <w:pPr>
                    <w:jc w:val="center"/>
                    <w:rPr>
                      <w:color w:val="auto"/>
                      <w:sz w:val="21"/>
                      <w:szCs w:val="21"/>
                    </w:rPr>
                  </w:pPr>
                  <w:r>
                    <w:rPr>
                      <w:rFonts w:hint="default" w:ascii="Times New Roman" w:hAnsi="Times New Roman" w:eastAsia="宋体" w:cs="Times New Roman"/>
                      <w:snapToGrid/>
                      <w:color w:val="auto"/>
                      <w:kern w:val="2"/>
                      <w:sz w:val="21"/>
                      <w:szCs w:val="21"/>
                      <w:lang w:val="en-US" w:eastAsia="zh-CN" w:bidi="ar-SA"/>
                    </w:rPr>
                    <w:t>根据《长江经济带战略环境评价蚌埠市“三线一单”文本》，经与蚌埠市</w:t>
                  </w:r>
                  <w:r>
                    <w:rPr>
                      <w:rFonts w:hint="eastAsia" w:eastAsia="宋体" w:cs="Times New Roman"/>
                      <w:snapToGrid/>
                      <w:color w:val="auto"/>
                      <w:kern w:val="2"/>
                      <w:sz w:val="21"/>
                      <w:szCs w:val="21"/>
                      <w:lang w:val="en-US" w:eastAsia="zh-CN" w:bidi="ar-SA"/>
                    </w:rPr>
                    <w:t>土壤污染风险</w:t>
                  </w:r>
                  <w:r>
                    <w:rPr>
                      <w:rFonts w:hint="default" w:ascii="Times New Roman" w:hAnsi="Times New Roman" w:eastAsia="宋体" w:cs="Times New Roman"/>
                      <w:snapToGrid/>
                      <w:color w:val="auto"/>
                      <w:kern w:val="2"/>
                      <w:sz w:val="21"/>
                      <w:szCs w:val="21"/>
                      <w:lang w:val="en-US" w:eastAsia="zh-CN" w:bidi="ar-SA"/>
                    </w:rPr>
                    <w:t>分区管控图对照分析可知</w:t>
                  </w:r>
                  <w:r>
                    <w:rPr>
                      <w:rFonts w:hint="eastAsia" w:cs="Times New Roman"/>
                      <w:snapToGrid/>
                      <w:color w:val="auto"/>
                      <w:kern w:val="2"/>
                      <w:sz w:val="21"/>
                      <w:szCs w:val="21"/>
                      <w:lang w:val="en-US" w:eastAsia="zh-CN" w:bidi="ar-SA"/>
                    </w:rPr>
                    <w:t>，</w:t>
                  </w:r>
                  <w:r>
                    <w:rPr>
                      <w:rFonts w:hint="eastAsia" w:cs="Times New Roman"/>
                      <w:color w:val="auto"/>
                      <w:sz w:val="21"/>
                      <w:szCs w:val="21"/>
                      <w:highlight w:val="none"/>
                      <w:lang w:eastAsia="zh-CN"/>
                    </w:rPr>
                    <w:t>本项目所在地为蚌埠市土壤一般管控区，</w:t>
                  </w:r>
                  <w:r>
                    <w:rPr>
                      <w:rFonts w:hint="default" w:ascii="Times New Roman" w:hAnsi="Times New Roman" w:cs="Times New Roman"/>
                      <w:color w:val="auto"/>
                      <w:sz w:val="21"/>
                      <w:szCs w:val="21"/>
                      <w:highlight w:val="none"/>
                    </w:rPr>
                    <w:t>项目用地为工业用地，不属于土壤优先保护区，产生的影响在环境承载力范围内，不会降低现有</w:t>
                  </w:r>
                  <w:r>
                    <w:rPr>
                      <w:rFonts w:hint="eastAsia" w:cs="Times New Roman"/>
                      <w:color w:val="auto"/>
                      <w:sz w:val="21"/>
                      <w:szCs w:val="21"/>
                      <w:highlight w:val="none"/>
                      <w:lang w:val="en-US" w:eastAsia="zh-CN"/>
                    </w:rPr>
                    <w:t>环境功能。</w:t>
                  </w:r>
                </w:p>
              </w:tc>
              <w:tc>
                <w:tcPr>
                  <w:tcW w:w="421" w:type="pct"/>
                  <w:vAlign w:val="center"/>
                </w:tcPr>
                <w:p w14:paraId="460F9659">
                  <w:pPr>
                    <w:adjustRightInd w:val="0"/>
                    <w:snapToGrid w:val="0"/>
                    <w:jc w:val="center"/>
                    <w:rPr>
                      <w:rFonts w:hint="eastAsia" w:eastAsia="宋体"/>
                      <w:bCs/>
                      <w:sz w:val="21"/>
                      <w:szCs w:val="21"/>
                      <w:lang w:eastAsia="zh-CN"/>
                    </w:rPr>
                  </w:pPr>
                  <w:r>
                    <w:rPr>
                      <w:rFonts w:hint="eastAsia"/>
                      <w:bCs/>
                      <w:sz w:val="21"/>
                      <w:szCs w:val="21"/>
                      <w:lang w:eastAsia="zh-CN"/>
                    </w:rPr>
                    <w:t>符合</w:t>
                  </w:r>
                </w:p>
              </w:tc>
            </w:tr>
            <w:tr w14:paraId="054C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14:paraId="4F292316">
                  <w:pPr>
                    <w:adjustRightInd w:val="0"/>
                    <w:snapToGrid w:val="0"/>
                    <w:jc w:val="center"/>
                    <w:rPr>
                      <w:rFonts w:hint="eastAsia" w:eastAsia="宋体"/>
                      <w:bCs/>
                      <w:sz w:val="21"/>
                      <w:szCs w:val="21"/>
                      <w:lang w:eastAsia="zh-CN"/>
                    </w:rPr>
                  </w:pPr>
                  <w:r>
                    <w:rPr>
                      <w:rFonts w:hint="eastAsia"/>
                      <w:bCs/>
                      <w:sz w:val="21"/>
                      <w:szCs w:val="21"/>
                      <w:lang w:eastAsia="zh-CN"/>
                    </w:rPr>
                    <w:t>资源利用上限</w:t>
                  </w:r>
                </w:p>
              </w:tc>
              <w:tc>
                <w:tcPr>
                  <w:tcW w:w="2710" w:type="pct"/>
                  <w:vAlign w:val="center"/>
                </w:tcPr>
                <w:p w14:paraId="35543D6F">
                  <w:pPr>
                    <w:snapToGrid w:val="0"/>
                    <w:jc w:val="center"/>
                    <w:rPr>
                      <w:bCs/>
                      <w:sz w:val="21"/>
                      <w:szCs w:val="21"/>
                    </w:rPr>
                  </w:pPr>
                  <w:r>
                    <w:rPr>
                      <w:rFonts w:hint="default" w:ascii="Times New Roman" w:hAnsi="Times New Roman" w:eastAsia="宋体" w:cs="Times New Roman"/>
                      <w:color w:val="auto"/>
                      <w:sz w:val="21"/>
                      <w:szCs w:val="21"/>
                    </w:rPr>
                    <w:t>“十四五”期间，全市能源发展坚持以满足国民经济发展为中心，进一步完善能源供应保障能力，提升能源利用效率，推进能源基础设施建设，控制单位GDP能耗和碳排放强度，着力构建清洁低碳、安全高效的能源体系。到“十四五”末，全市能源消费总量</w:t>
                  </w:r>
                  <w:r>
                    <w:rPr>
                      <w:rFonts w:hint="default" w:ascii="Times New Roman" w:hAnsi="Times New Roman" w:eastAsia="宋体" w:cs="Times New Roman"/>
                      <w:color w:val="auto"/>
                      <w:sz w:val="21"/>
                      <w:szCs w:val="21"/>
                      <w:lang w:val="en-US" w:eastAsia="zh-CN"/>
                    </w:rPr>
                    <w:t>完成省下达指标</w:t>
                  </w:r>
                  <w:r>
                    <w:rPr>
                      <w:rFonts w:hint="default" w:ascii="Times New Roman" w:hAnsi="Times New Roman" w:cs="Times New Roman"/>
                      <w:color w:val="000000" w:themeColor="text1"/>
                      <w:sz w:val="21"/>
                      <w:szCs w:val="21"/>
                      <w:highlight w:val="none"/>
                      <w:lang w:bidi="en-US"/>
                      <w14:textFill>
                        <w14:solidFill>
                          <w14:schemeClr w14:val="tx1"/>
                        </w14:solidFill>
                      </w14:textFill>
                    </w:rPr>
                    <w:t>。</w:t>
                  </w:r>
                  <w:r>
                    <w:rPr>
                      <w:rFonts w:hint="default" w:ascii="Times New Roman" w:hAnsi="Times New Roman" w:eastAsia="宋体" w:cs="Times New Roman"/>
                      <w:color w:val="auto"/>
                      <w:sz w:val="21"/>
                      <w:szCs w:val="21"/>
                    </w:rPr>
                    <w:t>依据《蚌埠市</w:t>
                  </w:r>
                  <w:r>
                    <w:rPr>
                      <w:rFonts w:hint="default" w:ascii="Times New Roman" w:hAnsi="Times New Roman" w:eastAsia="宋体" w:cs="Times New Roman"/>
                      <w:color w:val="auto"/>
                      <w:sz w:val="21"/>
                      <w:szCs w:val="21"/>
                      <w:lang w:val="en-US" w:eastAsia="zh-CN"/>
                    </w:rPr>
                    <w:t>水利局关于落实</w:t>
                  </w:r>
                  <w:r>
                    <w:rPr>
                      <w:rFonts w:hint="default" w:ascii="Times New Roman" w:hAnsi="Times New Roman" w:eastAsia="宋体" w:cs="Times New Roman"/>
                      <w:color w:val="auto"/>
                      <w:sz w:val="21"/>
                      <w:szCs w:val="21"/>
                    </w:rPr>
                    <w:t>“十</w:t>
                  </w:r>
                  <w:r>
                    <w:rPr>
                      <w:rFonts w:hint="default"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val="en-US" w:eastAsia="zh-CN"/>
                    </w:rPr>
                    <w:t>用水</w:t>
                  </w:r>
                  <w:r>
                    <w:rPr>
                      <w:rFonts w:hint="default" w:ascii="Times New Roman" w:hAnsi="Times New Roman" w:eastAsia="宋体" w:cs="Times New Roman"/>
                      <w:color w:val="auto"/>
                      <w:sz w:val="21"/>
                      <w:szCs w:val="21"/>
                    </w:rPr>
                    <w:t>总量和强度双控</w:t>
                  </w:r>
                  <w:r>
                    <w:rPr>
                      <w:rFonts w:hint="default" w:ascii="Times New Roman" w:hAnsi="Times New Roman" w:eastAsia="宋体" w:cs="Times New Roman"/>
                      <w:color w:val="auto"/>
                      <w:sz w:val="21"/>
                      <w:szCs w:val="21"/>
                      <w:lang w:val="en-US" w:eastAsia="zh-CN"/>
                    </w:rPr>
                    <w:t>目标的通知</w:t>
                  </w:r>
                  <w:r>
                    <w:rPr>
                      <w:rFonts w:hint="default" w:ascii="Times New Roman" w:hAnsi="Times New Roman" w:eastAsia="宋体" w:cs="Times New Roman"/>
                      <w:color w:val="auto"/>
                      <w:sz w:val="21"/>
                      <w:szCs w:val="21"/>
                    </w:rPr>
                    <w:t>》（蚌水资源</w:t>
                  </w:r>
                  <w:r>
                    <w:rPr>
                      <w:rFonts w:hint="default" w:ascii="Times New Roman" w:hAnsi="Times New Roman" w:eastAsia="宋体" w:cs="Times New Roman"/>
                      <w:color w:val="auto"/>
                      <w:sz w:val="21"/>
                      <w:szCs w:val="21"/>
                      <w:lang w:val="en-US" w:eastAsia="zh-CN"/>
                    </w:rPr>
                    <w:t>函</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号）文件要求，至202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年蚌埠市用水总量控制在16.</w:t>
                  </w:r>
                  <w:r>
                    <w:rPr>
                      <w:rFonts w:hint="default" w:ascii="Times New Roman" w:hAnsi="Times New Roman" w:eastAsia="宋体" w:cs="Times New Roman"/>
                      <w:color w:val="auto"/>
                      <w:sz w:val="21"/>
                      <w:szCs w:val="21"/>
                      <w:lang w:val="en-US" w:eastAsia="zh-CN"/>
                    </w:rPr>
                    <w:t>31</w:t>
                  </w:r>
                  <w:r>
                    <w:rPr>
                      <w:rFonts w:hint="default" w:ascii="Times New Roman" w:hAnsi="Times New Roman" w:eastAsia="宋体" w:cs="Times New Roman"/>
                      <w:color w:val="auto"/>
                      <w:sz w:val="21"/>
                      <w:szCs w:val="21"/>
                    </w:rPr>
                    <w:t>亿m³；202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年万元国内生产总值用水量比20</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年下降</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%、万元工业增加值用水量比20</w:t>
                  </w: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年下降</w:t>
                  </w:r>
                  <w:r>
                    <w:rPr>
                      <w:rFonts w:hint="default"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rPr>
                    <w:t>%、农田灌溉水有效利用系数达到0.</w:t>
                  </w:r>
                  <w:r>
                    <w:rPr>
                      <w:rFonts w:hint="default" w:ascii="Times New Roman" w:hAnsi="Times New Roman" w:eastAsia="宋体" w:cs="Times New Roman"/>
                      <w:color w:val="auto"/>
                      <w:sz w:val="21"/>
                      <w:szCs w:val="21"/>
                      <w:lang w:val="en-US" w:eastAsia="zh-CN"/>
                    </w:rPr>
                    <w:t>61</w:t>
                  </w:r>
                  <w:r>
                    <w:rPr>
                      <w:rFonts w:hint="default" w:ascii="Times New Roman" w:hAnsi="Times New Roman" w:cs="Times New Roman"/>
                      <w:color w:val="000000" w:themeColor="text1"/>
                      <w:sz w:val="21"/>
                      <w:szCs w:val="21"/>
                      <w:highlight w:val="none"/>
                      <w:lang w:bidi="en-US"/>
                      <w14:textFill>
                        <w14:solidFill>
                          <w14:schemeClr w14:val="tx1"/>
                        </w14:solidFill>
                      </w14:textFill>
                    </w:rPr>
                    <w:t>。</w:t>
                  </w:r>
                  <w:r>
                    <w:rPr>
                      <w:rFonts w:hint="default" w:ascii="Times New Roman" w:hAnsi="Times New Roman" w:eastAsia="宋体" w:cs="Times New Roman"/>
                      <w:color w:val="auto"/>
                      <w:sz w:val="21"/>
                      <w:szCs w:val="21"/>
                    </w:rPr>
                    <w:t>根据《蚌埠市</w:t>
                  </w:r>
                  <w:r>
                    <w:rPr>
                      <w:rFonts w:hint="default" w:ascii="Times New Roman" w:hAnsi="Times New Roman" w:eastAsia="宋体" w:cs="Times New Roman"/>
                      <w:color w:val="auto"/>
                      <w:sz w:val="21"/>
                      <w:szCs w:val="21"/>
                      <w:lang w:val="en-US" w:eastAsia="zh-CN"/>
                    </w:rPr>
                    <w:t>国土空间总体</w:t>
                  </w:r>
                  <w:r>
                    <w:rPr>
                      <w:rFonts w:hint="default" w:ascii="Times New Roman" w:hAnsi="Times New Roman" w:eastAsia="宋体" w:cs="Times New Roman"/>
                      <w:color w:val="auto"/>
                      <w:sz w:val="21"/>
                      <w:szCs w:val="21"/>
                    </w:rPr>
                    <w:t>规划（20</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送审稿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至</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年，耕地保有量</w:t>
                  </w:r>
                  <w:r>
                    <w:rPr>
                      <w:rFonts w:hint="default" w:ascii="Times New Roman" w:hAnsi="Times New Roman" w:eastAsia="宋体" w:cs="Times New Roman"/>
                      <w:color w:val="auto"/>
                      <w:sz w:val="21"/>
                      <w:szCs w:val="21"/>
                      <w:lang w:val="en-US" w:eastAsia="zh-CN"/>
                    </w:rPr>
                    <w:t>不低于3721.09平方千米</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永久</w:t>
                  </w:r>
                  <w:r>
                    <w:rPr>
                      <w:rFonts w:hint="default" w:ascii="Times New Roman" w:hAnsi="Times New Roman" w:eastAsia="宋体" w:cs="Times New Roman"/>
                      <w:color w:val="auto"/>
                      <w:sz w:val="21"/>
                      <w:szCs w:val="21"/>
                    </w:rPr>
                    <w:t>基本农田不</w:t>
                  </w:r>
                  <w:r>
                    <w:rPr>
                      <w:rFonts w:hint="default" w:ascii="Times New Roman" w:hAnsi="Times New Roman" w:eastAsia="宋体" w:cs="Times New Roman"/>
                      <w:color w:val="auto"/>
                      <w:sz w:val="21"/>
                      <w:szCs w:val="21"/>
                      <w:lang w:val="en-US" w:eastAsia="zh-CN"/>
                    </w:rPr>
                    <w:t>少</w:t>
                  </w:r>
                  <w:r>
                    <w:rPr>
                      <w:rFonts w:hint="default" w:ascii="Times New Roman" w:hAnsi="Times New Roman" w:eastAsia="宋体" w:cs="Times New Roman"/>
                      <w:color w:val="auto"/>
                      <w:sz w:val="21"/>
                      <w:szCs w:val="21"/>
                    </w:rPr>
                    <w:t>于</w:t>
                  </w:r>
                  <w:r>
                    <w:rPr>
                      <w:rFonts w:hint="default" w:ascii="Times New Roman" w:hAnsi="Times New Roman" w:eastAsia="宋体" w:cs="Times New Roman"/>
                      <w:color w:val="auto"/>
                      <w:sz w:val="21"/>
                      <w:szCs w:val="21"/>
                      <w:lang w:val="en-US" w:eastAsia="zh-CN"/>
                    </w:rPr>
                    <w:t>3247.44平方千米；</w:t>
                  </w:r>
                  <w:r>
                    <w:rPr>
                      <w:rFonts w:hint="default" w:ascii="Times New Roman" w:hAnsi="Times New Roman" w:eastAsia="宋体" w:cs="Times New Roman"/>
                      <w:color w:val="auto"/>
                      <w:sz w:val="21"/>
                      <w:szCs w:val="21"/>
                    </w:rPr>
                    <w:t>至2035年，生态保护红线面积不少于242.66平方千米，自然保护地占国土面积不低于4.67%,森林覆盖率不低于22.1%,水域空间保有量不低于382.02平方千米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至2035年，新增建设用地规模控制在97.14平方千米以内，新增城镇建设用地规模控制在123.53平方千米以内，单位GDP使用建设用地面积下降50%以上，人均城镇建设用地控制在119.5平方米以内，十五分钟社区生活圈建设更加完善</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550" w:type="pct"/>
                  <w:vAlign w:val="center"/>
                </w:tcPr>
                <w:p w14:paraId="5C9A2055">
                  <w:pPr>
                    <w:adjustRightInd w:val="0"/>
                    <w:snapToGrid w:val="0"/>
                    <w:jc w:val="center"/>
                    <w:rPr>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项目采用的能源主要为电、水，不使用煤炭作为能源燃料，项目资源消耗量占区域资源利用总量较少，项目用地为工业用地，项目建成运行后通过内部管理、设备选择、原辅材料的选用和管理、污染治理等多方面的措施，可使产生的污染物得到了有效的处置，符合清洁运营的要求。项目对资源的使用较</w:t>
                  </w:r>
                  <w:r>
                    <w:rPr>
                      <w:rFonts w:ascii="Times New Roman" w:hAnsi="Times New Roman" w:cs="Times New Roman"/>
                      <w:color w:val="000000" w:themeColor="text1"/>
                      <w:spacing w:val="-2"/>
                      <w:sz w:val="21"/>
                      <w:szCs w:val="21"/>
                      <w14:textFill>
                        <w14:solidFill>
                          <w14:schemeClr w14:val="tx1"/>
                        </w14:solidFill>
                      </w14:textFill>
                    </w:rPr>
                    <w:t>少、利用率较高，不</w:t>
                  </w:r>
                  <w:r>
                    <w:rPr>
                      <w:rFonts w:ascii="Times New Roman" w:hAnsi="Times New Roman" w:cs="Times New Roman"/>
                      <w:color w:val="000000" w:themeColor="text1"/>
                      <w:sz w:val="21"/>
                      <w:szCs w:val="21"/>
                      <w14:textFill>
                        <w14:solidFill>
                          <w14:schemeClr w14:val="tx1"/>
                        </w14:solidFill>
                      </w14:textFill>
                    </w:rPr>
                    <w:t>触及资源利用上线</w:t>
                  </w:r>
                  <w:r>
                    <w:rPr>
                      <w:rFonts w:hint="eastAsia" w:ascii="Times New Roman" w:hAnsi="Times New Roman" w:cs="Times New Roman"/>
                      <w:color w:val="000000" w:themeColor="text1"/>
                      <w:sz w:val="21"/>
                      <w:szCs w:val="21"/>
                      <w14:textFill>
                        <w14:solidFill>
                          <w14:schemeClr w14:val="tx1"/>
                        </w14:solidFill>
                      </w14:textFill>
                    </w:rPr>
                    <w:t>。</w:t>
                  </w:r>
                </w:p>
              </w:tc>
              <w:tc>
                <w:tcPr>
                  <w:tcW w:w="421" w:type="pct"/>
                  <w:vAlign w:val="center"/>
                </w:tcPr>
                <w:p w14:paraId="799D2C0B">
                  <w:pPr>
                    <w:adjustRightInd w:val="0"/>
                    <w:snapToGrid w:val="0"/>
                    <w:jc w:val="center"/>
                    <w:rPr>
                      <w:bCs/>
                      <w:sz w:val="21"/>
                      <w:szCs w:val="21"/>
                    </w:rPr>
                  </w:pPr>
                  <w:r>
                    <w:rPr>
                      <w:bCs/>
                      <w:sz w:val="21"/>
                      <w:szCs w:val="21"/>
                    </w:rPr>
                    <w:t>符合</w:t>
                  </w:r>
                </w:p>
              </w:tc>
            </w:tr>
            <w:tr w14:paraId="5C4D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7" w:type="pct"/>
                  <w:vAlign w:val="center"/>
                </w:tcPr>
                <w:p w14:paraId="46D57919">
                  <w:pPr>
                    <w:adjustRightInd w:val="0"/>
                    <w:snapToGrid w:val="0"/>
                    <w:jc w:val="center"/>
                    <w:rPr>
                      <w:bCs/>
                      <w:sz w:val="21"/>
                      <w:szCs w:val="21"/>
                    </w:rPr>
                  </w:pPr>
                  <w:r>
                    <w:rPr>
                      <w:rFonts w:hint="eastAsia"/>
                      <w:bCs/>
                      <w:sz w:val="21"/>
                      <w:szCs w:val="21"/>
                    </w:rPr>
                    <w:t>生态</w:t>
                  </w:r>
                  <w:r>
                    <w:rPr>
                      <w:bCs/>
                      <w:sz w:val="21"/>
                      <w:szCs w:val="21"/>
                    </w:rPr>
                    <w:t>环境准入清单</w:t>
                  </w:r>
                </w:p>
              </w:tc>
              <w:tc>
                <w:tcPr>
                  <w:tcW w:w="2710" w:type="pct"/>
                  <w:vAlign w:val="center"/>
                </w:tcPr>
                <w:p w14:paraId="1D5BA92A">
                  <w:pPr>
                    <w:adjustRightInd w:val="0"/>
                    <w:snapToGrid w:val="0"/>
                    <w:jc w:val="center"/>
                    <w:rPr>
                      <w:bCs/>
                      <w:sz w:val="21"/>
                      <w:szCs w:val="21"/>
                    </w:rPr>
                  </w:pPr>
                  <w:r>
                    <w:rPr>
                      <w:rFonts w:hint="default" w:ascii="Times New Roman" w:hAnsi="Times New Roman" w:cs="Times New Roman"/>
                      <w:color w:val="000000" w:themeColor="text1"/>
                      <w:sz w:val="21"/>
                      <w:szCs w:val="21"/>
                      <w:highlight w:val="none"/>
                      <w:lang w:bidi="zh-TW"/>
                      <w14:textFill>
                        <w14:solidFill>
                          <w14:schemeClr w14:val="tx1"/>
                        </w14:solidFill>
                      </w14:textFill>
                    </w:rPr>
                    <w:t>根据安徽省三线一单成果，全省建立</w:t>
                  </w:r>
                  <w:r>
                    <w:rPr>
                      <w:rFonts w:hint="default" w:ascii="Times New Roman" w:hAnsi="Times New Roman" w:cs="Times New Roman"/>
                      <w:color w:val="000000" w:themeColor="text1"/>
                      <w:sz w:val="21"/>
                      <w:szCs w:val="21"/>
                      <w:highlight w:val="none"/>
                      <w:lang w:bidi="en-US"/>
                      <w14:textFill>
                        <w14:solidFill>
                          <w14:schemeClr w14:val="tx1"/>
                        </w14:solidFill>
                      </w14:textFill>
                    </w:rPr>
                    <w:t>“1+5+16+N”</w:t>
                  </w:r>
                  <w:r>
                    <w:rPr>
                      <w:rFonts w:hint="default" w:ascii="Times New Roman" w:hAnsi="Times New Roman" w:cs="Times New Roman"/>
                      <w:color w:val="000000" w:themeColor="text1"/>
                      <w:sz w:val="21"/>
                      <w:szCs w:val="21"/>
                      <w:highlight w:val="none"/>
                      <w:lang w:bidi="zh-TW"/>
                      <w14:textFill>
                        <w14:solidFill>
                          <w14:schemeClr w14:val="tx1"/>
                        </w14:solidFill>
                      </w14:textFill>
                    </w:rPr>
                    <w:t>的四级清单管控体系。省级建立并发布省级清单、区域清单；初步确定市级清单，制作管控单元清单模板，市级清单、管控单元清单在市级</w:t>
                  </w:r>
                  <w:r>
                    <w:rPr>
                      <w:rFonts w:hint="default" w:ascii="Times New Roman" w:hAnsi="Times New Roman" w:cs="Times New Roman"/>
                      <w:color w:val="000000" w:themeColor="text1"/>
                      <w:sz w:val="21"/>
                      <w:szCs w:val="21"/>
                      <w:highlight w:val="none"/>
                      <w:lang w:bidi="zh-CN"/>
                      <w14:textFill>
                        <w14:solidFill>
                          <w14:schemeClr w14:val="tx1"/>
                        </w14:solidFill>
                      </w14:textFill>
                    </w:rPr>
                    <w:t>“三线</w:t>
                  </w:r>
                  <w:r>
                    <w:rPr>
                      <w:rFonts w:hint="default" w:ascii="Times New Roman" w:hAnsi="Times New Roman" w:cs="Times New Roman"/>
                      <w:color w:val="000000" w:themeColor="text1"/>
                      <w:sz w:val="21"/>
                      <w:szCs w:val="21"/>
                      <w:highlight w:val="none"/>
                      <w:lang w:bidi="zh-TW"/>
                      <w14:textFill>
                        <w14:solidFill>
                          <w14:schemeClr w14:val="tx1"/>
                        </w14:solidFill>
                      </w14:textFill>
                    </w:rPr>
                    <w:t>一单”编制过程中进一步细化。蚌埠市形成了“1+1”+“1+15+132”的管控体系。“1+1”即省级和沿淮两个区域清单，“1+15+132”即1个市级清单、15个开发区清单和132个管控单元清单。</w:t>
                  </w:r>
                </w:p>
              </w:tc>
              <w:tc>
                <w:tcPr>
                  <w:tcW w:w="1550" w:type="pct"/>
                  <w:vAlign w:val="center"/>
                </w:tcPr>
                <w:p w14:paraId="4C27C42F">
                  <w:pPr>
                    <w:adjustRightInd w:val="0"/>
                    <w:snapToGrid w:val="0"/>
                    <w:jc w:val="center"/>
                    <w:rPr>
                      <w:rFonts w:hint="eastAsia" w:ascii="Times New Roman" w:hAnsi="Times New Roman" w:eastAsia="宋体" w:cs="Times New Roman"/>
                      <w:bCs/>
                      <w:sz w:val="21"/>
                      <w:szCs w:val="21"/>
                      <w:lang w:eastAsia="zh-CN"/>
                    </w:rPr>
                  </w:pPr>
                  <w:r>
                    <w:rPr>
                      <w:sz w:val="21"/>
                      <w:szCs w:val="21"/>
                    </w:rPr>
                    <w:t>本项目为</w:t>
                  </w:r>
                  <w:r>
                    <w:rPr>
                      <w:rFonts w:hint="default" w:ascii="Times New Roman" w:hAnsi="Times New Roman" w:cs="Times New Roman"/>
                      <w:color w:val="auto"/>
                      <w:sz w:val="21"/>
                      <w:szCs w:val="21"/>
                      <w:lang w:val="en-US" w:eastAsia="zh-CN"/>
                    </w:rPr>
                    <w:t>C3985电</w:t>
                  </w:r>
                  <w:r>
                    <w:rPr>
                      <w:rFonts w:hint="eastAsia" w:hAnsi="宋体"/>
                      <w:color w:val="auto"/>
                      <w:sz w:val="21"/>
                      <w:szCs w:val="21"/>
                      <w:lang w:val="en-US" w:eastAsia="zh-CN"/>
                    </w:rPr>
                    <w:t>子专用材料制造</w:t>
                  </w:r>
                  <w:r>
                    <w:rPr>
                      <w:sz w:val="21"/>
                      <w:szCs w:val="21"/>
                    </w:rPr>
                    <w:t>，根据国家发改委《产业结构调整指导目录（20</w:t>
                  </w:r>
                  <w:r>
                    <w:rPr>
                      <w:rFonts w:hint="eastAsia"/>
                      <w:sz w:val="21"/>
                      <w:szCs w:val="21"/>
                      <w:lang w:val="en-US" w:eastAsia="zh-CN"/>
                    </w:rPr>
                    <w:t>24</w:t>
                  </w:r>
                  <w:r>
                    <w:rPr>
                      <w:sz w:val="21"/>
                      <w:szCs w:val="21"/>
                    </w:rPr>
                    <w:t>年本）》，本项目符合国家产业、地方现行的产业政策和技术政策，不属于国家明令禁止、淘汰、限制的生产工艺和国家明令禁止的“十五小”和新“五小”企业</w:t>
                  </w:r>
                  <w:r>
                    <w:rPr>
                      <w:rFonts w:hint="eastAsia"/>
                      <w:sz w:val="21"/>
                      <w:szCs w:val="21"/>
                      <w:lang w:eastAsia="zh-CN"/>
                    </w:rPr>
                    <w:t>符合生态环境准入清单的要求。</w:t>
                  </w:r>
                </w:p>
              </w:tc>
              <w:tc>
                <w:tcPr>
                  <w:tcW w:w="421" w:type="pct"/>
                  <w:vAlign w:val="center"/>
                </w:tcPr>
                <w:p w14:paraId="1A664C9B">
                  <w:pPr>
                    <w:adjustRightInd w:val="0"/>
                    <w:snapToGrid w:val="0"/>
                    <w:jc w:val="center"/>
                    <w:rPr>
                      <w:bCs/>
                      <w:sz w:val="21"/>
                      <w:szCs w:val="21"/>
                    </w:rPr>
                  </w:pPr>
                  <w:r>
                    <w:rPr>
                      <w:bCs/>
                      <w:sz w:val="21"/>
                      <w:szCs w:val="21"/>
                    </w:rPr>
                    <w:t>符合</w:t>
                  </w:r>
                </w:p>
              </w:tc>
            </w:tr>
          </w:tbl>
          <w:p w14:paraId="01114D51">
            <w:pPr>
              <w:pStyle w:val="39"/>
              <w:spacing w:before="0" w:beforeAutospacing="0" w:after="0" w:afterAutospacing="0"/>
              <w:jc w:val="both"/>
              <w:rPr>
                <w:rFonts w:hint="eastAsia"/>
                <w:kern w:val="0"/>
                <w:sz w:val="24"/>
                <w:lang w:val="en-US" w:eastAsia="zh-CN"/>
              </w:rPr>
            </w:pPr>
          </w:p>
          <w:p w14:paraId="62E6D88B">
            <w:pPr>
              <w:pStyle w:val="39"/>
              <w:spacing w:before="0" w:beforeAutospacing="0" w:after="0" w:afterAutospacing="0" w:line="360" w:lineRule="auto"/>
              <w:jc w:val="both"/>
              <w:rPr>
                <w:rFonts w:hint="eastAsia"/>
                <w:kern w:val="0"/>
                <w:sz w:val="48"/>
                <w:szCs w:val="48"/>
                <w:lang w:val="en-US" w:eastAsia="zh-CN"/>
              </w:rPr>
            </w:pPr>
          </w:p>
          <w:p w14:paraId="620EC139">
            <w:pPr>
              <w:pStyle w:val="39"/>
              <w:spacing w:before="0" w:beforeAutospacing="0" w:after="0" w:afterAutospacing="0" w:line="360" w:lineRule="auto"/>
              <w:jc w:val="both"/>
              <w:rPr>
                <w:rFonts w:hint="eastAsia"/>
                <w:kern w:val="0"/>
                <w:sz w:val="48"/>
                <w:szCs w:val="48"/>
                <w:lang w:val="en-US" w:eastAsia="zh-CN"/>
              </w:rPr>
            </w:pPr>
          </w:p>
          <w:p w14:paraId="77077CF8">
            <w:pPr>
              <w:pStyle w:val="39"/>
              <w:spacing w:before="0" w:beforeAutospacing="0" w:after="0" w:afterAutospacing="0" w:line="360" w:lineRule="auto"/>
              <w:jc w:val="both"/>
              <w:rPr>
                <w:rFonts w:hint="eastAsia"/>
                <w:kern w:val="0"/>
                <w:sz w:val="48"/>
                <w:szCs w:val="48"/>
                <w:lang w:val="en-US" w:eastAsia="zh-CN"/>
              </w:rPr>
            </w:pPr>
          </w:p>
          <w:p w14:paraId="3333D025">
            <w:pPr>
              <w:pStyle w:val="39"/>
              <w:spacing w:before="0" w:beforeAutospacing="0" w:after="0" w:afterAutospacing="0" w:line="360" w:lineRule="auto"/>
              <w:jc w:val="both"/>
              <w:rPr>
                <w:rFonts w:hint="default"/>
                <w:kern w:val="0"/>
                <w:sz w:val="48"/>
                <w:szCs w:val="48"/>
                <w:lang w:val="en-US" w:eastAsia="zh-CN"/>
              </w:rPr>
            </w:pPr>
            <w:r>
              <w:rPr>
                <w:rFonts w:hint="eastAsia"/>
                <w:kern w:val="0"/>
                <w:sz w:val="48"/>
                <w:szCs w:val="48"/>
                <w:lang w:val="en-US" w:eastAsia="zh-CN"/>
              </w:rPr>
              <w:t xml:space="preserve"> </w:t>
            </w:r>
          </w:p>
          <w:p w14:paraId="082DB0BB">
            <w:pPr>
              <w:pStyle w:val="39"/>
              <w:spacing w:before="0" w:beforeAutospacing="0" w:after="0" w:afterAutospacing="0" w:line="360" w:lineRule="auto"/>
              <w:jc w:val="both"/>
              <w:rPr>
                <w:rFonts w:hint="eastAsia"/>
                <w:kern w:val="0"/>
                <w:sz w:val="48"/>
                <w:szCs w:val="48"/>
                <w:lang w:val="en-US" w:eastAsia="zh-CN"/>
              </w:rPr>
            </w:pPr>
          </w:p>
          <w:p w14:paraId="132D9A2E">
            <w:pPr>
              <w:pStyle w:val="39"/>
              <w:spacing w:before="0" w:beforeAutospacing="0" w:after="0" w:afterAutospacing="0" w:line="360" w:lineRule="auto"/>
              <w:jc w:val="both"/>
              <w:rPr>
                <w:rFonts w:hint="eastAsia"/>
                <w:kern w:val="0"/>
                <w:sz w:val="48"/>
                <w:szCs w:val="48"/>
                <w:lang w:val="en-US" w:eastAsia="zh-CN"/>
              </w:rPr>
            </w:pPr>
          </w:p>
          <w:p w14:paraId="5DE64B63">
            <w:pPr>
              <w:pStyle w:val="39"/>
              <w:spacing w:before="0" w:beforeAutospacing="0" w:after="0" w:afterAutospacing="0" w:line="360" w:lineRule="auto"/>
              <w:jc w:val="both"/>
              <w:rPr>
                <w:rFonts w:hint="eastAsia"/>
                <w:kern w:val="0"/>
                <w:sz w:val="48"/>
                <w:szCs w:val="48"/>
                <w:lang w:val="en-US" w:eastAsia="zh-CN"/>
              </w:rPr>
            </w:pPr>
          </w:p>
          <w:p w14:paraId="5455CA17">
            <w:pPr>
              <w:pStyle w:val="39"/>
              <w:spacing w:before="0" w:beforeAutospacing="0" w:after="0" w:afterAutospacing="0" w:line="360" w:lineRule="auto"/>
              <w:jc w:val="both"/>
              <w:rPr>
                <w:rFonts w:hint="eastAsia"/>
                <w:kern w:val="0"/>
                <w:sz w:val="48"/>
                <w:szCs w:val="48"/>
                <w:lang w:val="en-US" w:eastAsia="zh-CN"/>
              </w:rPr>
            </w:pPr>
          </w:p>
          <w:p w14:paraId="67CB80E2">
            <w:pPr>
              <w:pStyle w:val="39"/>
              <w:spacing w:before="0" w:beforeAutospacing="0" w:after="0" w:afterAutospacing="0" w:line="360" w:lineRule="auto"/>
              <w:jc w:val="both"/>
              <w:rPr>
                <w:rFonts w:hint="eastAsia"/>
                <w:kern w:val="0"/>
                <w:sz w:val="48"/>
                <w:szCs w:val="48"/>
                <w:lang w:val="en-US" w:eastAsia="zh-CN"/>
              </w:rPr>
            </w:pPr>
          </w:p>
          <w:p w14:paraId="66385923">
            <w:pPr>
              <w:pStyle w:val="39"/>
              <w:spacing w:before="0" w:beforeAutospacing="0" w:after="0" w:afterAutospacing="0" w:line="360" w:lineRule="auto"/>
              <w:jc w:val="both"/>
              <w:rPr>
                <w:rFonts w:hint="eastAsia"/>
                <w:kern w:val="0"/>
                <w:sz w:val="48"/>
                <w:szCs w:val="48"/>
                <w:lang w:val="en-US" w:eastAsia="zh-CN"/>
              </w:rPr>
            </w:pPr>
          </w:p>
          <w:p w14:paraId="7CDC906C">
            <w:pPr>
              <w:pStyle w:val="39"/>
              <w:spacing w:before="0" w:beforeAutospacing="0" w:after="0" w:afterAutospacing="0" w:line="360" w:lineRule="auto"/>
              <w:jc w:val="both"/>
              <w:rPr>
                <w:rFonts w:hint="eastAsia"/>
                <w:kern w:val="0"/>
                <w:sz w:val="48"/>
                <w:szCs w:val="48"/>
                <w:lang w:val="en-US" w:eastAsia="zh-CN"/>
              </w:rPr>
            </w:pPr>
          </w:p>
          <w:p w14:paraId="7DA5B84C">
            <w:pPr>
              <w:pStyle w:val="39"/>
              <w:spacing w:before="0" w:beforeAutospacing="0" w:after="0" w:afterAutospacing="0" w:line="360" w:lineRule="auto"/>
              <w:jc w:val="both"/>
              <w:rPr>
                <w:rFonts w:hint="eastAsia" w:eastAsia="宋体"/>
                <w:kern w:val="0"/>
                <w:sz w:val="24"/>
                <w:lang w:val="en-US" w:eastAsia="zh-CN"/>
              </w:rPr>
            </w:pPr>
          </w:p>
        </w:tc>
      </w:tr>
    </w:tbl>
    <w:p w14:paraId="296BB8ED">
      <w:pPr>
        <w:pStyle w:val="24"/>
        <w:rPr>
          <w:snapToGrid w:val="0"/>
        </w:rPr>
        <w:sectPr>
          <w:footerReference r:id="rId5" w:type="default"/>
          <w:pgSz w:w="11906" w:h="16838"/>
          <w:pgMar w:top="1440" w:right="1134"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1" w:name="_Toc15543"/>
    </w:p>
    <w:tbl>
      <w:tblPr>
        <w:tblStyle w:val="25"/>
        <w:tblW w:w="4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2337"/>
      </w:tblGrid>
      <w:tr w14:paraId="665D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35" w:type="pct"/>
            <w:vAlign w:val="center"/>
          </w:tcPr>
          <w:p w14:paraId="0F4C406C">
            <w:pPr>
              <w:adjustRightInd w:val="0"/>
              <w:snapToGrid w:val="0"/>
              <w:jc w:val="center"/>
              <w:rPr>
                <w:b w:val="0"/>
                <w:bCs w:val="0"/>
                <w:sz w:val="24"/>
                <w:szCs w:val="24"/>
              </w:rPr>
            </w:pPr>
          </w:p>
        </w:tc>
        <w:tc>
          <w:tcPr>
            <w:tcW w:w="4464" w:type="pct"/>
            <w:vAlign w:val="center"/>
          </w:tcPr>
          <w:p w14:paraId="66CC32D7">
            <w:pPr>
              <w:spacing w:line="360" w:lineRule="auto"/>
              <w:ind w:firstLine="480"/>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val="en-US" w:eastAsia="zh-CN"/>
              </w:rPr>
              <w:t>经安徽省“三线一单”公众服务平台查询，项目选址属于大气</w:t>
            </w:r>
            <w:r>
              <w:rPr>
                <w:rFonts w:hint="eastAsia" w:ascii="Times New Roman" w:hAnsi="Times New Roman" w:eastAsia="宋体" w:cs="Times New Roman"/>
                <w:color w:val="auto"/>
                <w:sz w:val="24"/>
                <w:szCs w:val="24"/>
                <w:lang w:val="en-US" w:eastAsia="zh-CN"/>
              </w:rPr>
              <w:t>环境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水环境</w:t>
            </w:r>
            <w:r>
              <w:rPr>
                <w:rFonts w:hint="default" w:ascii="Times New Roman" w:hAnsi="Times New Roman" w:eastAsia="宋体" w:cs="Times New Roman"/>
                <w:color w:val="auto"/>
                <w:sz w:val="24"/>
                <w:szCs w:val="24"/>
                <w:lang w:val="en-US" w:eastAsia="zh-CN"/>
              </w:rPr>
              <w:t>重点管控单元，环境管控单元编码为</w:t>
            </w:r>
            <w:r>
              <w:rPr>
                <w:rFonts w:hint="default" w:ascii="Times New Roman" w:hAnsi="Times New Roman" w:eastAsia="宋体" w:cs="Times New Roman"/>
                <w:sz w:val="24"/>
                <w:szCs w:val="24"/>
              </w:rPr>
              <w:t>ZH34032320006</w:t>
            </w:r>
            <w:r>
              <w:rPr>
                <w:rFonts w:hint="eastAsia" w:ascii="Times New Roman" w:hAnsi="Times New Roman" w:eastAsia="宋体" w:cs="Times New Roman"/>
                <w:sz w:val="24"/>
                <w:szCs w:val="24"/>
                <w:lang w:eastAsia="zh-CN"/>
              </w:rPr>
              <w:t>。</w:t>
            </w:r>
          </w:p>
          <w:p w14:paraId="3293E57D">
            <w:pPr>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drawing>
                <wp:inline distT="0" distB="0" distL="114300" distR="114300">
                  <wp:extent cx="7691120" cy="3420745"/>
                  <wp:effectExtent l="0" t="0" r="5080" b="8255"/>
                  <wp:docPr id="2" name="图片 2" descr="134e47aa8d8c4e627102fd1094c8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4e47aa8d8c4e627102fd1094c8b57"/>
                          <pic:cNvPicPr>
                            <a:picLocks noChangeAspect="1"/>
                          </pic:cNvPicPr>
                        </pic:nvPicPr>
                        <pic:blipFill>
                          <a:blip r:embed="rId7"/>
                          <a:stretch>
                            <a:fillRect/>
                          </a:stretch>
                        </pic:blipFill>
                        <pic:spPr>
                          <a:xfrm>
                            <a:off x="0" y="0"/>
                            <a:ext cx="7691120" cy="3420745"/>
                          </a:xfrm>
                          <a:prstGeom prst="rect">
                            <a:avLst/>
                          </a:prstGeom>
                        </pic:spPr>
                      </pic:pic>
                    </a:graphicData>
                  </a:graphic>
                </wp:inline>
              </w:drawing>
            </w:r>
          </w:p>
          <w:p w14:paraId="3936F156">
            <w:pPr>
              <w:adjustRightInd w:val="0"/>
              <w:snapToGrid w:val="0"/>
              <w:jc w:val="center"/>
              <w:rPr>
                <w:rFonts w:hint="eastAsia"/>
                <w:b/>
                <w:sz w:val="21"/>
                <w:szCs w:val="21"/>
                <w:lang w:eastAsia="zh-CN" w:bidi="en-US"/>
              </w:rPr>
            </w:pPr>
            <w:r>
              <w:rPr>
                <w:rFonts w:hint="eastAsia"/>
                <w:b/>
                <w:sz w:val="21"/>
                <w:szCs w:val="21"/>
                <w:lang w:eastAsia="zh-CN" w:bidi="en-US"/>
              </w:rPr>
              <w:t>图</w:t>
            </w:r>
            <w:r>
              <w:rPr>
                <w:b/>
                <w:sz w:val="21"/>
                <w:szCs w:val="21"/>
                <w:lang w:bidi="en-US"/>
              </w:rPr>
              <w:t>1</w:t>
            </w:r>
            <w:r>
              <w:rPr>
                <w:rFonts w:hint="eastAsia"/>
                <w:b/>
                <w:sz w:val="21"/>
                <w:szCs w:val="21"/>
                <w:lang w:bidi="en-US"/>
              </w:rPr>
              <w:t>-</w:t>
            </w:r>
            <w:r>
              <w:rPr>
                <w:rFonts w:hint="eastAsia"/>
                <w:b/>
                <w:sz w:val="21"/>
                <w:szCs w:val="21"/>
                <w:lang w:val="en-US" w:eastAsia="zh-CN" w:bidi="en-US"/>
              </w:rPr>
              <w:t xml:space="preserve">1 </w:t>
            </w:r>
            <w:r>
              <w:rPr>
                <w:rFonts w:hint="eastAsia"/>
                <w:b/>
                <w:sz w:val="21"/>
                <w:szCs w:val="21"/>
                <w:lang w:eastAsia="zh-CN" w:bidi="en-US"/>
              </w:rPr>
              <w:t>本项目位于“三线一单”分区管控区域示意图</w:t>
            </w:r>
          </w:p>
          <w:p w14:paraId="09D31C9B">
            <w:pPr>
              <w:adjustRightInd w:val="0"/>
              <w:snapToGrid w:val="0"/>
              <w:jc w:val="center"/>
              <w:rPr>
                <w:rFonts w:hint="eastAsia"/>
                <w:b/>
                <w:sz w:val="21"/>
                <w:szCs w:val="21"/>
                <w:lang w:eastAsia="zh-CN" w:bidi="en-US"/>
              </w:rPr>
            </w:pPr>
          </w:p>
          <w:p w14:paraId="2FE173AE">
            <w:pPr>
              <w:adjustRightInd w:val="0"/>
              <w:snapToGrid w:val="0"/>
              <w:jc w:val="center"/>
              <w:rPr>
                <w:rFonts w:hint="eastAsia"/>
                <w:b/>
                <w:sz w:val="21"/>
                <w:szCs w:val="21"/>
                <w:lang w:eastAsia="zh-CN" w:bidi="en-US"/>
              </w:rPr>
            </w:pPr>
          </w:p>
          <w:p w14:paraId="6554740E">
            <w:pPr>
              <w:adjustRightInd w:val="0"/>
              <w:snapToGrid w:val="0"/>
              <w:jc w:val="center"/>
              <w:rPr>
                <w:rFonts w:hint="eastAsia"/>
                <w:b/>
                <w:sz w:val="21"/>
                <w:szCs w:val="21"/>
                <w:lang w:eastAsia="zh-CN" w:bidi="en-US"/>
              </w:rPr>
            </w:pPr>
          </w:p>
          <w:p w14:paraId="27B11173">
            <w:pPr>
              <w:adjustRightInd w:val="0"/>
              <w:snapToGrid w:val="0"/>
              <w:jc w:val="center"/>
              <w:rPr>
                <w:rFonts w:hint="eastAsia"/>
                <w:b/>
                <w:sz w:val="21"/>
                <w:szCs w:val="21"/>
                <w:lang w:eastAsia="zh-CN" w:bidi="en-US"/>
              </w:rPr>
            </w:pPr>
          </w:p>
          <w:p w14:paraId="202581C6">
            <w:pPr>
              <w:adjustRightInd w:val="0"/>
              <w:snapToGrid w:val="0"/>
              <w:jc w:val="center"/>
              <w:rPr>
                <w:rFonts w:hint="eastAsia"/>
                <w:b/>
                <w:sz w:val="21"/>
                <w:szCs w:val="21"/>
                <w:lang w:eastAsia="zh-CN" w:bidi="en-US"/>
              </w:rPr>
            </w:pPr>
          </w:p>
          <w:p w14:paraId="11C9891A">
            <w:pPr>
              <w:adjustRightInd w:val="0"/>
              <w:snapToGrid w:val="0"/>
              <w:jc w:val="center"/>
              <w:rPr>
                <w:rFonts w:hint="eastAsia"/>
                <w:b/>
                <w:sz w:val="21"/>
                <w:szCs w:val="21"/>
                <w:lang w:eastAsia="zh-CN" w:bidi="en-US"/>
              </w:rPr>
            </w:pPr>
          </w:p>
          <w:p w14:paraId="7AE52782">
            <w:pPr>
              <w:adjustRightInd w:val="0"/>
              <w:snapToGrid w:val="0"/>
              <w:jc w:val="center"/>
              <w:rPr>
                <w:rFonts w:hint="eastAsia"/>
                <w:b/>
                <w:sz w:val="21"/>
                <w:szCs w:val="21"/>
                <w:lang w:eastAsia="zh-CN" w:bidi="en-US"/>
              </w:rPr>
            </w:pPr>
          </w:p>
          <w:p w14:paraId="434E3B2D">
            <w:pPr>
              <w:adjustRightInd w:val="0"/>
              <w:snapToGrid w:val="0"/>
              <w:jc w:val="center"/>
              <w:rPr>
                <w:rFonts w:hint="eastAsia"/>
                <w:b/>
                <w:sz w:val="21"/>
                <w:szCs w:val="21"/>
                <w:lang w:eastAsia="zh-CN" w:bidi="en-US"/>
              </w:rPr>
            </w:pPr>
          </w:p>
          <w:p w14:paraId="0522694D">
            <w:pPr>
              <w:adjustRightInd w:val="0"/>
              <w:snapToGrid w:val="0"/>
              <w:jc w:val="center"/>
              <w:rPr>
                <w:rFonts w:hint="default"/>
                <w:b w:val="0"/>
                <w:bCs w:val="0"/>
                <w:sz w:val="24"/>
                <w:szCs w:val="24"/>
                <w:lang w:val="en-US" w:eastAsia="zh-CN"/>
              </w:rPr>
            </w:pPr>
            <w:r>
              <w:rPr>
                <w:rFonts w:hint="eastAsia"/>
                <w:b/>
                <w:sz w:val="21"/>
                <w:szCs w:val="21"/>
                <w:lang w:val="en-US" w:eastAsia="zh-CN" w:bidi="en-US"/>
              </w:rPr>
              <w:t xml:space="preserve"> </w:t>
            </w:r>
          </w:p>
        </w:tc>
      </w:tr>
    </w:tbl>
    <w:p w14:paraId="75DA953C">
      <w:pPr>
        <w:pStyle w:val="24"/>
        <w:rPr>
          <w:snapToGrid w:val="0"/>
        </w:rPr>
        <w:sectPr>
          <w:pgSz w:w="16838" w:h="11906" w:orient="landscape"/>
          <w:pgMar w:top="1417" w:right="1440" w:bottom="1134"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0DC95F4">
      <w:pPr>
        <w:pStyle w:val="24"/>
        <w:rPr>
          <w:rFonts w:hAnsi="Times New Roman"/>
          <w:snapToGrid w:val="0"/>
        </w:rPr>
      </w:pPr>
      <w:r>
        <w:rPr>
          <w:snapToGrid w:val="0"/>
        </w:rPr>
        <w:t>二、建设项目工程分析</w:t>
      </w:r>
      <w:bookmarkEnd w:id="1"/>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115"/>
      </w:tblGrid>
      <w:tr w14:paraId="1AA9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6F6B677A">
            <w:pPr>
              <w:autoSpaceDE w:val="0"/>
              <w:autoSpaceDN w:val="0"/>
              <w:adjustRightInd w:val="0"/>
              <w:snapToGrid w:val="0"/>
              <w:jc w:val="center"/>
              <w:rPr>
                <w:sz w:val="24"/>
                <w:szCs w:val="24"/>
              </w:rPr>
            </w:pPr>
            <w:r>
              <w:rPr>
                <w:rFonts w:hint="eastAsia"/>
                <w:sz w:val="24"/>
                <w:szCs w:val="24"/>
              </w:rPr>
              <w:t>建设内容</w:t>
            </w:r>
          </w:p>
        </w:tc>
        <w:tc>
          <w:tcPr>
            <w:tcW w:w="9115" w:type="dxa"/>
            <w:vAlign w:val="center"/>
          </w:tcPr>
          <w:p w14:paraId="483F1713">
            <w:pPr>
              <w:spacing w:line="360" w:lineRule="auto"/>
              <w:rPr>
                <w:b/>
                <w:sz w:val="24"/>
                <w:szCs w:val="24"/>
              </w:rPr>
            </w:pPr>
            <w:r>
              <w:rPr>
                <w:b/>
                <w:sz w:val="24"/>
                <w:szCs w:val="24"/>
              </w:rPr>
              <w:t>1、建设内容</w:t>
            </w:r>
          </w:p>
          <w:p w14:paraId="7ECDE77A">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eastAsia="宋体"/>
                <w:color w:val="auto"/>
                <w:sz w:val="24"/>
                <w:szCs w:val="24"/>
                <w:lang w:eastAsia="zh-CN"/>
              </w:rPr>
            </w:pPr>
            <w:r>
              <w:rPr>
                <w:rFonts w:hint="eastAsia"/>
                <w:sz w:val="24"/>
                <w:szCs w:val="24"/>
                <w:lang w:eastAsia="zh-CN"/>
              </w:rPr>
              <w:t>蚌埠吉孚力新材料科技有限公司</w:t>
            </w:r>
            <w:r>
              <w:rPr>
                <w:rFonts w:hint="eastAsia"/>
                <w:sz w:val="24"/>
                <w:szCs w:val="24"/>
              </w:rPr>
              <w:t>拟</w:t>
            </w:r>
            <w:r>
              <w:rPr>
                <w:sz w:val="24"/>
                <w:szCs w:val="24"/>
              </w:rPr>
              <w:t>投资</w:t>
            </w:r>
            <w:r>
              <w:rPr>
                <w:rFonts w:hint="eastAsia"/>
                <w:sz w:val="24"/>
                <w:szCs w:val="24"/>
                <w:lang w:val="en-US" w:eastAsia="zh-CN"/>
              </w:rPr>
              <w:t>25000</w:t>
            </w:r>
            <w:r>
              <w:rPr>
                <w:sz w:val="24"/>
                <w:szCs w:val="24"/>
              </w:rPr>
              <w:t>万元</w:t>
            </w:r>
            <w:r>
              <w:rPr>
                <w:rFonts w:hint="eastAsia"/>
                <w:sz w:val="24"/>
                <w:szCs w:val="24"/>
                <w:lang w:eastAsia="zh-CN"/>
              </w:rPr>
              <w:t>新建</w:t>
            </w:r>
            <w:r>
              <w:rPr>
                <w:rFonts w:hint="eastAsia"/>
                <w:sz w:val="24"/>
                <w:szCs w:val="24"/>
              </w:rPr>
              <w:t>“</w:t>
            </w:r>
            <w:r>
              <w:rPr>
                <w:rFonts w:hint="eastAsia"/>
                <w:sz w:val="24"/>
                <w:szCs w:val="24"/>
                <w:lang w:val="en-US" w:eastAsia="zh-CN"/>
              </w:rPr>
              <w:t>年产5000吨超级多孔碳</w:t>
            </w:r>
            <w:r>
              <w:rPr>
                <w:rFonts w:hint="eastAsia" w:ascii="Times New Roman" w:hAnsi="Times New Roman"/>
                <w:sz w:val="24"/>
                <w:szCs w:val="24"/>
                <w:lang w:val="en-US" w:eastAsia="zh-CN"/>
              </w:rPr>
              <w:t>项目</w:t>
            </w:r>
            <w:r>
              <w:rPr>
                <w:rFonts w:hint="eastAsia"/>
                <w:sz w:val="24"/>
                <w:szCs w:val="24"/>
              </w:rPr>
              <w:t>”</w:t>
            </w:r>
            <w:r>
              <w:rPr>
                <w:rFonts w:hint="eastAsia"/>
                <w:sz w:val="24"/>
                <w:szCs w:val="24"/>
                <w:lang w:eastAsia="zh-CN"/>
              </w:rPr>
              <w:t>，</w:t>
            </w:r>
            <w:r>
              <w:rPr>
                <w:sz w:val="24"/>
                <w:szCs w:val="24"/>
              </w:rPr>
              <w:t>项目选</w:t>
            </w:r>
            <w:r>
              <w:rPr>
                <w:color w:val="auto"/>
                <w:sz w:val="24"/>
                <w:szCs w:val="24"/>
              </w:rPr>
              <w:t>址位于</w:t>
            </w:r>
            <w:r>
              <w:rPr>
                <w:rFonts w:hint="eastAsia"/>
                <w:color w:val="auto"/>
                <w:sz w:val="24"/>
                <w:szCs w:val="24"/>
                <w:lang w:eastAsia="zh-CN"/>
              </w:rPr>
              <w:t>安徽省蚌埠市</w:t>
            </w:r>
            <w:r>
              <w:rPr>
                <w:rFonts w:hint="eastAsia" w:cs="Times New Roman"/>
                <w:color w:val="auto"/>
                <w:spacing w:val="-2"/>
                <w:sz w:val="24"/>
                <w:szCs w:val="24"/>
                <w:lang w:val="en-US" w:eastAsia="zh-CN"/>
              </w:rPr>
              <w:t>固镇经济开发区门东路南侧、经二路西侧</w:t>
            </w:r>
            <w:r>
              <w:rPr>
                <w:rFonts w:hint="eastAsia"/>
                <w:color w:val="auto"/>
                <w:sz w:val="24"/>
                <w:szCs w:val="24"/>
                <w:lang w:val="en-US" w:eastAsia="zh-CN"/>
              </w:rPr>
              <w:t>。</w:t>
            </w:r>
            <w:r>
              <w:rPr>
                <w:rFonts w:hint="eastAsia"/>
                <w:color w:val="auto"/>
                <w:sz w:val="24"/>
                <w:szCs w:val="24"/>
                <w:lang w:eastAsia="zh-CN"/>
              </w:rPr>
              <w:t>项目总占地</w:t>
            </w:r>
            <w:r>
              <w:rPr>
                <w:rFonts w:hint="eastAsia"/>
                <w:color w:val="auto"/>
                <w:sz w:val="24"/>
                <w:szCs w:val="24"/>
                <w:lang w:val="en-US" w:eastAsia="zh-CN"/>
              </w:rPr>
              <w:t>90.33亩</w:t>
            </w:r>
            <w:r>
              <w:rPr>
                <w:rFonts w:hint="eastAsia"/>
                <w:color w:val="auto"/>
                <w:sz w:val="24"/>
                <w:szCs w:val="24"/>
                <w:lang w:eastAsia="zh-CN"/>
              </w:rPr>
              <w:t>，包含综合楼、生产车间及辅助、附属生产设施等。项目</w:t>
            </w:r>
            <w:r>
              <w:rPr>
                <w:color w:val="auto"/>
                <w:sz w:val="24"/>
                <w:szCs w:val="24"/>
              </w:rPr>
              <w:t>建成后，</w:t>
            </w:r>
            <w:r>
              <w:rPr>
                <w:rFonts w:hint="eastAsia"/>
                <w:color w:val="auto"/>
                <w:sz w:val="24"/>
                <w:szCs w:val="24"/>
                <w:lang w:eastAsia="zh-CN"/>
              </w:rPr>
              <w:t>可</w:t>
            </w:r>
            <w:r>
              <w:rPr>
                <w:rFonts w:hint="eastAsia" w:ascii="Times New Roman" w:hAnsi="Times New Roman"/>
                <w:sz w:val="24"/>
                <w:szCs w:val="24"/>
                <w:lang w:val="en-US" w:eastAsia="zh-CN"/>
              </w:rPr>
              <w:t>年产</w:t>
            </w:r>
            <w:r>
              <w:rPr>
                <w:rFonts w:hint="eastAsia"/>
                <w:sz w:val="24"/>
                <w:szCs w:val="24"/>
                <w:lang w:val="en-US" w:eastAsia="zh-CN"/>
              </w:rPr>
              <w:t>5000吨超级多孔碳</w:t>
            </w:r>
            <w:r>
              <w:rPr>
                <w:rFonts w:hint="eastAsia"/>
                <w:color w:val="auto"/>
                <w:sz w:val="24"/>
                <w:szCs w:val="24"/>
                <w:lang w:eastAsia="zh-CN"/>
              </w:rPr>
              <w:t>。</w:t>
            </w:r>
          </w:p>
          <w:p w14:paraId="7295F4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default" w:ascii="Times New Roman" w:hAnsi="Times New Roman" w:eastAsia="宋体" w:cs="Times New Roman"/>
                <w:color w:val="auto"/>
                <w:sz w:val="24"/>
                <w:szCs w:val="24"/>
              </w:rPr>
              <w:t>根据《建</w:t>
            </w:r>
            <w:r>
              <w:rPr>
                <w:color w:val="auto"/>
                <w:sz w:val="24"/>
                <w:szCs w:val="24"/>
              </w:rPr>
              <w:t>设项目环境影响评价分类管理名录</w:t>
            </w:r>
            <w:r>
              <w:rPr>
                <w:rFonts w:hint="eastAsia"/>
                <w:color w:val="auto"/>
                <w:sz w:val="24"/>
                <w:szCs w:val="24"/>
              </w:rPr>
              <w:t>（2</w:t>
            </w:r>
            <w:r>
              <w:rPr>
                <w:color w:val="auto"/>
                <w:sz w:val="24"/>
                <w:szCs w:val="24"/>
              </w:rPr>
              <w:t>021</w:t>
            </w:r>
            <w:r>
              <w:rPr>
                <w:rFonts w:hint="eastAsia"/>
                <w:color w:val="auto"/>
                <w:sz w:val="24"/>
                <w:szCs w:val="24"/>
              </w:rPr>
              <w:t>年版）</w:t>
            </w:r>
            <w:r>
              <w:rPr>
                <w:color w:val="auto"/>
                <w:sz w:val="24"/>
                <w:szCs w:val="24"/>
              </w:rPr>
              <w:t>》本项目属于</w:t>
            </w:r>
            <w:r>
              <w:rPr>
                <w:rFonts w:hint="eastAsia"/>
                <w:color w:val="auto"/>
                <w:sz w:val="24"/>
                <w:szCs w:val="24"/>
              </w:rPr>
              <w:t>“</w:t>
            </w:r>
            <w:r>
              <w:rPr>
                <w:rFonts w:hint="eastAsia" w:ascii="Times New Roman" w:eastAsia="宋体" w:cs="Times New Roman"/>
                <w:color w:val="auto"/>
                <w:sz w:val="24"/>
                <w:lang w:val="en-US" w:eastAsia="zh-CN"/>
              </w:rPr>
              <w:t>三十六、计算机、通信和其他电子设备制造业39</w:t>
            </w:r>
            <w:r>
              <w:rPr>
                <w:rFonts w:hint="default" w:ascii="Times New Roman" w:hAnsi="Times New Roman" w:eastAsia="宋体" w:cs="Times New Roman"/>
                <w:color w:val="auto"/>
                <w:sz w:val="24"/>
                <w:lang w:val="en-US" w:eastAsia="zh-CN"/>
              </w:rPr>
              <w:t>；</w:t>
            </w:r>
            <w:r>
              <w:rPr>
                <w:rFonts w:hint="eastAsia" w:ascii="Times New Roman" w:eastAsia="宋体" w:cs="Times New Roman"/>
                <w:color w:val="auto"/>
                <w:sz w:val="24"/>
                <w:lang w:val="en-US" w:eastAsia="zh-CN"/>
              </w:rPr>
              <w:t>81电子元件及电子专用材料制造398</w:t>
            </w:r>
            <w:r>
              <w:rPr>
                <w:rFonts w:hint="default" w:ascii="Times New Roman" w:hAnsi="Times New Roman" w:eastAsia="宋体" w:cs="Times New Roman"/>
                <w:color w:val="auto"/>
                <w:sz w:val="24"/>
                <w:lang w:val="en-US" w:eastAsia="zh-CN"/>
              </w:rPr>
              <w:t>；</w:t>
            </w:r>
            <w:r>
              <w:rPr>
                <w:rFonts w:hint="eastAsia" w:ascii="Times New Roman" w:eastAsia="宋体" w:cs="Times New Roman"/>
                <w:color w:val="auto"/>
                <w:sz w:val="24"/>
                <w:lang w:val="en-US" w:eastAsia="zh-CN"/>
              </w:rPr>
              <w:t>电子专用材料制造（电子化工材料制造除外</w:t>
            </w:r>
            <w:r>
              <w:rPr>
                <w:rFonts w:hint="eastAsia" w:cs="Times New Roman"/>
                <w:color w:val="auto"/>
                <w:sz w:val="24"/>
                <w:lang w:val="en-US" w:eastAsia="zh-CN"/>
              </w:rPr>
              <w:t>）</w:t>
            </w:r>
            <w:r>
              <w:rPr>
                <w:rFonts w:hint="eastAsia" w:ascii="Times New Roman" w:eastAsia="宋体" w:cs="Times New Roman"/>
                <w:color w:val="auto"/>
                <w:sz w:val="24"/>
                <w:lang w:val="en-US" w:eastAsia="zh-CN"/>
              </w:rPr>
              <w:t>；有酸洗的 以上均不含仅分割、焊接、组装的</w:t>
            </w:r>
            <w:r>
              <w:rPr>
                <w:rFonts w:hint="eastAsia"/>
                <w:color w:val="auto"/>
                <w:sz w:val="24"/>
                <w:szCs w:val="24"/>
              </w:rPr>
              <w:t>”</w:t>
            </w:r>
            <w:r>
              <w:rPr>
                <w:color w:val="auto"/>
                <w:sz w:val="24"/>
                <w:szCs w:val="24"/>
              </w:rPr>
              <w:t>，</w:t>
            </w:r>
            <w:r>
              <w:rPr>
                <w:rFonts w:hint="eastAsia"/>
                <w:color w:val="auto"/>
                <w:sz w:val="24"/>
                <w:szCs w:val="24"/>
                <w:lang w:eastAsia="zh-CN"/>
              </w:rPr>
              <w:t>需编制</w:t>
            </w:r>
            <w:r>
              <w:rPr>
                <w:color w:val="auto"/>
                <w:sz w:val="24"/>
                <w:szCs w:val="24"/>
              </w:rPr>
              <w:t>环境影响报告表。</w:t>
            </w:r>
          </w:p>
          <w:p w14:paraId="60DCBBF8">
            <w:pPr>
              <w:spacing w:line="360" w:lineRule="auto"/>
              <w:ind w:firstLine="480" w:firstLineChars="200"/>
              <w:rPr>
                <w:sz w:val="24"/>
                <w:szCs w:val="24"/>
              </w:rPr>
            </w:pPr>
            <w:r>
              <w:rPr>
                <w:sz w:val="24"/>
                <w:szCs w:val="24"/>
              </w:rPr>
              <w:t>建设单位</w:t>
            </w:r>
            <w:r>
              <w:rPr>
                <w:rFonts w:hint="eastAsia"/>
                <w:sz w:val="24"/>
                <w:szCs w:val="24"/>
                <w:lang w:eastAsia="zh-CN"/>
              </w:rPr>
              <w:t>蚌埠吉孚力新材料科技有限公司</w:t>
            </w:r>
            <w:r>
              <w:rPr>
                <w:sz w:val="24"/>
                <w:szCs w:val="24"/>
              </w:rPr>
              <w:t>委托</w:t>
            </w:r>
            <w:r>
              <w:rPr>
                <w:rFonts w:hint="eastAsia"/>
                <w:sz w:val="24"/>
                <w:szCs w:val="24"/>
                <w:lang w:eastAsia="zh-CN"/>
              </w:rPr>
              <w:t>蚌埠富鑫环境科技有限公司</w:t>
            </w:r>
            <w:r>
              <w:rPr>
                <w:sz w:val="24"/>
                <w:szCs w:val="24"/>
              </w:rPr>
              <w:t>对该项目进行环境影响评价工作。接受委托后，我单位技术人员对本项目进行了的详细的现场踏勘、资料收集工作，在对本项目工程有关环境现状和可能造成的环境影响进行分析后，依照</w:t>
            </w:r>
            <w:r>
              <w:rPr>
                <w:rFonts w:hint="eastAsia"/>
                <w:sz w:val="24"/>
                <w:szCs w:val="24"/>
                <w:lang w:eastAsia="zh-CN"/>
              </w:rPr>
              <w:t>建设项目环境影响报告表编织技术指南</w:t>
            </w:r>
            <w:r>
              <w:rPr>
                <w:sz w:val="24"/>
                <w:szCs w:val="24"/>
              </w:rPr>
              <w:t>的要求编制了环境影响报告表。报请</w:t>
            </w:r>
            <w:r>
              <w:rPr>
                <w:rFonts w:hint="eastAsia"/>
                <w:sz w:val="24"/>
                <w:szCs w:val="24"/>
                <w:lang w:eastAsia="zh-CN"/>
              </w:rPr>
              <w:t>生态环境</w:t>
            </w:r>
            <w:r>
              <w:rPr>
                <w:sz w:val="24"/>
                <w:szCs w:val="24"/>
              </w:rPr>
              <w:t>主管部门审批，以期为项目实施和管理提供参考依据。</w:t>
            </w:r>
          </w:p>
          <w:p w14:paraId="1B903F9A">
            <w:pPr>
              <w:spacing w:line="240" w:lineRule="auto"/>
              <w:ind w:firstLine="480" w:firstLineChars="200"/>
              <w:rPr>
                <w:color w:val="auto"/>
                <w:sz w:val="24"/>
                <w:szCs w:val="24"/>
              </w:rPr>
            </w:pPr>
            <w:r>
              <w:rPr>
                <w:sz w:val="24"/>
                <w:szCs w:val="24"/>
              </w:rPr>
              <w:t>项目建设内容见下表</w:t>
            </w:r>
            <w:r>
              <w:rPr>
                <w:color w:val="auto"/>
                <w:sz w:val="24"/>
                <w:szCs w:val="24"/>
              </w:rPr>
              <w:t>。</w:t>
            </w:r>
          </w:p>
          <w:p w14:paraId="2DD932C6">
            <w:pPr>
              <w:spacing w:line="240" w:lineRule="auto"/>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1</w:t>
            </w:r>
            <w:r>
              <w:rPr>
                <w:b/>
                <w:color w:val="auto"/>
                <w:sz w:val="21"/>
                <w:szCs w:val="21"/>
              </w:rPr>
              <w:t>项目建设内容一览表</w:t>
            </w:r>
          </w:p>
          <w:tbl>
            <w:tblPr>
              <w:tblStyle w:val="25"/>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88"/>
              <w:gridCol w:w="913"/>
              <w:gridCol w:w="2185"/>
              <w:gridCol w:w="1940"/>
              <w:gridCol w:w="1523"/>
              <w:gridCol w:w="681"/>
            </w:tblGrid>
            <w:tr w14:paraId="1EE4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Align w:val="center"/>
                </w:tcPr>
                <w:p w14:paraId="206C759D">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工程名称</w:t>
                  </w:r>
                </w:p>
              </w:tc>
              <w:tc>
                <w:tcPr>
                  <w:tcW w:w="606" w:type="pct"/>
                  <w:vAlign w:val="center"/>
                </w:tcPr>
                <w:p w14:paraId="2126F11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单项工程名称</w:t>
                  </w:r>
                </w:p>
              </w:tc>
              <w:tc>
                <w:tcPr>
                  <w:tcW w:w="3655" w:type="pct"/>
                  <w:gridSpan w:val="4"/>
                  <w:vAlign w:val="center"/>
                </w:tcPr>
                <w:p w14:paraId="1AA30EEC">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工程建设内容</w:t>
                  </w:r>
                </w:p>
              </w:tc>
              <w:tc>
                <w:tcPr>
                  <w:tcW w:w="379" w:type="pct"/>
                  <w:vAlign w:val="center"/>
                </w:tcPr>
                <w:p w14:paraId="0E1C1AC1">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备注</w:t>
                  </w:r>
                </w:p>
              </w:tc>
            </w:tr>
            <w:tr w14:paraId="4D2C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vMerge w:val="restart"/>
                  <w:vAlign w:val="center"/>
                </w:tcPr>
                <w:p w14:paraId="031D2A1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主体工程</w:t>
                  </w:r>
                </w:p>
              </w:tc>
              <w:tc>
                <w:tcPr>
                  <w:tcW w:w="606" w:type="pct"/>
                  <w:vAlign w:val="center"/>
                </w:tcPr>
                <w:p w14:paraId="2D73A8C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1#车间</w:t>
                  </w:r>
                </w:p>
              </w:tc>
              <w:tc>
                <w:tcPr>
                  <w:tcW w:w="3655" w:type="pct"/>
                  <w:gridSpan w:val="4"/>
                  <w:vAlign w:val="center"/>
                </w:tcPr>
                <w:p w14:paraId="7C4D898F">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b w:val="0"/>
                      <w:bCs/>
                      <w:color w:val="auto"/>
                      <w:sz w:val="21"/>
                      <w:szCs w:val="21"/>
                      <w:lang w:eastAsia="zh-CN"/>
                    </w:rPr>
                    <w:t>建筑面积</w:t>
                  </w:r>
                  <w:r>
                    <w:rPr>
                      <w:rFonts w:hint="eastAsia"/>
                      <w:b w:val="0"/>
                      <w:bCs/>
                      <w:color w:val="auto"/>
                      <w:sz w:val="21"/>
                      <w:szCs w:val="21"/>
                      <w:lang w:val="en-US" w:eastAsia="zh-CN"/>
                    </w:rPr>
                    <w:t>21300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1F，</w:t>
                  </w:r>
                  <w:r>
                    <w:rPr>
                      <w:rFonts w:hint="eastAsia"/>
                      <w:color w:val="auto"/>
                      <w:sz w:val="21"/>
                      <w:szCs w:val="21"/>
                      <w:lang w:eastAsia="zh-CN"/>
                    </w:rPr>
                    <w:t>高度</w:t>
                  </w:r>
                  <w:r>
                    <w:rPr>
                      <w:rFonts w:hint="eastAsia"/>
                      <w:b w:val="0"/>
                      <w:bCs/>
                      <w:color w:val="auto"/>
                      <w:sz w:val="21"/>
                      <w:szCs w:val="21"/>
                      <w:lang w:val="en-US" w:eastAsia="zh-CN"/>
                    </w:rPr>
                    <w:t>13.15m</w:t>
                  </w:r>
                  <w:r>
                    <w:rPr>
                      <w:rFonts w:hint="eastAsia"/>
                      <w:b w:val="0"/>
                      <w:bCs/>
                      <w:color w:val="auto"/>
                      <w:sz w:val="21"/>
                      <w:szCs w:val="21"/>
                      <w:lang w:eastAsia="zh-CN"/>
                    </w:rPr>
                    <w:t>。主要建设年产</w:t>
                  </w:r>
                  <w:r>
                    <w:rPr>
                      <w:rFonts w:hint="eastAsia"/>
                      <w:b w:val="0"/>
                      <w:bCs/>
                      <w:color w:val="auto"/>
                      <w:sz w:val="21"/>
                      <w:szCs w:val="21"/>
                      <w:lang w:val="en-US" w:eastAsia="zh-CN"/>
                    </w:rPr>
                    <w:t>1000吨超级多孔碳生产线4条，项目建成后，可年产4000吨超级多孔碳。</w:t>
                  </w:r>
                </w:p>
              </w:tc>
              <w:tc>
                <w:tcPr>
                  <w:tcW w:w="379" w:type="pct"/>
                  <w:vAlign w:val="center"/>
                </w:tcPr>
                <w:p w14:paraId="35203435">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000000"/>
                      <w:sz w:val="21"/>
                      <w:szCs w:val="21"/>
                      <w:lang w:eastAsia="zh-CN"/>
                    </w:rPr>
                  </w:pPr>
                  <w:r>
                    <w:rPr>
                      <w:rFonts w:hint="eastAsia"/>
                      <w:b w:val="0"/>
                      <w:bCs/>
                      <w:color w:val="000000"/>
                      <w:sz w:val="21"/>
                      <w:szCs w:val="21"/>
                      <w:lang w:eastAsia="zh-CN"/>
                    </w:rPr>
                    <w:t>新建</w:t>
                  </w:r>
                </w:p>
              </w:tc>
            </w:tr>
            <w:tr w14:paraId="6220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36E56C8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606" w:type="pct"/>
                  <w:vAlign w:val="center"/>
                </w:tcPr>
                <w:p w14:paraId="325BE1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2#车间</w:t>
                  </w:r>
                </w:p>
              </w:tc>
              <w:tc>
                <w:tcPr>
                  <w:tcW w:w="3655" w:type="pct"/>
                  <w:gridSpan w:val="4"/>
                  <w:vAlign w:val="center"/>
                </w:tcPr>
                <w:p w14:paraId="16FC4C43">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建筑面积</w:t>
                  </w:r>
                  <w:r>
                    <w:rPr>
                      <w:rFonts w:hint="eastAsia"/>
                      <w:b w:val="0"/>
                      <w:bCs/>
                      <w:color w:val="auto"/>
                      <w:sz w:val="21"/>
                      <w:szCs w:val="21"/>
                      <w:lang w:val="en-US" w:eastAsia="zh-CN"/>
                    </w:rPr>
                    <w:t>8520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1F，</w:t>
                  </w:r>
                  <w:r>
                    <w:rPr>
                      <w:rFonts w:hint="eastAsia"/>
                      <w:color w:val="auto"/>
                      <w:sz w:val="21"/>
                      <w:szCs w:val="21"/>
                      <w:lang w:eastAsia="zh-CN"/>
                    </w:rPr>
                    <w:t>高度</w:t>
                  </w:r>
                  <w:r>
                    <w:rPr>
                      <w:rFonts w:hint="eastAsia"/>
                      <w:b w:val="0"/>
                      <w:bCs/>
                      <w:color w:val="auto"/>
                      <w:sz w:val="21"/>
                      <w:szCs w:val="21"/>
                      <w:lang w:val="en-US" w:eastAsia="zh-CN"/>
                    </w:rPr>
                    <w:t>13.15m</w:t>
                  </w:r>
                  <w:r>
                    <w:rPr>
                      <w:rFonts w:hint="eastAsia"/>
                      <w:b w:val="0"/>
                      <w:bCs/>
                      <w:color w:val="auto"/>
                      <w:sz w:val="21"/>
                      <w:szCs w:val="21"/>
                      <w:lang w:eastAsia="zh-CN"/>
                    </w:rPr>
                    <w:t>。主要建设年产</w:t>
                  </w:r>
                  <w:r>
                    <w:rPr>
                      <w:rFonts w:hint="eastAsia"/>
                      <w:b w:val="0"/>
                      <w:bCs/>
                      <w:color w:val="auto"/>
                      <w:sz w:val="21"/>
                      <w:szCs w:val="21"/>
                      <w:lang w:val="en-US" w:eastAsia="zh-CN"/>
                    </w:rPr>
                    <w:t>1000吨超级多孔碳生产线1条，项目建成后，可年产1000吨超级多孔碳。</w:t>
                  </w:r>
                </w:p>
              </w:tc>
              <w:tc>
                <w:tcPr>
                  <w:tcW w:w="379" w:type="pct"/>
                  <w:vAlign w:val="center"/>
                </w:tcPr>
                <w:p w14:paraId="50AD777E">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lang w:eastAsia="zh-CN"/>
                    </w:rPr>
                  </w:pPr>
                  <w:r>
                    <w:rPr>
                      <w:rFonts w:hint="eastAsia"/>
                      <w:b w:val="0"/>
                      <w:bCs/>
                      <w:color w:val="000000"/>
                      <w:sz w:val="21"/>
                      <w:szCs w:val="21"/>
                      <w:lang w:eastAsia="zh-CN"/>
                    </w:rPr>
                    <w:t>新建</w:t>
                  </w:r>
                </w:p>
              </w:tc>
            </w:tr>
            <w:tr w14:paraId="04DC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9" w:type="pct"/>
                  <w:vMerge w:val="restart"/>
                  <w:vAlign w:val="center"/>
                </w:tcPr>
                <w:p w14:paraId="0C95F367">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rFonts w:hint="eastAsia"/>
                      <w:b w:val="0"/>
                      <w:bCs/>
                      <w:color w:val="auto"/>
                      <w:sz w:val="21"/>
                      <w:szCs w:val="21"/>
                      <w:lang w:eastAsia="zh-CN"/>
                    </w:rPr>
                    <w:t>储运</w:t>
                  </w:r>
                  <w:r>
                    <w:rPr>
                      <w:b w:val="0"/>
                      <w:bCs/>
                      <w:color w:val="auto"/>
                      <w:sz w:val="21"/>
                      <w:szCs w:val="21"/>
                    </w:rPr>
                    <w:t>工程</w:t>
                  </w:r>
                </w:p>
              </w:tc>
              <w:tc>
                <w:tcPr>
                  <w:tcW w:w="606" w:type="pct"/>
                  <w:vAlign w:val="center"/>
                </w:tcPr>
                <w:p w14:paraId="19E6D190">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原料区</w:t>
                  </w:r>
                </w:p>
              </w:tc>
              <w:tc>
                <w:tcPr>
                  <w:tcW w:w="3655" w:type="pct"/>
                  <w:gridSpan w:val="4"/>
                  <w:vAlign w:val="center"/>
                </w:tcPr>
                <w:p w14:paraId="32660319">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cs="Times New Roman"/>
                      <w:b w:val="0"/>
                      <w:bCs/>
                      <w:color w:val="auto"/>
                      <w:sz w:val="21"/>
                      <w:szCs w:val="21"/>
                      <w:lang w:val="en-US" w:eastAsia="zh-CN"/>
                    </w:rPr>
                    <w:t>1#车间</w:t>
                  </w:r>
                  <w:r>
                    <w:rPr>
                      <w:rFonts w:hint="eastAsia" w:ascii="Times New Roman" w:hAnsi="Times New Roman" w:eastAsia="宋体" w:cs="Times New Roman"/>
                      <w:b w:val="0"/>
                      <w:bCs/>
                      <w:color w:val="auto"/>
                      <w:sz w:val="21"/>
                      <w:szCs w:val="21"/>
                      <w:lang w:eastAsia="zh-CN"/>
                    </w:rPr>
                    <w:t>南侧</w:t>
                  </w:r>
                  <w:r>
                    <w:rPr>
                      <w:rFonts w:hint="eastAsia"/>
                      <w:b w:val="0"/>
                      <w:bCs/>
                      <w:color w:val="auto"/>
                      <w:sz w:val="21"/>
                      <w:szCs w:val="21"/>
                      <w:lang w:eastAsia="zh-CN"/>
                    </w:rPr>
                    <w:t>建筑面积</w:t>
                  </w:r>
                  <w:r>
                    <w:rPr>
                      <w:rFonts w:hint="eastAsia"/>
                      <w:b w:val="0"/>
                      <w:bCs/>
                      <w:color w:val="auto"/>
                      <w:sz w:val="21"/>
                      <w:szCs w:val="21"/>
                      <w:lang w:val="en-US" w:eastAsia="zh-CN"/>
                    </w:rPr>
                    <w:t>2500</w:t>
                  </w:r>
                  <w:r>
                    <w:rPr>
                      <w:color w:val="auto"/>
                      <w:sz w:val="21"/>
                      <w:szCs w:val="21"/>
                    </w:rPr>
                    <w:t>m</w:t>
                  </w:r>
                  <w:r>
                    <w:rPr>
                      <w:color w:val="auto"/>
                      <w:sz w:val="21"/>
                      <w:szCs w:val="21"/>
                      <w:vertAlign w:val="superscript"/>
                    </w:rPr>
                    <w:t>2</w:t>
                  </w:r>
                  <w:r>
                    <w:rPr>
                      <w:rFonts w:hint="eastAsia"/>
                      <w:color w:val="auto"/>
                      <w:sz w:val="21"/>
                      <w:szCs w:val="21"/>
                    </w:rPr>
                    <w:t>，</w:t>
                  </w:r>
                  <w:r>
                    <w:rPr>
                      <w:rFonts w:hint="eastAsia" w:cs="Times New Roman"/>
                      <w:b w:val="0"/>
                      <w:bCs/>
                      <w:color w:val="auto"/>
                      <w:sz w:val="21"/>
                      <w:szCs w:val="21"/>
                      <w:lang w:val="en-US" w:eastAsia="zh-CN"/>
                    </w:rPr>
                    <w:t>2#车间</w:t>
                  </w:r>
                  <w:r>
                    <w:rPr>
                      <w:rFonts w:hint="eastAsia" w:ascii="Times New Roman" w:hAnsi="Times New Roman" w:eastAsia="宋体" w:cs="Times New Roman"/>
                      <w:b w:val="0"/>
                      <w:bCs/>
                      <w:color w:val="auto"/>
                      <w:sz w:val="21"/>
                      <w:szCs w:val="21"/>
                      <w:lang w:eastAsia="zh-CN"/>
                    </w:rPr>
                    <w:t>南侧</w:t>
                  </w:r>
                  <w:r>
                    <w:rPr>
                      <w:rFonts w:hint="eastAsia"/>
                      <w:b w:val="0"/>
                      <w:bCs/>
                      <w:color w:val="auto"/>
                      <w:sz w:val="21"/>
                      <w:szCs w:val="21"/>
                      <w:lang w:eastAsia="zh-CN"/>
                    </w:rPr>
                    <w:t>建筑面积</w:t>
                  </w:r>
                  <w:r>
                    <w:rPr>
                      <w:rFonts w:hint="eastAsia"/>
                      <w:b w:val="0"/>
                      <w:bCs/>
                      <w:color w:val="auto"/>
                      <w:sz w:val="21"/>
                      <w:szCs w:val="21"/>
                      <w:lang w:val="en-US" w:eastAsia="zh-CN"/>
                    </w:rPr>
                    <w:t>680</w:t>
                  </w:r>
                  <w:r>
                    <w:rPr>
                      <w:color w:val="auto"/>
                      <w:sz w:val="21"/>
                      <w:szCs w:val="21"/>
                    </w:rPr>
                    <w:t>m</w:t>
                  </w:r>
                  <w:r>
                    <w:rPr>
                      <w:color w:val="auto"/>
                      <w:sz w:val="21"/>
                      <w:szCs w:val="21"/>
                      <w:vertAlign w:val="superscript"/>
                    </w:rPr>
                    <w:t>2</w:t>
                  </w:r>
                  <w:r>
                    <w:rPr>
                      <w:rFonts w:hint="eastAsia"/>
                      <w:color w:val="auto"/>
                      <w:sz w:val="21"/>
                      <w:szCs w:val="21"/>
                    </w:rPr>
                    <w:t>，</w:t>
                  </w:r>
                  <w:r>
                    <w:rPr>
                      <w:rFonts w:hint="eastAsia" w:ascii="Times New Roman" w:hAnsi="Times New Roman" w:eastAsia="宋体" w:cs="Times New Roman"/>
                      <w:b w:val="0"/>
                      <w:bCs/>
                      <w:color w:val="auto"/>
                      <w:sz w:val="21"/>
                      <w:szCs w:val="21"/>
                      <w:lang w:val="en-US" w:eastAsia="zh-CN"/>
                    </w:rPr>
                    <w:t>用于储存椰壳</w:t>
                  </w:r>
                  <w:r>
                    <w:rPr>
                      <w:rFonts w:hint="eastAsia" w:cs="Times New Roman"/>
                      <w:b w:val="0"/>
                      <w:bCs/>
                      <w:color w:val="auto"/>
                      <w:sz w:val="21"/>
                      <w:szCs w:val="21"/>
                      <w:lang w:val="en-US" w:eastAsia="zh-CN"/>
                    </w:rPr>
                    <w:t>多孔</w:t>
                  </w:r>
                  <w:r>
                    <w:rPr>
                      <w:rFonts w:hint="eastAsia" w:ascii="Times New Roman" w:hAnsi="Times New Roman" w:eastAsia="宋体" w:cs="Times New Roman"/>
                      <w:b w:val="0"/>
                      <w:bCs/>
                      <w:color w:val="auto"/>
                      <w:sz w:val="21"/>
                      <w:szCs w:val="21"/>
                      <w:lang w:val="en-US" w:eastAsia="zh-CN"/>
                    </w:rPr>
                    <w:t>炭。</w:t>
                  </w:r>
                </w:p>
              </w:tc>
              <w:tc>
                <w:tcPr>
                  <w:tcW w:w="379" w:type="pct"/>
                  <w:vAlign w:val="center"/>
                </w:tcPr>
                <w:p w14:paraId="4C73FCF7">
                  <w:pPr>
                    <w:keepNext w:val="0"/>
                    <w:keepLines w:val="0"/>
                    <w:pageBreakBefore w:val="0"/>
                    <w:widowControl/>
                    <w:kinsoku/>
                    <w:wordWrap/>
                    <w:overflowPunct/>
                    <w:topLinePunct w:val="0"/>
                    <w:autoSpaceDE/>
                    <w:autoSpaceDN/>
                    <w:bidi w:val="0"/>
                    <w:spacing w:line="240" w:lineRule="auto"/>
                    <w:jc w:val="center"/>
                    <w:textAlignment w:val="auto"/>
                    <w:rPr>
                      <w:b w:val="0"/>
                      <w:bCs/>
                      <w:color w:val="000000"/>
                      <w:sz w:val="21"/>
                      <w:szCs w:val="21"/>
                    </w:rPr>
                  </w:pPr>
                  <w:r>
                    <w:rPr>
                      <w:rFonts w:hint="eastAsia"/>
                      <w:b w:val="0"/>
                      <w:bCs/>
                      <w:color w:val="000000"/>
                      <w:sz w:val="21"/>
                      <w:szCs w:val="21"/>
                      <w:lang w:eastAsia="zh-CN"/>
                    </w:rPr>
                    <w:t>新建</w:t>
                  </w:r>
                </w:p>
              </w:tc>
            </w:tr>
            <w:tr w14:paraId="1AE5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9" w:type="pct"/>
                  <w:vMerge w:val="continue"/>
                  <w:vAlign w:val="center"/>
                </w:tcPr>
                <w:p w14:paraId="45CC4C6E">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p>
              </w:tc>
              <w:tc>
                <w:tcPr>
                  <w:tcW w:w="606" w:type="pct"/>
                  <w:vAlign w:val="center"/>
                </w:tcPr>
                <w:p w14:paraId="64C90EC0">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成品区</w:t>
                  </w:r>
                </w:p>
              </w:tc>
              <w:tc>
                <w:tcPr>
                  <w:tcW w:w="3655" w:type="pct"/>
                  <w:gridSpan w:val="4"/>
                  <w:vAlign w:val="center"/>
                </w:tcPr>
                <w:p w14:paraId="06C6B95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rFonts w:hint="eastAsia" w:cs="Times New Roman"/>
                      <w:b w:val="0"/>
                      <w:bCs/>
                      <w:color w:val="auto"/>
                      <w:sz w:val="21"/>
                      <w:szCs w:val="21"/>
                      <w:lang w:val="en-US" w:eastAsia="zh-CN"/>
                    </w:rPr>
                    <w:t>1#车间</w:t>
                  </w:r>
                  <w:r>
                    <w:rPr>
                      <w:rFonts w:hint="eastAsia" w:ascii="Times New Roman" w:hAnsi="Times New Roman" w:eastAsia="宋体" w:cs="Times New Roman"/>
                      <w:b w:val="0"/>
                      <w:bCs/>
                      <w:color w:val="auto"/>
                      <w:sz w:val="21"/>
                      <w:szCs w:val="21"/>
                      <w:lang w:eastAsia="zh-CN"/>
                    </w:rPr>
                    <w:t>南侧</w:t>
                  </w:r>
                  <w:r>
                    <w:rPr>
                      <w:rFonts w:hint="eastAsia"/>
                      <w:b w:val="0"/>
                      <w:bCs/>
                      <w:color w:val="auto"/>
                      <w:sz w:val="21"/>
                      <w:szCs w:val="21"/>
                      <w:lang w:eastAsia="zh-CN"/>
                    </w:rPr>
                    <w:t>建筑面积</w:t>
                  </w:r>
                  <w:r>
                    <w:rPr>
                      <w:rFonts w:hint="eastAsia"/>
                      <w:b w:val="0"/>
                      <w:bCs/>
                      <w:color w:val="auto"/>
                      <w:sz w:val="21"/>
                      <w:szCs w:val="21"/>
                      <w:lang w:val="en-US" w:eastAsia="zh-CN"/>
                    </w:rPr>
                    <w:t>1250</w:t>
                  </w:r>
                  <w:r>
                    <w:rPr>
                      <w:color w:val="auto"/>
                      <w:sz w:val="21"/>
                      <w:szCs w:val="21"/>
                    </w:rPr>
                    <w:t>m</w:t>
                  </w:r>
                  <w:r>
                    <w:rPr>
                      <w:color w:val="auto"/>
                      <w:sz w:val="21"/>
                      <w:szCs w:val="21"/>
                      <w:vertAlign w:val="superscript"/>
                    </w:rPr>
                    <w:t>2</w:t>
                  </w:r>
                  <w:r>
                    <w:rPr>
                      <w:rFonts w:hint="eastAsia"/>
                      <w:color w:val="auto"/>
                      <w:sz w:val="21"/>
                      <w:szCs w:val="21"/>
                    </w:rPr>
                    <w:t>，</w:t>
                  </w:r>
                  <w:r>
                    <w:rPr>
                      <w:rFonts w:hint="eastAsia" w:cs="Times New Roman"/>
                      <w:b w:val="0"/>
                      <w:bCs/>
                      <w:color w:val="auto"/>
                      <w:sz w:val="21"/>
                      <w:szCs w:val="21"/>
                      <w:lang w:val="en-US" w:eastAsia="zh-CN"/>
                    </w:rPr>
                    <w:t>2#车间</w:t>
                  </w:r>
                  <w:r>
                    <w:rPr>
                      <w:rFonts w:hint="eastAsia" w:ascii="Times New Roman" w:hAnsi="Times New Roman" w:eastAsia="宋体" w:cs="Times New Roman"/>
                      <w:b w:val="0"/>
                      <w:bCs/>
                      <w:color w:val="auto"/>
                      <w:sz w:val="21"/>
                      <w:szCs w:val="21"/>
                      <w:lang w:eastAsia="zh-CN"/>
                    </w:rPr>
                    <w:t>南侧</w:t>
                  </w:r>
                  <w:r>
                    <w:rPr>
                      <w:rFonts w:hint="eastAsia"/>
                      <w:b w:val="0"/>
                      <w:bCs/>
                      <w:color w:val="auto"/>
                      <w:sz w:val="21"/>
                      <w:szCs w:val="21"/>
                      <w:lang w:eastAsia="zh-CN"/>
                    </w:rPr>
                    <w:t>建筑面积</w:t>
                  </w:r>
                  <w:r>
                    <w:rPr>
                      <w:rFonts w:hint="eastAsia"/>
                      <w:b w:val="0"/>
                      <w:bCs/>
                      <w:color w:val="auto"/>
                      <w:sz w:val="21"/>
                      <w:szCs w:val="21"/>
                      <w:lang w:val="en-US" w:eastAsia="zh-CN"/>
                    </w:rPr>
                    <w:t>400</w:t>
                  </w:r>
                  <w:r>
                    <w:rPr>
                      <w:color w:val="auto"/>
                      <w:sz w:val="21"/>
                      <w:szCs w:val="21"/>
                    </w:rPr>
                    <w:t>m</w:t>
                  </w:r>
                  <w:r>
                    <w:rPr>
                      <w:color w:val="auto"/>
                      <w:sz w:val="21"/>
                      <w:szCs w:val="21"/>
                      <w:vertAlign w:val="superscript"/>
                    </w:rPr>
                    <w:t>2</w:t>
                  </w:r>
                  <w:r>
                    <w:rPr>
                      <w:rFonts w:hint="eastAsia" w:ascii="Times New Roman" w:hAnsi="Times New Roman" w:eastAsia="宋体" w:cs="Times New Roman"/>
                      <w:b w:val="0"/>
                      <w:bCs/>
                      <w:color w:val="auto"/>
                      <w:sz w:val="21"/>
                      <w:szCs w:val="21"/>
                      <w:lang w:val="en-US" w:eastAsia="zh-CN"/>
                    </w:rPr>
                    <w:t>，用于储存超级多孔碳成品。</w:t>
                  </w:r>
                </w:p>
              </w:tc>
              <w:tc>
                <w:tcPr>
                  <w:tcW w:w="379" w:type="pct"/>
                  <w:shd w:val="clear" w:color="auto" w:fill="auto"/>
                  <w:vAlign w:val="center"/>
                </w:tcPr>
                <w:p w14:paraId="0674C45A">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b w:val="0"/>
                      <w:bCs/>
                      <w:color w:val="000000"/>
                      <w:sz w:val="21"/>
                      <w:szCs w:val="21"/>
                      <w:lang w:eastAsia="zh-CN"/>
                    </w:rPr>
                    <w:t>新建</w:t>
                  </w:r>
                </w:p>
              </w:tc>
            </w:tr>
            <w:tr w14:paraId="5172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9" w:type="pct"/>
                  <w:vMerge w:val="continue"/>
                  <w:vAlign w:val="center"/>
                </w:tcPr>
                <w:p w14:paraId="5F207BEC">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p>
              </w:tc>
              <w:tc>
                <w:tcPr>
                  <w:tcW w:w="606" w:type="pct"/>
                  <w:vAlign w:val="center"/>
                </w:tcPr>
                <w:p w14:paraId="4569C5ED">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盐酸仓库</w:t>
                  </w:r>
                </w:p>
              </w:tc>
              <w:tc>
                <w:tcPr>
                  <w:tcW w:w="3655" w:type="pct"/>
                  <w:gridSpan w:val="4"/>
                  <w:vAlign w:val="center"/>
                </w:tcPr>
                <w:p w14:paraId="2A1AE7F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val="en-US" w:eastAsia="zh-CN"/>
                    </w:rPr>
                    <w:t>1#车间</w:t>
                  </w:r>
                  <w:r>
                    <w:rPr>
                      <w:rFonts w:hint="eastAsia"/>
                      <w:b w:val="0"/>
                      <w:bCs/>
                      <w:color w:val="auto"/>
                      <w:sz w:val="21"/>
                      <w:szCs w:val="21"/>
                      <w:lang w:eastAsia="zh-CN"/>
                    </w:rPr>
                    <w:t>建筑面积</w:t>
                  </w:r>
                  <w:r>
                    <w:rPr>
                      <w:rFonts w:hint="eastAsia"/>
                      <w:b w:val="0"/>
                      <w:bCs/>
                      <w:color w:val="auto"/>
                      <w:sz w:val="21"/>
                      <w:szCs w:val="21"/>
                      <w:lang w:val="en-US" w:eastAsia="zh-CN"/>
                    </w:rPr>
                    <w:t>50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8</w:t>
                  </w:r>
                  <w:r>
                    <w:rPr>
                      <w:rFonts w:hint="eastAsia"/>
                      <w:color w:val="auto"/>
                      <w:sz w:val="21"/>
                      <w:szCs w:val="21"/>
                      <w:lang w:eastAsia="zh-CN"/>
                    </w:rPr>
                    <w:t>个</w:t>
                  </w:r>
                  <w:r>
                    <w:rPr>
                      <w:rFonts w:hint="eastAsia"/>
                      <w:b w:val="0"/>
                      <w:bCs/>
                      <w:color w:val="auto"/>
                      <w:sz w:val="21"/>
                      <w:szCs w:val="21"/>
                      <w:lang w:eastAsia="zh-CN"/>
                    </w:rPr>
                    <w:t>储罐，单个储罐容积</w:t>
                  </w: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w:t>
                  </w:r>
                </w:p>
                <w:p w14:paraId="418F4A13">
                  <w:pPr>
                    <w:keepNext w:val="0"/>
                    <w:keepLines w:val="0"/>
                    <w:pageBreakBefore w:val="0"/>
                    <w:widowControl/>
                    <w:kinsoku/>
                    <w:wordWrap/>
                    <w:overflowPunct/>
                    <w:topLinePunct w:val="0"/>
                    <w:autoSpaceDE/>
                    <w:autoSpaceDN/>
                    <w:bidi w:val="0"/>
                    <w:spacing w:line="240" w:lineRule="auto"/>
                    <w:jc w:val="center"/>
                    <w:textAlignment w:val="auto"/>
                    <w:rPr>
                      <w:rFonts w:hint="default"/>
                      <w:b w:val="0"/>
                      <w:bCs/>
                      <w:color w:val="auto"/>
                      <w:sz w:val="21"/>
                      <w:szCs w:val="21"/>
                      <w:vertAlign w:val="baseline"/>
                      <w:lang w:val="en-US" w:eastAsia="zh-CN"/>
                    </w:rPr>
                  </w:pPr>
                  <w:r>
                    <w:rPr>
                      <w:rFonts w:hint="eastAsia"/>
                      <w:b w:val="0"/>
                      <w:bCs/>
                      <w:color w:val="auto"/>
                      <w:sz w:val="21"/>
                      <w:szCs w:val="21"/>
                      <w:lang w:val="en-US" w:eastAsia="zh-CN"/>
                    </w:rPr>
                    <w:t>2#车间</w:t>
                  </w:r>
                  <w:r>
                    <w:rPr>
                      <w:rFonts w:hint="eastAsia"/>
                      <w:b w:val="0"/>
                      <w:bCs/>
                      <w:color w:val="auto"/>
                      <w:sz w:val="21"/>
                      <w:szCs w:val="21"/>
                      <w:lang w:eastAsia="zh-CN"/>
                    </w:rPr>
                    <w:t>建筑面积</w:t>
                  </w:r>
                  <w:r>
                    <w:rPr>
                      <w:rFonts w:hint="eastAsia"/>
                      <w:b w:val="0"/>
                      <w:bCs/>
                      <w:color w:val="auto"/>
                      <w:sz w:val="21"/>
                      <w:szCs w:val="21"/>
                      <w:lang w:val="en-US" w:eastAsia="zh-CN"/>
                    </w:rPr>
                    <w:t>12</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2</w:t>
                  </w:r>
                  <w:r>
                    <w:rPr>
                      <w:rFonts w:hint="eastAsia"/>
                      <w:color w:val="auto"/>
                      <w:sz w:val="21"/>
                      <w:szCs w:val="21"/>
                      <w:lang w:eastAsia="zh-CN"/>
                    </w:rPr>
                    <w:t>个</w:t>
                  </w:r>
                  <w:r>
                    <w:rPr>
                      <w:rFonts w:hint="eastAsia"/>
                      <w:b w:val="0"/>
                      <w:bCs/>
                      <w:color w:val="auto"/>
                      <w:sz w:val="21"/>
                      <w:szCs w:val="21"/>
                      <w:lang w:eastAsia="zh-CN"/>
                    </w:rPr>
                    <w:t>储罐，单个储罐容积</w:t>
                  </w: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cs="Times New Roman"/>
                      <w:color w:val="auto"/>
                      <w:spacing w:val="2"/>
                      <w:sz w:val="21"/>
                      <w:szCs w:val="21"/>
                      <w:vertAlign w:val="baseline"/>
                      <w:lang w:val="en-US" w:eastAsia="zh-CN"/>
                    </w:rPr>
                    <w:t>。</w:t>
                  </w:r>
                </w:p>
              </w:tc>
              <w:tc>
                <w:tcPr>
                  <w:tcW w:w="379" w:type="pct"/>
                  <w:vAlign w:val="center"/>
                </w:tcPr>
                <w:p w14:paraId="7142A982">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lang w:eastAsia="zh-CN"/>
                    </w:rPr>
                  </w:pPr>
                  <w:r>
                    <w:rPr>
                      <w:rFonts w:hint="eastAsia"/>
                      <w:b w:val="0"/>
                      <w:bCs/>
                      <w:color w:val="000000"/>
                      <w:sz w:val="21"/>
                      <w:szCs w:val="21"/>
                      <w:lang w:eastAsia="zh-CN"/>
                    </w:rPr>
                    <w:t>新建</w:t>
                  </w:r>
                </w:p>
              </w:tc>
            </w:tr>
            <w:tr w14:paraId="35F6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9" w:type="pct"/>
                  <w:vMerge w:val="continue"/>
                  <w:vAlign w:val="center"/>
                </w:tcPr>
                <w:p w14:paraId="0668C017">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p>
              </w:tc>
              <w:tc>
                <w:tcPr>
                  <w:tcW w:w="606" w:type="pct"/>
                  <w:vAlign w:val="center"/>
                </w:tcPr>
                <w:p w14:paraId="4C83FB9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液碱仓库</w:t>
                  </w:r>
                </w:p>
              </w:tc>
              <w:tc>
                <w:tcPr>
                  <w:tcW w:w="3655" w:type="pct"/>
                  <w:gridSpan w:val="4"/>
                  <w:vAlign w:val="center"/>
                </w:tcPr>
                <w:p w14:paraId="10F8B2BD">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val="en-US" w:eastAsia="zh-CN"/>
                    </w:rPr>
                    <w:t>1#车间</w:t>
                  </w:r>
                  <w:r>
                    <w:rPr>
                      <w:rFonts w:hint="eastAsia"/>
                      <w:b w:val="0"/>
                      <w:bCs/>
                      <w:color w:val="auto"/>
                      <w:sz w:val="21"/>
                      <w:szCs w:val="21"/>
                      <w:lang w:eastAsia="zh-CN"/>
                    </w:rPr>
                    <w:t>建筑面积</w:t>
                  </w:r>
                  <w:r>
                    <w:rPr>
                      <w:rFonts w:hint="eastAsia"/>
                      <w:b w:val="0"/>
                      <w:bCs/>
                      <w:color w:val="auto"/>
                      <w:sz w:val="21"/>
                      <w:szCs w:val="21"/>
                      <w:lang w:val="en-US" w:eastAsia="zh-CN"/>
                    </w:rPr>
                    <w:t>80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4</w:t>
                  </w:r>
                  <w:r>
                    <w:rPr>
                      <w:rFonts w:hint="eastAsia"/>
                      <w:color w:val="auto"/>
                      <w:sz w:val="21"/>
                      <w:szCs w:val="21"/>
                      <w:lang w:eastAsia="zh-CN"/>
                    </w:rPr>
                    <w:t>个</w:t>
                  </w:r>
                  <w:r>
                    <w:rPr>
                      <w:rFonts w:hint="eastAsia"/>
                      <w:b w:val="0"/>
                      <w:bCs/>
                      <w:color w:val="auto"/>
                      <w:sz w:val="21"/>
                      <w:szCs w:val="21"/>
                      <w:lang w:eastAsia="zh-CN"/>
                    </w:rPr>
                    <w:t>储罐，单个储罐容积</w:t>
                  </w: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w:t>
                  </w:r>
                </w:p>
                <w:p w14:paraId="160E3D9F">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val="en-US" w:eastAsia="zh-CN"/>
                    </w:rPr>
                    <w:t>2#车间</w:t>
                  </w:r>
                  <w:r>
                    <w:rPr>
                      <w:rFonts w:hint="eastAsia"/>
                      <w:b w:val="0"/>
                      <w:bCs/>
                      <w:color w:val="auto"/>
                      <w:sz w:val="21"/>
                      <w:szCs w:val="21"/>
                      <w:lang w:eastAsia="zh-CN"/>
                    </w:rPr>
                    <w:t>建筑面积</w:t>
                  </w:r>
                  <w:r>
                    <w:rPr>
                      <w:rFonts w:hint="eastAsia"/>
                      <w:b w:val="0"/>
                      <w:bCs/>
                      <w:color w:val="auto"/>
                      <w:sz w:val="21"/>
                      <w:szCs w:val="21"/>
                      <w:lang w:val="en-US" w:eastAsia="zh-CN"/>
                    </w:rPr>
                    <w:t>20</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2</w:t>
                  </w:r>
                  <w:r>
                    <w:rPr>
                      <w:rFonts w:hint="eastAsia"/>
                      <w:color w:val="auto"/>
                      <w:sz w:val="21"/>
                      <w:szCs w:val="21"/>
                      <w:lang w:eastAsia="zh-CN"/>
                    </w:rPr>
                    <w:t>个</w:t>
                  </w:r>
                  <w:r>
                    <w:rPr>
                      <w:rFonts w:hint="eastAsia"/>
                      <w:b w:val="0"/>
                      <w:bCs/>
                      <w:color w:val="auto"/>
                      <w:sz w:val="21"/>
                      <w:szCs w:val="21"/>
                      <w:lang w:eastAsia="zh-CN"/>
                    </w:rPr>
                    <w:t>储罐，单个储罐容积</w:t>
                  </w: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cs="Times New Roman"/>
                      <w:color w:val="auto"/>
                      <w:spacing w:val="2"/>
                      <w:sz w:val="21"/>
                      <w:szCs w:val="21"/>
                      <w:vertAlign w:val="baseline"/>
                      <w:lang w:val="en-US" w:eastAsia="zh-CN"/>
                    </w:rPr>
                    <w:t>。</w:t>
                  </w:r>
                </w:p>
              </w:tc>
              <w:tc>
                <w:tcPr>
                  <w:tcW w:w="379" w:type="pct"/>
                  <w:vAlign w:val="center"/>
                </w:tcPr>
                <w:p w14:paraId="075DCAFF">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lang w:eastAsia="zh-CN"/>
                    </w:rPr>
                  </w:pPr>
                  <w:r>
                    <w:rPr>
                      <w:rFonts w:hint="eastAsia"/>
                      <w:b w:val="0"/>
                      <w:bCs/>
                      <w:color w:val="000000"/>
                      <w:sz w:val="21"/>
                      <w:szCs w:val="21"/>
                      <w:lang w:eastAsia="zh-CN"/>
                    </w:rPr>
                    <w:t>新建</w:t>
                  </w:r>
                </w:p>
              </w:tc>
            </w:tr>
            <w:tr w14:paraId="08D7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restart"/>
                  <w:vAlign w:val="center"/>
                </w:tcPr>
                <w:p w14:paraId="245AA49B">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lang w:eastAsia="zh-CN"/>
                    </w:rPr>
                    <w:t>辅助工程</w:t>
                  </w:r>
                </w:p>
              </w:tc>
              <w:tc>
                <w:tcPr>
                  <w:tcW w:w="606" w:type="pct"/>
                  <w:vAlign w:val="center"/>
                </w:tcPr>
                <w:p w14:paraId="3C2436AC">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办公区</w:t>
                  </w:r>
                </w:p>
              </w:tc>
              <w:tc>
                <w:tcPr>
                  <w:tcW w:w="3655" w:type="pct"/>
                  <w:gridSpan w:val="4"/>
                  <w:vAlign w:val="center"/>
                </w:tcPr>
                <w:p w14:paraId="250A339C">
                  <w:pPr>
                    <w:keepNext w:val="0"/>
                    <w:keepLines w:val="0"/>
                    <w:pageBreakBefore w:val="0"/>
                    <w:widowControl/>
                    <w:kinsoku/>
                    <w:wordWrap/>
                    <w:overflowPunct/>
                    <w:topLinePunct w:val="0"/>
                    <w:autoSpaceDE/>
                    <w:autoSpaceDN/>
                    <w:bidi w:val="0"/>
                    <w:spacing w:line="240" w:lineRule="auto"/>
                    <w:jc w:val="center"/>
                    <w:textAlignment w:val="auto"/>
                    <w:rPr>
                      <w:rFonts w:hint="default" w:eastAsia="宋体"/>
                      <w:b w:val="0"/>
                      <w:bCs/>
                      <w:color w:val="auto"/>
                      <w:sz w:val="21"/>
                      <w:szCs w:val="21"/>
                      <w:lang w:val="en-US" w:eastAsia="zh-CN"/>
                    </w:rPr>
                  </w:pPr>
                  <w:r>
                    <w:rPr>
                      <w:rFonts w:hint="eastAsia"/>
                      <w:b w:val="0"/>
                      <w:bCs/>
                      <w:color w:val="auto"/>
                      <w:sz w:val="21"/>
                      <w:szCs w:val="21"/>
                      <w:lang w:eastAsia="zh-CN"/>
                    </w:rPr>
                    <w:t>位于综合车间一，建筑面积</w:t>
                  </w:r>
                  <w:r>
                    <w:rPr>
                      <w:rFonts w:hint="eastAsia"/>
                      <w:b w:val="0"/>
                      <w:bCs/>
                      <w:color w:val="auto"/>
                      <w:sz w:val="21"/>
                      <w:szCs w:val="21"/>
                      <w:lang w:val="en-US" w:eastAsia="zh-CN"/>
                    </w:rPr>
                    <w:t>2682.5</w:t>
                  </w:r>
                  <w:r>
                    <w:rPr>
                      <w:color w:val="auto"/>
                      <w:sz w:val="21"/>
                      <w:szCs w:val="21"/>
                    </w:rPr>
                    <w:t>m</w:t>
                  </w:r>
                  <w:r>
                    <w:rPr>
                      <w:color w:val="auto"/>
                      <w:sz w:val="21"/>
                      <w:szCs w:val="21"/>
                      <w:vertAlign w:val="superscript"/>
                    </w:rPr>
                    <w:t>2</w:t>
                  </w:r>
                  <w:r>
                    <w:rPr>
                      <w:rFonts w:hint="eastAsia"/>
                      <w:color w:val="auto"/>
                      <w:sz w:val="21"/>
                      <w:szCs w:val="21"/>
                    </w:rPr>
                    <w:t>，</w:t>
                  </w:r>
                  <w:r>
                    <w:rPr>
                      <w:rFonts w:hint="eastAsia"/>
                      <w:color w:val="auto"/>
                      <w:sz w:val="21"/>
                      <w:szCs w:val="21"/>
                      <w:lang w:val="en-US" w:eastAsia="zh-CN"/>
                    </w:rPr>
                    <w:t>5F，高度14.5m。</w:t>
                  </w:r>
                </w:p>
              </w:tc>
              <w:tc>
                <w:tcPr>
                  <w:tcW w:w="379" w:type="pct"/>
                  <w:vAlign w:val="center"/>
                </w:tcPr>
                <w:p w14:paraId="0D883027">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000000"/>
                      <w:sz w:val="21"/>
                      <w:szCs w:val="21"/>
                      <w:lang w:eastAsia="zh-CN"/>
                    </w:rPr>
                  </w:pPr>
                  <w:r>
                    <w:rPr>
                      <w:rFonts w:hint="eastAsia"/>
                      <w:b w:val="0"/>
                      <w:bCs/>
                      <w:color w:val="000000"/>
                      <w:sz w:val="21"/>
                      <w:szCs w:val="21"/>
                      <w:lang w:eastAsia="zh-CN"/>
                    </w:rPr>
                    <w:t>新建</w:t>
                  </w:r>
                </w:p>
              </w:tc>
            </w:tr>
            <w:tr w14:paraId="240C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704A862D">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p>
              </w:tc>
              <w:tc>
                <w:tcPr>
                  <w:tcW w:w="606" w:type="pct"/>
                  <w:vAlign w:val="center"/>
                </w:tcPr>
                <w:p w14:paraId="003D4F9B">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食堂</w:t>
                  </w:r>
                </w:p>
              </w:tc>
              <w:tc>
                <w:tcPr>
                  <w:tcW w:w="3655" w:type="pct"/>
                  <w:gridSpan w:val="4"/>
                  <w:vAlign w:val="center"/>
                </w:tcPr>
                <w:p w14:paraId="54037385">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ascii="Times New Roman" w:hAnsi="Times New Roman" w:eastAsia="宋体" w:cs="Times New Roman"/>
                      <w:b w:val="0"/>
                      <w:bCs/>
                      <w:color w:val="auto"/>
                      <w:sz w:val="21"/>
                      <w:szCs w:val="21"/>
                      <w:lang w:eastAsia="zh-CN"/>
                    </w:rPr>
                    <w:t>综合车间二第一层，用于员工用餐。</w:t>
                  </w:r>
                </w:p>
              </w:tc>
              <w:tc>
                <w:tcPr>
                  <w:tcW w:w="379" w:type="pct"/>
                  <w:vAlign w:val="center"/>
                </w:tcPr>
                <w:p w14:paraId="7DE6A32F">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lang w:eastAsia="zh-CN"/>
                    </w:rPr>
                  </w:pPr>
                  <w:r>
                    <w:rPr>
                      <w:rFonts w:hint="eastAsia"/>
                      <w:b w:val="0"/>
                      <w:bCs/>
                      <w:color w:val="000000"/>
                      <w:sz w:val="21"/>
                      <w:szCs w:val="21"/>
                      <w:lang w:eastAsia="zh-CN"/>
                    </w:rPr>
                    <w:t>新建</w:t>
                  </w:r>
                </w:p>
              </w:tc>
            </w:tr>
            <w:tr w14:paraId="30AB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06BB49EB">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p>
              </w:tc>
              <w:tc>
                <w:tcPr>
                  <w:tcW w:w="606" w:type="pct"/>
                  <w:vAlign w:val="center"/>
                </w:tcPr>
                <w:p w14:paraId="785FF47E">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b w:val="0"/>
                      <w:bCs/>
                      <w:color w:val="auto"/>
                      <w:sz w:val="21"/>
                      <w:szCs w:val="21"/>
                      <w:lang w:eastAsia="zh-CN"/>
                    </w:rPr>
                    <w:t>宿舍</w:t>
                  </w:r>
                </w:p>
              </w:tc>
              <w:tc>
                <w:tcPr>
                  <w:tcW w:w="3655" w:type="pct"/>
                  <w:gridSpan w:val="4"/>
                  <w:vAlign w:val="center"/>
                </w:tcPr>
                <w:p w14:paraId="7D2FABF8">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auto"/>
                      <w:sz w:val="21"/>
                      <w:szCs w:val="21"/>
                      <w:lang w:eastAsia="zh-CN"/>
                    </w:rPr>
                  </w:pPr>
                  <w:r>
                    <w:rPr>
                      <w:rFonts w:hint="eastAsia" w:ascii="Times New Roman" w:hAnsi="Times New Roman" w:eastAsia="宋体" w:cs="Times New Roman"/>
                      <w:b w:val="0"/>
                      <w:bCs/>
                      <w:color w:val="auto"/>
                      <w:sz w:val="21"/>
                      <w:szCs w:val="21"/>
                      <w:lang w:eastAsia="zh-CN"/>
                    </w:rPr>
                    <w:t>综合车间二第二、三层，用于员工住宿。</w:t>
                  </w:r>
                </w:p>
              </w:tc>
              <w:tc>
                <w:tcPr>
                  <w:tcW w:w="379" w:type="pct"/>
                  <w:vAlign w:val="center"/>
                </w:tcPr>
                <w:p w14:paraId="691E06A3">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lang w:eastAsia="zh-CN"/>
                    </w:rPr>
                  </w:pPr>
                  <w:r>
                    <w:rPr>
                      <w:rFonts w:hint="eastAsia"/>
                      <w:b w:val="0"/>
                      <w:bCs/>
                      <w:color w:val="000000"/>
                      <w:sz w:val="21"/>
                      <w:szCs w:val="21"/>
                      <w:lang w:eastAsia="zh-CN"/>
                    </w:rPr>
                    <w:t>新建</w:t>
                  </w:r>
                </w:p>
              </w:tc>
            </w:tr>
            <w:tr w14:paraId="0228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restart"/>
                  <w:vAlign w:val="center"/>
                </w:tcPr>
                <w:p w14:paraId="6F74372D">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r>
                    <w:rPr>
                      <w:b w:val="0"/>
                      <w:bCs/>
                      <w:sz w:val="21"/>
                      <w:szCs w:val="21"/>
                    </w:rPr>
                    <w:t>公用工程</w:t>
                  </w:r>
                </w:p>
              </w:tc>
              <w:tc>
                <w:tcPr>
                  <w:tcW w:w="606" w:type="pct"/>
                  <w:vAlign w:val="center"/>
                </w:tcPr>
                <w:p w14:paraId="582EA684">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r>
                    <w:rPr>
                      <w:b w:val="0"/>
                      <w:bCs/>
                      <w:sz w:val="21"/>
                      <w:szCs w:val="21"/>
                    </w:rPr>
                    <w:t>供水</w:t>
                  </w:r>
                </w:p>
              </w:tc>
              <w:tc>
                <w:tcPr>
                  <w:tcW w:w="3655" w:type="pct"/>
                  <w:gridSpan w:val="4"/>
                  <w:vAlign w:val="center"/>
                </w:tcPr>
                <w:p w14:paraId="54BD1D31">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color w:val="000000"/>
                      <w:sz w:val="21"/>
                      <w:szCs w:val="21"/>
                    </w:rPr>
                    <w:t>项目用水取自市政供水管网</w:t>
                  </w:r>
                  <w:r>
                    <w:rPr>
                      <w:rFonts w:hint="eastAsia"/>
                      <w:color w:val="000000"/>
                      <w:sz w:val="21"/>
                      <w:szCs w:val="21"/>
                      <w:lang w:eastAsia="zh-CN"/>
                    </w:rPr>
                    <w:t>。</w:t>
                  </w:r>
                </w:p>
              </w:tc>
              <w:tc>
                <w:tcPr>
                  <w:tcW w:w="379" w:type="pct"/>
                  <w:vAlign w:val="center"/>
                </w:tcPr>
                <w:p w14:paraId="7D9DD8E8">
                  <w:pPr>
                    <w:snapToGrid w:val="0"/>
                    <w:jc w:val="center"/>
                    <w:rPr>
                      <w:b w:val="0"/>
                      <w:bCs/>
                      <w:color w:val="000000"/>
                      <w:sz w:val="21"/>
                      <w:szCs w:val="21"/>
                    </w:rPr>
                  </w:pPr>
                  <w:r>
                    <w:rPr>
                      <w:color w:val="000000"/>
                      <w:sz w:val="21"/>
                      <w:szCs w:val="21"/>
                    </w:rPr>
                    <w:t>依托</w:t>
                  </w:r>
                </w:p>
              </w:tc>
            </w:tr>
            <w:tr w14:paraId="0B6B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1F9B3750">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Align w:val="center"/>
                </w:tcPr>
                <w:p w14:paraId="6BF689AE">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排水</w:t>
                  </w:r>
                </w:p>
              </w:tc>
              <w:tc>
                <w:tcPr>
                  <w:tcW w:w="3655" w:type="pct"/>
                  <w:gridSpan w:val="4"/>
                  <w:vAlign w:val="center"/>
                </w:tcPr>
                <w:p w14:paraId="66B9CCAA">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rPr>
                    <w:t>雨污分流，雨水排入市政雨水管网；项目生活污水经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一同排入园区污水管网，进入固镇经济开发区污水处理厂处理达标后</w:t>
                  </w:r>
                  <w:r>
                    <w:rPr>
                      <w:rFonts w:hint="eastAsia"/>
                      <w:sz w:val="21"/>
                      <w:szCs w:val="21"/>
                      <w:lang w:eastAsia="zh-CN"/>
                    </w:rPr>
                    <w:t>排入北淝河下段</w:t>
                  </w:r>
                  <w:r>
                    <w:rPr>
                      <w:rFonts w:hint="eastAsia"/>
                      <w:color w:val="auto"/>
                      <w:sz w:val="21"/>
                      <w:szCs w:val="21"/>
                      <w:lang w:eastAsia="zh-CN"/>
                    </w:rPr>
                    <w:t>。</w:t>
                  </w:r>
                </w:p>
              </w:tc>
              <w:tc>
                <w:tcPr>
                  <w:tcW w:w="379" w:type="pct"/>
                  <w:vAlign w:val="center"/>
                </w:tcPr>
                <w:p w14:paraId="1E41FA65">
                  <w:pPr>
                    <w:snapToGrid w:val="0"/>
                    <w:jc w:val="center"/>
                    <w:rPr>
                      <w:rFonts w:hint="eastAsia" w:eastAsia="宋体"/>
                      <w:b w:val="0"/>
                      <w:bCs/>
                      <w:color w:val="000000"/>
                      <w:sz w:val="21"/>
                      <w:szCs w:val="21"/>
                      <w:lang w:eastAsia="zh-CN"/>
                    </w:rPr>
                  </w:pPr>
                  <w:r>
                    <w:rPr>
                      <w:rFonts w:hint="eastAsia"/>
                      <w:color w:val="000000"/>
                      <w:sz w:val="21"/>
                      <w:szCs w:val="21"/>
                      <w:lang w:eastAsia="zh-CN"/>
                    </w:rPr>
                    <w:t>新建</w:t>
                  </w:r>
                </w:p>
              </w:tc>
            </w:tr>
            <w:tr w14:paraId="1EF6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55B3DACA">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Align w:val="center"/>
                </w:tcPr>
                <w:p w14:paraId="19655603">
                  <w:pPr>
                    <w:keepNext w:val="0"/>
                    <w:keepLines w:val="0"/>
                    <w:pageBreakBefore w:val="0"/>
                    <w:widowControl/>
                    <w:kinsoku/>
                    <w:wordWrap/>
                    <w:overflowPunct/>
                    <w:topLinePunct w:val="0"/>
                    <w:autoSpaceDE/>
                    <w:autoSpaceDN/>
                    <w:bidi w:val="0"/>
                    <w:spacing w:line="240" w:lineRule="auto"/>
                    <w:jc w:val="center"/>
                    <w:textAlignment w:val="auto"/>
                    <w:rPr>
                      <w:b w:val="0"/>
                      <w:bCs/>
                      <w:color w:val="000000"/>
                      <w:sz w:val="21"/>
                      <w:szCs w:val="21"/>
                    </w:rPr>
                  </w:pPr>
                  <w:r>
                    <w:rPr>
                      <w:b w:val="0"/>
                      <w:bCs/>
                      <w:color w:val="000000"/>
                      <w:sz w:val="21"/>
                      <w:szCs w:val="21"/>
                    </w:rPr>
                    <w:t>供电</w:t>
                  </w:r>
                </w:p>
              </w:tc>
              <w:tc>
                <w:tcPr>
                  <w:tcW w:w="3655" w:type="pct"/>
                  <w:gridSpan w:val="4"/>
                  <w:vAlign w:val="center"/>
                </w:tcPr>
                <w:p w14:paraId="46594211">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000000"/>
                      <w:sz w:val="21"/>
                      <w:szCs w:val="21"/>
                      <w:lang w:val="en-GB" w:eastAsia="zh-CN"/>
                    </w:rPr>
                  </w:pPr>
                  <w:r>
                    <w:rPr>
                      <w:color w:val="000000"/>
                      <w:sz w:val="21"/>
                      <w:szCs w:val="21"/>
                    </w:rPr>
                    <w:t>项目用电接自市政供电线路</w:t>
                  </w:r>
                  <w:r>
                    <w:rPr>
                      <w:rFonts w:hint="eastAsia"/>
                      <w:b w:val="0"/>
                      <w:bCs/>
                      <w:iCs/>
                      <w:color w:val="auto"/>
                      <w:sz w:val="21"/>
                      <w:szCs w:val="21"/>
                      <w:lang w:eastAsia="zh-CN"/>
                    </w:rPr>
                    <w:t>。</w:t>
                  </w:r>
                </w:p>
              </w:tc>
              <w:tc>
                <w:tcPr>
                  <w:tcW w:w="379" w:type="pct"/>
                  <w:vAlign w:val="center"/>
                </w:tcPr>
                <w:p w14:paraId="54EE24CD">
                  <w:pPr>
                    <w:snapToGrid w:val="0"/>
                    <w:jc w:val="center"/>
                    <w:rPr>
                      <w:rFonts w:ascii="Times New Roman" w:hAnsi="Times New Roman" w:eastAsia="宋体" w:cs="Times New Roman"/>
                      <w:b w:val="0"/>
                      <w:bCs/>
                      <w:color w:val="000000"/>
                      <w:kern w:val="2"/>
                      <w:sz w:val="21"/>
                      <w:szCs w:val="21"/>
                      <w:lang w:val="en-GB" w:eastAsia="zh-CN" w:bidi="ar-SA"/>
                    </w:rPr>
                  </w:pPr>
                  <w:r>
                    <w:rPr>
                      <w:color w:val="000000"/>
                      <w:sz w:val="21"/>
                      <w:szCs w:val="21"/>
                    </w:rPr>
                    <w:t>依托</w:t>
                  </w:r>
                </w:p>
              </w:tc>
            </w:tr>
            <w:tr w14:paraId="104D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restart"/>
                  <w:vAlign w:val="center"/>
                </w:tcPr>
                <w:p w14:paraId="0029011D">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r>
                    <w:rPr>
                      <w:b w:val="0"/>
                      <w:bCs/>
                      <w:sz w:val="21"/>
                      <w:szCs w:val="21"/>
                    </w:rPr>
                    <w:t>环保工程</w:t>
                  </w:r>
                </w:p>
              </w:tc>
              <w:tc>
                <w:tcPr>
                  <w:tcW w:w="606" w:type="pct"/>
                  <w:vMerge w:val="restart"/>
                  <w:vAlign w:val="center"/>
                </w:tcPr>
                <w:p w14:paraId="02B7F4AD">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r>
                    <w:rPr>
                      <w:b w:val="0"/>
                      <w:bCs/>
                      <w:color w:val="auto"/>
                      <w:sz w:val="21"/>
                      <w:szCs w:val="21"/>
                    </w:rPr>
                    <w:t>废气治理</w:t>
                  </w:r>
                </w:p>
              </w:tc>
              <w:tc>
                <w:tcPr>
                  <w:tcW w:w="508" w:type="pct"/>
                  <w:vMerge w:val="restart"/>
                  <w:vAlign w:val="center"/>
                </w:tcPr>
                <w:p w14:paraId="7829699D">
                  <w:pPr>
                    <w:adjustRightInd w:val="0"/>
                    <w:spacing w:line="240" w:lineRule="auto"/>
                    <w:jc w:val="center"/>
                    <w:rPr>
                      <w:rFonts w:hint="eastAsia"/>
                      <w:b w:val="0"/>
                      <w:bCs/>
                      <w:color w:val="auto"/>
                      <w:kern w:val="0"/>
                      <w:sz w:val="21"/>
                      <w:szCs w:val="21"/>
                      <w:lang w:eastAsia="zh-CN"/>
                    </w:rPr>
                  </w:pPr>
                  <w:r>
                    <w:rPr>
                      <w:rFonts w:hint="eastAsia" w:cs="Times New Roman"/>
                      <w:b w:val="0"/>
                      <w:bCs w:val="0"/>
                      <w:color w:val="auto"/>
                      <w:kern w:val="0"/>
                      <w:sz w:val="21"/>
                      <w:szCs w:val="21"/>
                      <w:lang w:val="en-US" w:eastAsia="zh-CN"/>
                    </w:rPr>
                    <w:t>1#车间</w:t>
                  </w:r>
                </w:p>
              </w:tc>
              <w:tc>
                <w:tcPr>
                  <w:tcW w:w="1217" w:type="pct"/>
                  <w:vAlign w:val="center"/>
                </w:tcPr>
                <w:p w14:paraId="6A913D86">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盐酸储罐呼吸废气、配酸废气、酸洗</w:t>
                  </w:r>
                  <w:r>
                    <w:rPr>
                      <w:rFonts w:hint="eastAsia" w:cs="Times New Roman"/>
                      <w:b w:val="0"/>
                      <w:bCs w:val="0"/>
                      <w:color w:val="auto"/>
                      <w:kern w:val="0"/>
                      <w:sz w:val="21"/>
                      <w:szCs w:val="21"/>
                      <w:lang w:val="en-US" w:eastAsia="zh-CN"/>
                    </w:rPr>
                    <w:t>、干燥废气</w:t>
                  </w:r>
                </w:p>
              </w:tc>
              <w:tc>
                <w:tcPr>
                  <w:tcW w:w="1929" w:type="pct"/>
                  <w:gridSpan w:val="2"/>
                  <w:vAlign w:val="center"/>
                </w:tcPr>
                <w:p w14:paraId="56D3A3A8">
                  <w:pPr>
                    <w:snapToGrid w:val="0"/>
                    <w:jc w:val="center"/>
                    <w:rPr>
                      <w:rFonts w:hint="eastAsia"/>
                      <w:b w:val="0"/>
                      <w:bCs/>
                      <w:color w:val="auto"/>
                      <w:sz w:val="21"/>
                      <w:szCs w:val="21"/>
                      <w:lang w:eastAsia="zh-CN"/>
                    </w:rPr>
                  </w:pPr>
                  <w:r>
                    <w:rPr>
                      <w:rFonts w:hint="default" w:ascii="Times New Roman" w:hAnsi="Times New Roman" w:eastAsia="宋体" w:cs="Times New Roman"/>
                      <w:color w:val="auto"/>
                      <w:kern w:val="0"/>
                      <w:sz w:val="21"/>
                      <w:szCs w:val="21"/>
                      <w:lang w:val="en-US" w:eastAsia="zh-CN"/>
                    </w:rPr>
                    <w:t>二级碱喷淋+1根20m高排气筒（DA001）</w:t>
                  </w:r>
                </w:p>
              </w:tc>
              <w:tc>
                <w:tcPr>
                  <w:tcW w:w="379" w:type="pct"/>
                  <w:vMerge w:val="restart"/>
                  <w:vAlign w:val="center"/>
                </w:tcPr>
                <w:p w14:paraId="435B555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r>
                    <w:rPr>
                      <w:rFonts w:hint="eastAsia"/>
                      <w:b w:val="0"/>
                      <w:bCs/>
                      <w:color w:val="000000"/>
                      <w:sz w:val="21"/>
                      <w:szCs w:val="21"/>
                    </w:rPr>
                    <w:t>新建</w:t>
                  </w:r>
                </w:p>
              </w:tc>
            </w:tr>
            <w:tr w14:paraId="05D7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6174404D">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Merge w:val="continue"/>
                  <w:vAlign w:val="center"/>
                </w:tcPr>
                <w:p w14:paraId="7D802F95">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508" w:type="pct"/>
                  <w:vMerge w:val="continue"/>
                  <w:vAlign w:val="center"/>
                </w:tcPr>
                <w:p w14:paraId="0BEB8C39">
                  <w:pPr>
                    <w:adjustRightInd w:val="0"/>
                    <w:spacing w:line="240" w:lineRule="auto"/>
                    <w:jc w:val="center"/>
                    <w:rPr>
                      <w:rFonts w:hint="eastAsia" w:cs="Times New Roman"/>
                      <w:b w:val="0"/>
                      <w:bCs w:val="0"/>
                      <w:color w:val="auto"/>
                      <w:kern w:val="0"/>
                      <w:sz w:val="21"/>
                      <w:szCs w:val="21"/>
                      <w:lang w:val="en-US" w:eastAsia="zh-CN"/>
                    </w:rPr>
                  </w:pPr>
                </w:p>
              </w:tc>
              <w:tc>
                <w:tcPr>
                  <w:tcW w:w="1217" w:type="pct"/>
                  <w:vAlign w:val="center"/>
                </w:tcPr>
                <w:p w14:paraId="1524E9CD">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粉碎粉尘</w:t>
                  </w:r>
                </w:p>
              </w:tc>
              <w:tc>
                <w:tcPr>
                  <w:tcW w:w="1929" w:type="pct"/>
                  <w:gridSpan w:val="2"/>
                  <w:vAlign w:val="center"/>
                </w:tcPr>
                <w:p w14:paraId="05424609">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+1根20m高排气筒（DA00</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p>
              </w:tc>
              <w:tc>
                <w:tcPr>
                  <w:tcW w:w="379" w:type="pct"/>
                  <w:vMerge w:val="continue"/>
                  <w:vAlign w:val="center"/>
                </w:tcPr>
                <w:p w14:paraId="28439D2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21BF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6B4C7116">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Merge w:val="continue"/>
                  <w:vAlign w:val="center"/>
                </w:tcPr>
                <w:p w14:paraId="71407BA8">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508" w:type="pct"/>
                  <w:vMerge w:val="restart"/>
                  <w:vAlign w:val="center"/>
                </w:tcPr>
                <w:p w14:paraId="50680092">
                  <w:pPr>
                    <w:adjustRightInd w:val="0"/>
                    <w:spacing w:line="240" w:lineRule="auto"/>
                    <w:jc w:val="center"/>
                    <w:rPr>
                      <w:rFonts w:hint="eastAsia" w:cs="Times New Roman"/>
                      <w:b w:val="0"/>
                      <w:bCs w:val="0"/>
                      <w:color w:val="auto"/>
                      <w:sz w:val="21"/>
                      <w:szCs w:val="21"/>
                      <w:lang w:eastAsia="zh-CN"/>
                    </w:rPr>
                  </w:pPr>
                  <w:r>
                    <w:rPr>
                      <w:rFonts w:hint="eastAsia" w:cs="Times New Roman"/>
                      <w:b w:val="0"/>
                      <w:bCs w:val="0"/>
                      <w:color w:val="auto"/>
                      <w:kern w:val="0"/>
                      <w:sz w:val="21"/>
                      <w:szCs w:val="21"/>
                      <w:lang w:val="en-US" w:eastAsia="zh-CN"/>
                    </w:rPr>
                    <w:t>2#车间</w:t>
                  </w:r>
                </w:p>
              </w:tc>
              <w:tc>
                <w:tcPr>
                  <w:tcW w:w="1217" w:type="pct"/>
                  <w:vAlign w:val="center"/>
                </w:tcPr>
                <w:p w14:paraId="1183D2DA">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盐酸储罐呼吸废气、配酸废气、酸洗</w:t>
                  </w:r>
                  <w:r>
                    <w:rPr>
                      <w:rFonts w:hint="eastAsia" w:cs="Times New Roman"/>
                      <w:b w:val="0"/>
                      <w:bCs w:val="0"/>
                      <w:color w:val="auto"/>
                      <w:kern w:val="0"/>
                      <w:sz w:val="21"/>
                      <w:szCs w:val="21"/>
                      <w:lang w:val="en-US" w:eastAsia="zh-CN"/>
                    </w:rPr>
                    <w:t>、干燥废气</w:t>
                  </w:r>
                </w:p>
              </w:tc>
              <w:tc>
                <w:tcPr>
                  <w:tcW w:w="1929" w:type="pct"/>
                  <w:gridSpan w:val="2"/>
                  <w:vAlign w:val="center"/>
                </w:tcPr>
                <w:p w14:paraId="4FD73E3E">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二级碱喷淋+1根20m高排气筒（DA00</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w:t>
                  </w:r>
                </w:p>
              </w:tc>
              <w:tc>
                <w:tcPr>
                  <w:tcW w:w="379" w:type="pct"/>
                  <w:vMerge w:val="continue"/>
                  <w:vAlign w:val="center"/>
                </w:tcPr>
                <w:p w14:paraId="46DAC8E0">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7300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010A725D">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Merge w:val="continue"/>
                  <w:vAlign w:val="center"/>
                </w:tcPr>
                <w:p w14:paraId="11F0F81D">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508" w:type="pct"/>
                  <w:vMerge w:val="continue"/>
                  <w:vAlign w:val="center"/>
                </w:tcPr>
                <w:p w14:paraId="6A7D066A">
                  <w:pPr>
                    <w:adjustRightInd w:val="0"/>
                    <w:spacing w:line="240" w:lineRule="auto"/>
                    <w:jc w:val="center"/>
                    <w:rPr>
                      <w:rFonts w:hint="default"/>
                      <w:color w:val="auto"/>
                      <w:kern w:val="0"/>
                      <w:sz w:val="21"/>
                      <w:szCs w:val="21"/>
                      <w:lang w:val="en-US" w:eastAsia="zh-CN"/>
                    </w:rPr>
                  </w:pPr>
                </w:p>
              </w:tc>
              <w:tc>
                <w:tcPr>
                  <w:tcW w:w="1217" w:type="pct"/>
                  <w:vAlign w:val="center"/>
                </w:tcPr>
                <w:p w14:paraId="616CDACE">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粉碎粉尘</w:t>
                  </w:r>
                </w:p>
              </w:tc>
              <w:tc>
                <w:tcPr>
                  <w:tcW w:w="1929" w:type="pct"/>
                  <w:gridSpan w:val="2"/>
                  <w:vAlign w:val="center"/>
                </w:tcPr>
                <w:p w14:paraId="573BD031">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+1根20m高排气筒（DA00</w:t>
                  </w:r>
                  <w:r>
                    <w:rPr>
                      <w:rFonts w:hint="eastAsia"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val="en-US" w:eastAsia="zh-CN"/>
                    </w:rPr>
                    <w:t>）</w:t>
                  </w:r>
                </w:p>
              </w:tc>
              <w:tc>
                <w:tcPr>
                  <w:tcW w:w="379" w:type="pct"/>
                  <w:vMerge w:val="continue"/>
                  <w:vAlign w:val="center"/>
                </w:tcPr>
                <w:p w14:paraId="46D9E3D6">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0D9C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2DADD86B">
                  <w:pPr>
                    <w:keepNext w:val="0"/>
                    <w:keepLines w:val="0"/>
                    <w:pageBreakBefore w:val="0"/>
                    <w:widowControl/>
                    <w:kinsoku/>
                    <w:wordWrap/>
                    <w:overflowPunct/>
                    <w:topLinePunct w:val="0"/>
                    <w:autoSpaceDE/>
                    <w:autoSpaceDN/>
                    <w:bidi w:val="0"/>
                    <w:spacing w:line="240" w:lineRule="auto"/>
                    <w:jc w:val="center"/>
                    <w:textAlignment w:val="auto"/>
                    <w:rPr>
                      <w:b w:val="0"/>
                      <w:bCs/>
                      <w:sz w:val="21"/>
                      <w:szCs w:val="21"/>
                    </w:rPr>
                  </w:pPr>
                </w:p>
              </w:tc>
              <w:tc>
                <w:tcPr>
                  <w:tcW w:w="606" w:type="pct"/>
                  <w:vMerge w:val="continue"/>
                  <w:vAlign w:val="center"/>
                </w:tcPr>
                <w:p w14:paraId="173E848E">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1725" w:type="pct"/>
                  <w:gridSpan w:val="2"/>
                  <w:vAlign w:val="center"/>
                </w:tcPr>
                <w:p w14:paraId="7FEF9080">
                  <w:pPr>
                    <w:adjustRightInd w:val="0"/>
                    <w:spacing w:line="240" w:lineRule="auto"/>
                    <w:jc w:val="center"/>
                    <w:rPr>
                      <w:rFonts w:hint="eastAsia"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拆包粉尘、</w:t>
                  </w:r>
                  <w:r>
                    <w:rPr>
                      <w:rFonts w:hint="eastAsia" w:cs="Times New Roman"/>
                      <w:color w:val="auto"/>
                      <w:kern w:val="0"/>
                      <w:sz w:val="21"/>
                      <w:szCs w:val="21"/>
                      <w:lang w:eastAsia="zh-CN"/>
                    </w:rPr>
                    <w:t>输送</w:t>
                  </w:r>
                  <w:r>
                    <w:rPr>
                      <w:rFonts w:hint="default" w:ascii="Times New Roman" w:hAnsi="Times New Roman" w:eastAsia="宋体" w:cs="Times New Roman"/>
                      <w:color w:val="auto"/>
                      <w:kern w:val="0"/>
                      <w:sz w:val="21"/>
                      <w:szCs w:val="21"/>
                      <w:lang w:eastAsia="zh-CN"/>
                    </w:rPr>
                    <w:t>粉尘、包装粉尘</w:t>
                  </w:r>
                </w:p>
              </w:tc>
              <w:tc>
                <w:tcPr>
                  <w:tcW w:w="1929" w:type="pct"/>
                  <w:gridSpan w:val="2"/>
                  <w:vAlign w:val="center"/>
                </w:tcPr>
                <w:p w14:paraId="7C5198E7">
                  <w:pPr>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经各料仓、设备自带</w:t>
                  </w:r>
                  <w:r>
                    <w:rPr>
                      <w:rFonts w:hint="eastAsia" w:ascii="Times New Roman" w:hAnsi="Times New Roman" w:eastAsia="宋体" w:cs="Times New Roman"/>
                      <w:color w:val="auto"/>
                      <w:kern w:val="0"/>
                      <w:sz w:val="21"/>
                      <w:szCs w:val="21"/>
                      <w:lang w:val="en-US" w:eastAsia="zh-CN"/>
                    </w:rPr>
                    <w:t>滤芯除尘</w:t>
                  </w:r>
                  <w:r>
                    <w:rPr>
                      <w:rFonts w:hint="default" w:ascii="Times New Roman" w:hAnsi="Times New Roman" w:eastAsia="宋体" w:cs="Times New Roman"/>
                      <w:color w:val="auto"/>
                      <w:kern w:val="0"/>
                      <w:sz w:val="21"/>
                      <w:szCs w:val="21"/>
                      <w:lang w:val="en-US" w:eastAsia="zh-CN"/>
                    </w:rPr>
                    <w:t>处理后无组织排放</w:t>
                  </w:r>
                </w:p>
              </w:tc>
              <w:tc>
                <w:tcPr>
                  <w:tcW w:w="379" w:type="pct"/>
                  <w:vMerge w:val="continue"/>
                  <w:vAlign w:val="center"/>
                </w:tcPr>
                <w:p w14:paraId="66348964">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23B6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2B8FD829">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Align w:val="center"/>
                </w:tcPr>
                <w:p w14:paraId="1E94B217">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废水治理</w:t>
                  </w:r>
                </w:p>
              </w:tc>
              <w:tc>
                <w:tcPr>
                  <w:tcW w:w="3655" w:type="pct"/>
                  <w:gridSpan w:val="4"/>
                  <w:vAlign w:val="center"/>
                </w:tcPr>
                <w:p w14:paraId="069CB5E3">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auto"/>
                      <w:sz w:val="21"/>
                      <w:szCs w:val="21"/>
                      <w:lang w:eastAsia="zh-CN"/>
                    </w:rPr>
                  </w:pPr>
                  <w:r>
                    <w:rPr>
                      <w:rFonts w:hint="eastAsia"/>
                      <w:b w:val="0"/>
                      <w:bCs/>
                      <w:color w:val="auto"/>
                      <w:sz w:val="21"/>
                      <w:szCs w:val="21"/>
                    </w:rPr>
                    <w:t>项目生活污水经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w:t>
                  </w:r>
                  <w:r>
                    <w:rPr>
                      <w:rFonts w:hint="eastAsia"/>
                      <w:b w:val="0"/>
                      <w:bCs/>
                      <w:color w:val="auto"/>
                      <w:sz w:val="21"/>
                      <w:szCs w:val="21"/>
                      <w:lang w:eastAsia="zh-CN"/>
                    </w:rPr>
                    <w:t>、初期雨水</w:t>
                  </w:r>
                  <w:r>
                    <w:rPr>
                      <w:rFonts w:hint="eastAsia"/>
                      <w:color w:val="auto"/>
                      <w:sz w:val="21"/>
                      <w:szCs w:val="21"/>
                      <w:lang w:eastAsia="zh-CN"/>
                    </w:rPr>
                    <w:t>一同排入园区污水管网，进入固镇经济开发区污水处理厂处理达标后</w:t>
                  </w:r>
                  <w:r>
                    <w:rPr>
                      <w:rFonts w:hint="eastAsia"/>
                      <w:sz w:val="21"/>
                      <w:szCs w:val="21"/>
                      <w:lang w:eastAsia="zh-CN"/>
                    </w:rPr>
                    <w:t>排入北淝河下段。</w:t>
                  </w:r>
                </w:p>
              </w:tc>
              <w:tc>
                <w:tcPr>
                  <w:tcW w:w="379" w:type="pct"/>
                  <w:vAlign w:val="center"/>
                </w:tcPr>
                <w:p w14:paraId="1762D218">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000000"/>
                      <w:kern w:val="2"/>
                      <w:sz w:val="21"/>
                      <w:szCs w:val="21"/>
                      <w:lang w:val="en-US" w:eastAsia="zh-CN" w:bidi="ar-SA"/>
                    </w:rPr>
                  </w:pPr>
                  <w:r>
                    <w:rPr>
                      <w:rFonts w:hint="eastAsia"/>
                      <w:b w:val="0"/>
                      <w:bCs/>
                      <w:color w:val="000000"/>
                      <w:sz w:val="21"/>
                      <w:szCs w:val="21"/>
                      <w:lang w:eastAsia="zh-CN"/>
                    </w:rPr>
                    <w:t>新建</w:t>
                  </w:r>
                </w:p>
              </w:tc>
            </w:tr>
            <w:tr w14:paraId="0903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73B589C8">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restart"/>
                  <w:vAlign w:val="center"/>
                </w:tcPr>
                <w:p w14:paraId="5555CF0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b w:val="0"/>
                      <w:bCs/>
                      <w:color w:val="auto"/>
                      <w:sz w:val="21"/>
                      <w:szCs w:val="21"/>
                    </w:rPr>
                    <w:t>固废治理</w:t>
                  </w:r>
                </w:p>
              </w:tc>
              <w:tc>
                <w:tcPr>
                  <w:tcW w:w="3655" w:type="pct"/>
                  <w:gridSpan w:val="4"/>
                  <w:vAlign w:val="center"/>
                </w:tcPr>
                <w:p w14:paraId="4199CDDA">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r>
                    <w:rPr>
                      <w:color w:val="auto"/>
                      <w:sz w:val="21"/>
                      <w:szCs w:val="21"/>
                    </w:rPr>
                    <w:t>生活垃圾定期由环卫清理。</w:t>
                  </w:r>
                </w:p>
              </w:tc>
              <w:tc>
                <w:tcPr>
                  <w:tcW w:w="379" w:type="pct"/>
                  <w:vMerge w:val="restart"/>
                  <w:vAlign w:val="center"/>
                </w:tcPr>
                <w:p w14:paraId="4ED631BD">
                  <w:pPr>
                    <w:keepNext w:val="0"/>
                    <w:keepLines w:val="0"/>
                    <w:pageBreakBefore w:val="0"/>
                    <w:widowControl/>
                    <w:kinsoku/>
                    <w:wordWrap/>
                    <w:overflowPunct/>
                    <w:topLinePunct w:val="0"/>
                    <w:autoSpaceDE/>
                    <w:autoSpaceDN/>
                    <w:bidi w:val="0"/>
                    <w:spacing w:line="240" w:lineRule="auto"/>
                    <w:jc w:val="center"/>
                    <w:textAlignment w:val="auto"/>
                    <w:rPr>
                      <w:b w:val="0"/>
                      <w:bCs/>
                      <w:color w:val="000000"/>
                      <w:sz w:val="21"/>
                      <w:szCs w:val="21"/>
                    </w:rPr>
                  </w:pPr>
                  <w:r>
                    <w:rPr>
                      <w:rFonts w:hint="eastAsia"/>
                      <w:b w:val="0"/>
                      <w:bCs/>
                      <w:color w:val="000000"/>
                      <w:sz w:val="21"/>
                      <w:szCs w:val="21"/>
                    </w:rPr>
                    <w:t>新建</w:t>
                  </w:r>
                </w:p>
              </w:tc>
            </w:tr>
            <w:tr w14:paraId="36C0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59" w:type="pct"/>
                  <w:vMerge w:val="continue"/>
                  <w:vAlign w:val="center"/>
                </w:tcPr>
                <w:p w14:paraId="41B0C484">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4D7FC6A4">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restart"/>
                  <w:vAlign w:val="center"/>
                </w:tcPr>
                <w:p w14:paraId="674552EA">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color w:val="auto"/>
                      <w:sz w:val="21"/>
                      <w:szCs w:val="21"/>
                      <w:lang w:eastAsia="zh-CN"/>
                    </w:rPr>
                  </w:pPr>
                  <w:r>
                    <w:rPr>
                      <w:rFonts w:hint="eastAsia"/>
                      <w:color w:val="auto"/>
                      <w:sz w:val="21"/>
                      <w:szCs w:val="21"/>
                      <w:lang w:eastAsia="zh-CN"/>
                    </w:rPr>
                    <w:t>一般固废：设置一般固废暂存间，</w:t>
                  </w:r>
                  <w:r>
                    <w:rPr>
                      <w:rFonts w:hint="eastAsia"/>
                      <w:b w:val="0"/>
                      <w:bCs/>
                      <w:color w:val="auto"/>
                      <w:sz w:val="21"/>
                      <w:szCs w:val="21"/>
                      <w:lang w:eastAsia="zh-CN"/>
                    </w:rPr>
                    <w:t>建筑面积</w:t>
                  </w:r>
                  <w:r>
                    <w:rPr>
                      <w:rFonts w:hint="eastAsia"/>
                      <w:b w:val="0"/>
                      <w:bCs/>
                      <w:color w:val="auto"/>
                      <w:sz w:val="21"/>
                      <w:szCs w:val="21"/>
                      <w:lang w:val="en-US" w:eastAsia="zh-CN"/>
                    </w:rPr>
                    <w:t>20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080" w:type="pct"/>
                  <w:vAlign w:val="center"/>
                </w:tcPr>
                <w:p w14:paraId="3739245D">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r>
                    <w:rPr>
                      <w:rFonts w:hint="eastAsia"/>
                      <w:color w:val="auto"/>
                      <w:sz w:val="21"/>
                      <w:szCs w:val="21"/>
                      <w:lang w:eastAsia="zh-CN"/>
                    </w:rPr>
                    <w:t>废铁屑</w:t>
                  </w:r>
                </w:p>
              </w:tc>
              <w:tc>
                <w:tcPr>
                  <w:tcW w:w="848" w:type="pct"/>
                  <w:vAlign w:val="top"/>
                </w:tcPr>
                <w:p w14:paraId="71029E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spacing w:val="-3"/>
                      <w:sz w:val="21"/>
                      <w:szCs w:val="21"/>
                    </w:rPr>
                    <w:t>除磁</w:t>
                  </w:r>
                </w:p>
              </w:tc>
              <w:tc>
                <w:tcPr>
                  <w:tcW w:w="379" w:type="pct"/>
                  <w:vMerge w:val="continue"/>
                  <w:vAlign w:val="center"/>
                </w:tcPr>
                <w:p w14:paraId="2766EE71">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388D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59" w:type="pct"/>
                  <w:vMerge w:val="continue"/>
                  <w:vAlign w:val="center"/>
                </w:tcPr>
                <w:p w14:paraId="0C7DE2CE">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62B18472">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continue"/>
                  <w:vAlign w:val="center"/>
                </w:tcPr>
                <w:p w14:paraId="4D4C6A63">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p>
              </w:tc>
              <w:tc>
                <w:tcPr>
                  <w:tcW w:w="1080" w:type="pct"/>
                  <w:vAlign w:val="center"/>
                </w:tcPr>
                <w:p w14:paraId="39A1F6EF">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r>
                    <w:rPr>
                      <w:rFonts w:hint="eastAsia"/>
                      <w:color w:val="auto"/>
                      <w:sz w:val="21"/>
                      <w:szCs w:val="21"/>
                      <w:lang w:eastAsia="zh-CN"/>
                    </w:rPr>
                    <w:t>废分子筛</w:t>
                  </w:r>
                </w:p>
              </w:tc>
              <w:tc>
                <w:tcPr>
                  <w:tcW w:w="848" w:type="pct"/>
                  <w:vAlign w:val="top"/>
                </w:tcPr>
                <w:p w14:paraId="19306F9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spacing w:val="1"/>
                      <w:sz w:val="21"/>
                      <w:szCs w:val="21"/>
                    </w:rPr>
                    <w:t>制氮</w:t>
                  </w:r>
                </w:p>
              </w:tc>
              <w:tc>
                <w:tcPr>
                  <w:tcW w:w="379" w:type="pct"/>
                  <w:vMerge w:val="continue"/>
                  <w:vAlign w:val="center"/>
                </w:tcPr>
                <w:p w14:paraId="59DBACDC">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5618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59" w:type="pct"/>
                  <w:vMerge w:val="continue"/>
                  <w:vAlign w:val="center"/>
                </w:tcPr>
                <w:p w14:paraId="37A56B4B">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4D94AAF5">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continue"/>
                  <w:vAlign w:val="center"/>
                </w:tcPr>
                <w:p w14:paraId="4E45C591">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p>
              </w:tc>
              <w:tc>
                <w:tcPr>
                  <w:tcW w:w="1080" w:type="pct"/>
                  <w:vAlign w:val="center"/>
                </w:tcPr>
                <w:p w14:paraId="74A8DAC1">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r>
                    <w:rPr>
                      <w:rFonts w:hint="eastAsia"/>
                      <w:color w:val="auto"/>
                      <w:sz w:val="21"/>
                      <w:szCs w:val="21"/>
                      <w:lang w:eastAsia="zh-CN"/>
                    </w:rPr>
                    <w:t>废离子交换树脂</w:t>
                  </w:r>
                </w:p>
              </w:tc>
              <w:tc>
                <w:tcPr>
                  <w:tcW w:w="848" w:type="pct"/>
                  <w:vAlign w:val="top"/>
                </w:tcPr>
                <w:p w14:paraId="5E4B319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spacing w:val="4"/>
                      <w:sz w:val="21"/>
                      <w:szCs w:val="21"/>
                    </w:rPr>
                    <w:t>制纯水</w:t>
                  </w:r>
                </w:p>
              </w:tc>
              <w:tc>
                <w:tcPr>
                  <w:tcW w:w="379" w:type="pct"/>
                  <w:vMerge w:val="continue"/>
                  <w:vAlign w:val="center"/>
                </w:tcPr>
                <w:p w14:paraId="7F5EC531">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105B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59" w:type="pct"/>
                  <w:vMerge w:val="continue"/>
                  <w:vAlign w:val="center"/>
                </w:tcPr>
                <w:p w14:paraId="74ECA669">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56B1328C">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continue"/>
                  <w:vAlign w:val="center"/>
                </w:tcPr>
                <w:p w14:paraId="6D87EB60">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p>
              </w:tc>
              <w:tc>
                <w:tcPr>
                  <w:tcW w:w="1080" w:type="pct"/>
                  <w:vAlign w:val="center"/>
                </w:tcPr>
                <w:p w14:paraId="6869FBB9">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eastAsia="zh-CN"/>
                    </w:rPr>
                  </w:pPr>
                  <w:r>
                    <w:rPr>
                      <w:rFonts w:hint="eastAsia"/>
                      <w:color w:val="auto"/>
                      <w:sz w:val="21"/>
                      <w:szCs w:val="21"/>
                      <w:lang w:eastAsia="zh-CN"/>
                    </w:rPr>
                    <w:t>除尘灰</w:t>
                  </w:r>
                </w:p>
              </w:tc>
              <w:tc>
                <w:tcPr>
                  <w:tcW w:w="848" w:type="pct"/>
                  <w:vAlign w:val="top"/>
                </w:tcPr>
                <w:p w14:paraId="5414BD1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4"/>
                      <w:sz w:val="21"/>
                      <w:szCs w:val="21"/>
                      <w:lang w:eastAsia="zh-CN"/>
                    </w:rPr>
                  </w:pPr>
                  <w:r>
                    <w:rPr>
                      <w:rFonts w:hint="eastAsia" w:ascii="宋体" w:hAnsi="宋体" w:cs="宋体"/>
                      <w:spacing w:val="4"/>
                      <w:sz w:val="21"/>
                      <w:szCs w:val="21"/>
                      <w:lang w:eastAsia="zh-CN"/>
                    </w:rPr>
                    <w:t>废气处理</w:t>
                  </w:r>
                </w:p>
              </w:tc>
              <w:tc>
                <w:tcPr>
                  <w:tcW w:w="379" w:type="pct"/>
                  <w:vMerge w:val="continue"/>
                  <w:vAlign w:val="center"/>
                </w:tcPr>
                <w:p w14:paraId="2E1CBBD5">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0306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59" w:type="pct"/>
                  <w:vMerge w:val="continue"/>
                  <w:vAlign w:val="center"/>
                </w:tcPr>
                <w:p w14:paraId="2081F5EF">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33F61079">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restart"/>
                  <w:vAlign w:val="center"/>
                </w:tcPr>
                <w:p w14:paraId="5B2F5E1F">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color w:val="auto"/>
                      <w:sz w:val="21"/>
                      <w:szCs w:val="21"/>
                      <w:vertAlign w:val="baseline"/>
                      <w:lang w:eastAsia="zh-CN"/>
                    </w:rPr>
                  </w:pPr>
                  <w:r>
                    <w:rPr>
                      <w:rFonts w:hint="eastAsia"/>
                      <w:color w:val="auto"/>
                      <w:sz w:val="21"/>
                      <w:szCs w:val="21"/>
                      <w:lang w:eastAsia="zh-CN"/>
                    </w:rPr>
                    <w:t>危废：</w:t>
                  </w:r>
                  <w:r>
                    <w:rPr>
                      <w:rFonts w:hint="eastAsia"/>
                      <w:color w:val="auto"/>
                      <w:sz w:val="21"/>
                      <w:szCs w:val="21"/>
                      <w:highlight w:val="none"/>
                      <w:lang w:eastAsia="zh-CN"/>
                    </w:rPr>
                    <w:t>设置危废暂存间，</w:t>
                  </w:r>
                  <w:r>
                    <w:rPr>
                      <w:rFonts w:hint="eastAsia"/>
                      <w:b w:val="0"/>
                      <w:bCs/>
                      <w:color w:val="auto"/>
                      <w:sz w:val="21"/>
                      <w:szCs w:val="21"/>
                      <w:lang w:eastAsia="zh-CN"/>
                    </w:rPr>
                    <w:t>建筑面积</w:t>
                  </w:r>
                  <w:r>
                    <w:rPr>
                      <w:rFonts w:hint="eastAsia"/>
                      <w:b w:val="0"/>
                      <w:bCs/>
                      <w:color w:val="auto"/>
                      <w:sz w:val="21"/>
                      <w:szCs w:val="21"/>
                      <w:lang w:val="en-US" w:eastAsia="zh-CN"/>
                    </w:rPr>
                    <w:t>20</w:t>
                  </w:r>
                  <w:r>
                    <w:rPr>
                      <w:color w:val="auto"/>
                      <w:sz w:val="21"/>
                      <w:szCs w:val="21"/>
                    </w:rPr>
                    <w:t>m</w:t>
                  </w:r>
                  <w:r>
                    <w:rPr>
                      <w:color w:val="auto"/>
                      <w:sz w:val="21"/>
                      <w:szCs w:val="21"/>
                      <w:vertAlign w:val="superscript"/>
                    </w:rPr>
                    <w:t>2</w:t>
                  </w:r>
                  <w:r>
                    <w:rPr>
                      <w:rFonts w:hint="eastAsia"/>
                      <w:color w:val="auto"/>
                      <w:sz w:val="21"/>
                      <w:szCs w:val="21"/>
                      <w:lang w:eastAsia="zh-CN"/>
                    </w:rPr>
                    <w:t>。</w:t>
                  </w:r>
                </w:p>
              </w:tc>
              <w:tc>
                <w:tcPr>
                  <w:tcW w:w="1080" w:type="pct"/>
                  <w:vAlign w:val="center"/>
                </w:tcPr>
                <w:p w14:paraId="6966A3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rFonts w:hint="eastAsia"/>
                      <w:color w:val="auto"/>
                      <w:sz w:val="21"/>
                      <w:szCs w:val="21"/>
                      <w:lang w:eastAsia="zh-CN"/>
                    </w:rPr>
                    <w:t>废机油</w:t>
                  </w:r>
                </w:p>
              </w:tc>
              <w:tc>
                <w:tcPr>
                  <w:tcW w:w="848" w:type="pct"/>
                  <w:vAlign w:val="top"/>
                </w:tcPr>
                <w:p w14:paraId="2B02F23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color w:val="auto"/>
                      <w:sz w:val="21"/>
                      <w:szCs w:val="21"/>
                      <w:lang w:eastAsia="zh-CN"/>
                    </w:rPr>
                  </w:pPr>
                  <w:r>
                    <w:rPr>
                      <w:rFonts w:hint="eastAsia" w:ascii="宋体" w:hAnsi="宋体" w:eastAsia="宋体" w:cs="宋体"/>
                      <w:spacing w:val="6"/>
                      <w:sz w:val="21"/>
                      <w:szCs w:val="21"/>
                    </w:rPr>
                    <w:t>设备维护</w:t>
                  </w:r>
                </w:p>
              </w:tc>
              <w:tc>
                <w:tcPr>
                  <w:tcW w:w="379" w:type="pct"/>
                  <w:vMerge w:val="continue"/>
                  <w:vAlign w:val="center"/>
                </w:tcPr>
                <w:p w14:paraId="78AE5422">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066C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59" w:type="pct"/>
                  <w:vMerge w:val="continue"/>
                  <w:vAlign w:val="center"/>
                </w:tcPr>
                <w:p w14:paraId="6B5DDC5D">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Merge w:val="continue"/>
                  <w:vAlign w:val="center"/>
                </w:tcPr>
                <w:p w14:paraId="4E167E38">
                  <w:pPr>
                    <w:keepNext w:val="0"/>
                    <w:keepLines w:val="0"/>
                    <w:pageBreakBefore w:val="0"/>
                    <w:widowControl/>
                    <w:kinsoku/>
                    <w:wordWrap/>
                    <w:overflowPunct/>
                    <w:topLinePunct w:val="0"/>
                    <w:autoSpaceDE/>
                    <w:autoSpaceDN/>
                    <w:bidi w:val="0"/>
                    <w:spacing w:line="240" w:lineRule="auto"/>
                    <w:jc w:val="center"/>
                    <w:textAlignment w:val="auto"/>
                    <w:rPr>
                      <w:b w:val="0"/>
                      <w:bCs/>
                      <w:color w:val="auto"/>
                      <w:sz w:val="21"/>
                      <w:szCs w:val="21"/>
                    </w:rPr>
                  </w:pPr>
                </w:p>
              </w:tc>
              <w:tc>
                <w:tcPr>
                  <w:tcW w:w="1725" w:type="pct"/>
                  <w:gridSpan w:val="2"/>
                  <w:vMerge w:val="continue"/>
                  <w:vAlign w:val="center"/>
                </w:tcPr>
                <w:p w14:paraId="29592720">
                  <w:pPr>
                    <w:keepNext w:val="0"/>
                    <w:keepLines w:val="0"/>
                    <w:pageBreakBefore w:val="0"/>
                    <w:widowControl/>
                    <w:kinsoku/>
                    <w:wordWrap/>
                    <w:overflowPunct/>
                    <w:topLinePunct w:val="0"/>
                    <w:autoSpaceDE/>
                    <w:autoSpaceDN/>
                    <w:bidi w:val="0"/>
                    <w:spacing w:line="240" w:lineRule="auto"/>
                    <w:jc w:val="center"/>
                    <w:textAlignment w:val="auto"/>
                    <w:rPr>
                      <w:rFonts w:hint="eastAsia"/>
                      <w:color w:val="FF0000"/>
                      <w:sz w:val="21"/>
                      <w:szCs w:val="21"/>
                      <w:lang w:eastAsia="zh-CN"/>
                    </w:rPr>
                  </w:pPr>
                </w:p>
              </w:tc>
              <w:tc>
                <w:tcPr>
                  <w:tcW w:w="1080" w:type="pct"/>
                  <w:vAlign w:val="center"/>
                </w:tcPr>
                <w:p w14:paraId="271F9D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rFonts w:hint="eastAsia"/>
                      <w:color w:val="auto"/>
                      <w:sz w:val="21"/>
                      <w:szCs w:val="21"/>
                      <w:lang w:eastAsia="zh-CN"/>
                    </w:rPr>
                    <w:t>废机油桶</w:t>
                  </w:r>
                </w:p>
              </w:tc>
              <w:tc>
                <w:tcPr>
                  <w:tcW w:w="848" w:type="pct"/>
                  <w:vAlign w:val="top"/>
                </w:tcPr>
                <w:p w14:paraId="7A699F3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spacing w:val="6"/>
                      <w:sz w:val="21"/>
                      <w:szCs w:val="21"/>
                    </w:rPr>
                  </w:pPr>
                  <w:r>
                    <w:rPr>
                      <w:rFonts w:hint="eastAsia" w:ascii="宋体" w:hAnsi="宋体" w:eastAsia="宋体" w:cs="宋体"/>
                      <w:spacing w:val="6"/>
                      <w:sz w:val="21"/>
                      <w:szCs w:val="21"/>
                    </w:rPr>
                    <w:t>设备维护</w:t>
                  </w:r>
                </w:p>
              </w:tc>
              <w:tc>
                <w:tcPr>
                  <w:tcW w:w="379" w:type="pct"/>
                  <w:vMerge w:val="continue"/>
                  <w:vAlign w:val="center"/>
                </w:tcPr>
                <w:p w14:paraId="585ED1B1">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p>
              </w:tc>
            </w:tr>
            <w:tr w14:paraId="15E7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7C6A6DE7">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Align w:val="center"/>
                </w:tcPr>
                <w:p w14:paraId="4CBBBC60">
                  <w:pPr>
                    <w:spacing w:line="240" w:lineRule="auto"/>
                    <w:jc w:val="center"/>
                    <w:rPr>
                      <w:b w:val="0"/>
                      <w:bCs/>
                      <w:color w:val="auto"/>
                      <w:sz w:val="21"/>
                      <w:szCs w:val="21"/>
                    </w:rPr>
                  </w:pPr>
                  <w:r>
                    <w:rPr>
                      <w:b w:val="0"/>
                      <w:bCs/>
                      <w:color w:val="auto"/>
                      <w:sz w:val="21"/>
                      <w:szCs w:val="21"/>
                    </w:rPr>
                    <w:t>噪声治理</w:t>
                  </w:r>
                </w:p>
              </w:tc>
              <w:tc>
                <w:tcPr>
                  <w:tcW w:w="3655" w:type="pct"/>
                  <w:gridSpan w:val="4"/>
                  <w:vAlign w:val="center"/>
                </w:tcPr>
                <w:p w14:paraId="4D86A515">
                  <w:pPr>
                    <w:spacing w:line="240" w:lineRule="auto"/>
                    <w:jc w:val="center"/>
                    <w:rPr>
                      <w:rFonts w:hint="eastAsia"/>
                      <w:color w:val="auto"/>
                      <w:sz w:val="21"/>
                      <w:szCs w:val="21"/>
                      <w:lang w:eastAsia="zh-CN"/>
                    </w:rPr>
                  </w:pPr>
                  <w:r>
                    <w:rPr>
                      <w:b w:val="0"/>
                      <w:bCs/>
                      <w:color w:val="auto"/>
                      <w:sz w:val="21"/>
                      <w:szCs w:val="21"/>
                    </w:rPr>
                    <w:t>厂房隔声、基础减振、合理布局、加强维修保养等。</w:t>
                  </w:r>
                </w:p>
              </w:tc>
              <w:tc>
                <w:tcPr>
                  <w:tcW w:w="379" w:type="pct"/>
                  <w:vAlign w:val="center"/>
                </w:tcPr>
                <w:p w14:paraId="05BC1C6D">
                  <w:pPr>
                    <w:keepNext w:val="0"/>
                    <w:keepLines w:val="0"/>
                    <w:pageBreakBefore w:val="0"/>
                    <w:widowControl/>
                    <w:kinsoku/>
                    <w:wordWrap/>
                    <w:overflowPunct/>
                    <w:topLinePunct w:val="0"/>
                    <w:autoSpaceDE/>
                    <w:autoSpaceDN/>
                    <w:bidi w:val="0"/>
                    <w:spacing w:line="240" w:lineRule="auto"/>
                    <w:jc w:val="center"/>
                    <w:textAlignment w:val="auto"/>
                    <w:rPr>
                      <w:rFonts w:hint="eastAsia"/>
                      <w:b w:val="0"/>
                      <w:bCs/>
                      <w:color w:val="000000"/>
                      <w:sz w:val="21"/>
                      <w:szCs w:val="21"/>
                    </w:rPr>
                  </w:pPr>
                  <w:r>
                    <w:rPr>
                      <w:rFonts w:hint="eastAsia"/>
                      <w:b w:val="0"/>
                      <w:bCs/>
                      <w:color w:val="000000"/>
                      <w:sz w:val="21"/>
                      <w:szCs w:val="21"/>
                    </w:rPr>
                    <w:t>新建</w:t>
                  </w:r>
                </w:p>
              </w:tc>
            </w:tr>
            <w:tr w14:paraId="3FCB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0E3793C1">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Align w:val="center"/>
                </w:tcPr>
                <w:p w14:paraId="293EF2CE">
                  <w:pPr>
                    <w:snapToGrid w:val="0"/>
                    <w:jc w:val="center"/>
                    <w:rPr>
                      <w:b w:val="0"/>
                      <w:bCs/>
                      <w:color w:val="auto"/>
                      <w:sz w:val="21"/>
                      <w:szCs w:val="21"/>
                    </w:rPr>
                  </w:pPr>
                  <w:r>
                    <w:rPr>
                      <w:color w:val="auto"/>
                      <w:sz w:val="21"/>
                      <w:szCs w:val="21"/>
                    </w:rPr>
                    <w:t>地下水、土壤治理</w:t>
                  </w:r>
                </w:p>
              </w:tc>
              <w:tc>
                <w:tcPr>
                  <w:tcW w:w="3655" w:type="pct"/>
                  <w:gridSpan w:val="4"/>
                  <w:vAlign w:val="center"/>
                </w:tcPr>
                <w:p w14:paraId="6F55ABB5">
                  <w:pPr>
                    <w:pStyle w:val="14"/>
                    <w:tabs>
                      <w:tab w:val="left" w:pos="0"/>
                    </w:tabs>
                    <w:spacing w:line="240" w:lineRule="auto"/>
                    <w:jc w:val="center"/>
                    <w:rPr>
                      <w:b w:val="0"/>
                      <w:bCs/>
                      <w:color w:val="auto"/>
                      <w:sz w:val="21"/>
                      <w:szCs w:val="21"/>
                    </w:rPr>
                  </w:pPr>
                  <w:r>
                    <w:rPr>
                      <w:rFonts w:ascii="Times New Roman" w:hAnsi="Times New Roman"/>
                      <w:color w:val="auto"/>
                      <w:sz w:val="21"/>
                      <w:szCs w:val="21"/>
                    </w:rPr>
                    <w:t>采取分区防渗措施，危废暂存间</w:t>
                  </w:r>
                  <w:r>
                    <w:rPr>
                      <w:rFonts w:hint="eastAsia" w:ascii="Times New Roman" w:hAnsi="Times New Roman"/>
                      <w:color w:val="auto"/>
                      <w:sz w:val="21"/>
                      <w:szCs w:val="21"/>
                      <w:lang w:eastAsia="zh-CN"/>
                    </w:rPr>
                    <w:t>、盐酸储罐区、液碱储罐区、洗滤罐区、二级碱喷淋塔处、污水处理区、事故应急池等</w:t>
                  </w:r>
                  <w:r>
                    <w:rPr>
                      <w:rFonts w:ascii="Times New Roman" w:hAnsi="Times New Roman"/>
                      <w:color w:val="auto"/>
                      <w:sz w:val="21"/>
                      <w:szCs w:val="21"/>
                    </w:rPr>
                    <w:t>做重点防渗，</w:t>
                  </w:r>
                  <w:r>
                    <w:rPr>
                      <w:rFonts w:hint="eastAsia" w:ascii="Times New Roman" w:hAnsi="Times New Roman"/>
                      <w:color w:val="auto"/>
                      <w:sz w:val="21"/>
                      <w:szCs w:val="21"/>
                      <w:lang w:eastAsia="zh-CN"/>
                    </w:rPr>
                    <w:t>生产车间其他区域、隔油池、化粪池等</w:t>
                  </w:r>
                  <w:r>
                    <w:rPr>
                      <w:rFonts w:ascii="Times New Roman" w:hAnsi="Times New Roman"/>
                      <w:color w:val="auto"/>
                      <w:sz w:val="21"/>
                      <w:szCs w:val="21"/>
                    </w:rPr>
                    <w:t>一般防渗</w:t>
                  </w:r>
                  <w:r>
                    <w:rPr>
                      <w:rFonts w:hint="eastAsia" w:ascii="Times New Roman" w:hAnsi="Times New Roman"/>
                      <w:color w:val="auto"/>
                      <w:sz w:val="21"/>
                      <w:szCs w:val="21"/>
                      <w:lang w:eastAsia="zh-CN"/>
                    </w:rPr>
                    <w:t>，厂区内道路区域、办公楼、食堂宿舍等简单防渗</w:t>
                  </w:r>
                  <w:r>
                    <w:rPr>
                      <w:rFonts w:ascii="Times New Roman" w:hAnsi="Times New Roman"/>
                      <w:color w:val="auto"/>
                      <w:sz w:val="21"/>
                      <w:szCs w:val="21"/>
                    </w:rPr>
                    <w:t>。</w:t>
                  </w:r>
                </w:p>
              </w:tc>
              <w:tc>
                <w:tcPr>
                  <w:tcW w:w="379" w:type="pct"/>
                  <w:vAlign w:val="center"/>
                </w:tcPr>
                <w:p w14:paraId="250C60D6">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b w:val="0"/>
                      <w:bCs/>
                      <w:color w:val="000000"/>
                      <w:sz w:val="21"/>
                      <w:szCs w:val="21"/>
                      <w:lang w:eastAsia="zh-CN"/>
                    </w:rPr>
                  </w:pPr>
                  <w:r>
                    <w:rPr>
                      <w:rFonts w:hint="eastAsia"/>
                      <w:b w:val="0"/>
                      <w:bCs/>
                      <w:color w:val="000000"/>
                      <w:sz w:val="21"/>
                      <w:szCs w:val="21"/>
                      <w:lang w:eastAsia="zh-CN"/>
                    </w:rPr>
                    <w:t>新建</w:t>
                  </w:r>
                </w:p>
              </w:tc>
            </w:tr>
            <w:tr w14:paraId="057E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9" w:type="pct"/>
                  <w:vMerge w:val="continue"/>
                  <w:vAlign w:val="center"/>
                </w:tcPr>
                <w:p w14:paraId="1C84B1B6">
                  <w:pPr>
                    <w:keepNext w:val="0"/>
                    <w:keepLines w:val="0"/>
                    <w:pageBreakBefore w:val="0"/>
                    <w:widowControl/>
                    <w:kinsoku/>
                    <w:wordWrap/>
                    <w:overflowPunct/>
                    <w:topLinePunct w:val="0"/>
                    <w:autoSpaceDE/>
                    <w:autoSpaceDN/>
                    <w:bidi w:val="0"/>
                    <w:spacing w:line="240" w:lineRule="auto"/>
                    <w:jc w:val="center"/>
                    <w:textAlignment w:val="auto"/>
                    <w:rPr>
                      <w:b w:val="0"/>
                      <w:bCs/>
                      <w:color w:val="FF0000"/>
                      <w:sz w:val="21"/>
                      <w:szCs w:val="21"/>
                    </w:rPr>
                  </w:pPr>
                </w:p>
              </w:tc>
              <w:tc>
                <w:tcPr>
                  <w:tcW w:w="606" w:type="pct"/>
                  <w:vAlign w:val="center"/>
                </w:tcPr>
                <w:p w14:paraId="102FAD7D">
                  <w:pPr>
                    <w:snapToGrid w:val="0"/>
                    <w:jc w:val="center"/>
                    <w:rPr>
                      <w:b w:val="0"/>
                      <w:bCs/>
                      <w:color w:val="auto"/>
                      <w:sz w:val="21"/>
                      <w:szCs w:val="21"/>
                    </w:rPr>
                  </w:pPr>
                  <w:r>
                    <w:rPr>
                      <w:color w:val="auto"/>
                      <w:sz w:val="21"/>
                      <w:szCs w:val="21"/>
                    </w:rPr>
                    <w:t>风险防范</w:t>
                  </w:r>
                </w:p>
              </w:tc>
              <w:tc>
                <w:tcPr>
                  <w:tcW w:w="3655" w:type="pct"/>
                  <w:gridSpan w:val="4"/>
                  <w:vAlign w:val="center"/>
                </w:tcPr>
                <w:p w14:paraId="7C6F502B">
                  <w:pPr>
                    <w:pStyle w:val="14"/>
                    <w:tabs>
                      <w:tab w:val="left" w:pos="0"/>
                    </w:tabs>
                    <w:spacing w:line="240" w:lineRule="auto"/>
                    <w:jc w:val="center"/>
                    <w:rPr>
                      <w:rFonts w:hint="default" w:eastAsia="宋体"/>
                      <w:b w:val="0"/>
                      <w:bCs/>
                      <w:color w:val="auto"/>
                      <w:sz w:val="21"/>
                      <w:szCs w:val="21"/>
                      <w:lang w:val="en-US" w:eastAsia="zh-CN"/>
                    </w:rPr>
                  </w:pPr>
                  <w:r>
                    <w:rPr>
                      <w:rFonts w:hint="eastAsia" w:ascii="Times New Roman" w:hAnsi="Times New Roman"/>
                      <w:color w:val="auto"/>
                      <w:sz w:val="21"/>
                      <w:szCs w:val="21"/>
                      <w:lang w:eastAsia="zh-CN"/>
                    </w:rPr>
                    <w:t>编制</w:t>
                  </w:r>
                  <w:r>
                    <w:rPr>
                      <w:rFonts w:ascii="Times New Roman" w:hAnsi="Times New Roman"/>
                      <w:color w:val="auto"/>
                      <w:sz w:val="21"/>
                      <w:szCs w:val="21"/>
                    </w:rPr>
                    <w:t>应急预案</w:t>
                  </w:r>
                  <w:r>
                    <w:rPr>
                      <w:rFonts w:hint="eastAsia" w:ascii="Times New Roman" w:hAnsi="Times New Roman"/>
                      <w:color w:val="auto"/>
                      <w:sz w:val="21"/>
                      <w:szCs w:val="21"/>
                      <w:lang w:eastAsia="zh-CN"/>
                    </w:rPr>
                    <w:t>；</w:t>
                  </w:r>
                  <w:r>
                    <w:rPr>
                      <w:rFonts w:ascii="Times New Roman" w:hAnsi="Times New Roman"/>
                      <w:color w:val="auto"/>
                      <w:sz w:val="21"/>
                      <w:szCs w:val="21"/>
                    </w:rPr>
                    <w:t>危废暂存间</w:t>
                  </w:r>
                  <w:r>
                    <w:rPr>
                      <w:rFonts w:hint="eastAsia" w:ascii="Times New Roman" w:hAnsi="Times New Roman"/>
                      <w:color w:val="auto"/>
                      <w:sz w:val="21"/>
                      <w:szCs w:val="21"/>
                      <w:lang w:eastAsia="zh-CN"/>
                    </w:rPr>
                    <w:t>、盐酸储罐区、液碱储罐区、洗滤罐区、二级碱喷淋塔处、污水处理区、事故应急池等</w:t>
                  </w:r>
                  <w:r>
                    <w:rPr>
                      <w:rFonts w:ascii="Times New Roman" w:hAnsi="Times New Roman"/>
                      <w:color w:val="auto"/>
                      <w:sz w:val="21"/>
                      <w:szCs w:val="21"/>
                    </w:rPr>
                    <w:t>做重点防渗</w:t>
                  </w:r>
                  <w:r>
                    <w:rPr>
                      <w:rFonts w:hint="eastAsia" w:ascii="Times New Roman" w:hAnsi="Times New Roman"/>
                      <w:color w:val="auto"/>
                      <w:sz w:val="21"/>
                      <w:szCs w:val="21"/>
                      <w:lang w:eastAsia="zh-CN"/>
                    </w:rPr>
                    <w:t>；盐酸储罐区、液碱储罐区设置围堰；设置事故应急池；</w:t>
                  </w:r>
                  <w:r>
                    <w:rPr>
                      <w:rFonts w:ascii="Times New Roman" w:hAnsi="Times New Roman"/>
                      <w:color w:val="auto"/>
                      <w:sz w:val="21"/>
                      <w:szCs w:val="21"/>
                    </w:rPr>
                    <w:t>加强员工操作管理</w:t>
                  </w:r>
                  <w:r>
                    <w:rPr>
                      <w:rFonts w:hint="eastAsia" w:ascii="Times New Roman" w:hAnsi="Times New Roman"/>
                      <w:color w:val="auto"/>
                      <w:sz w:val="21"/>
                      <w:szCs w:val="21"/>
                      <w:lang w:eastAsia="zh-CN"/>
                    </w:rPr>
                    <w:t>。</w:t>
                  </w:r>
                </w:p>
              </w:tc>
              <w:tc>
                <w:tcPr>
                  <w:tcW w:w="379" w:type="pct"/>
                  <w:vAlign w:val="center"/>
                </w:tcPr>
                <w:p w14:paraId="29D9D436">
                  <w:pPr>
                    <w:keepNext w:val="0"/>
                    <w:keepLines w:val="0"/>
                    <w:pageBreakBefore w:val="0"/>
                    <w:widowControl/>
                    <w:kinsoku/>
                    <w:wordWrap/>
                    <w:overflowPunct/>
                    <w:topLinePunct w:val="0"/>
                    <w:autoSpaceDE/>
                    <w:autoSpaceDN/>
                    <w:bidi w:val="0"/>
                    <w:spacing w:line="240" w:lineRule="auto"/>
                    <w:jc w:val="center"/>
                    <w:textAlignment w:val="auto"/>
                    <w:rPr>
                      <w:b w:val="0"/>
                      <w:bCs/>
                      <w:color w:val="000000"/>
                      <w:sz w:val="21"/>
                      <w:szCs w:val="21"/>
                    </w:rPr>
                  </w:pPr>
                  <w:r>
                    <w:rPr>
                      <w:rFonts w:hint="eastAsia"/>
                      <w:b w:val="0"/>
                      <w:bCs/>
                      <w:color w:val="000000"/>
                      <w:sz w:val="21"/>
                      <w:szCs w:val="21"/>
                    </w:rPr>
                    <w:t>新建</w:t>
                  </w:r>
                </w:p>
              </w:tc>
            </w:tr>
          </w:tbl>
          <w:p w14:paraId="09AB9CCF">
            <w:pPr>
              <w:spacing w:line="360" w:lineRule="auto"/>
              <w:rPr>
                <w:b/>
                <w:sz w:val="24"/>
                <w:szCs w:val="24"/>
              </w:rPr>
            </w:pPr>
            <w:r>
              <w:rPr>
                <w:b/>
                <w:sz w:val="24"/>
                <w:szCs w:val="24"/>
              </w:rPr>
              <w:t>2、项目产品方案及规模</w:t>
            </w:r>
          </w:p>
          <w:p w14:paraId="4A0626C5">
            <w:pPr>
              <w:spacing w:line="240" w:lineRule="auto"/>
              <w:ind w:firstLine="480" w:firstLineChars="200"/>
              <w:contextualSpacing/>
              <w:rPr>
                <w:sz w:val="24"/>
                <w:szCs w:val="24"/>
              </w:rPr>
            </w:pPr>
            <w:r>
              <w:rPr>
                <w:rFonts w:hint="eastAsia"/>
                <w:sz w:val="24"/>
                <w:szCs w:val="24"/>
              </w:rPr>
              <w:t>项目</w:t>
            </w:r>
            <w:r>
              <w:rPr>
                <w:sz w:val="24"/>
              </w:rPr>
              <w:t>产品产能、规格见下表。</w:t>
            </w:r>
          </w:p>
          <w:p w14:paraId="1E58E7DB">
            <w:pPr>
              <w:adjustRightInd w:val="0"/>
              <w:snapToGrid w:val="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rPr>
              <w:t>2</w:t>
            </w:r>
            <w:r>
              <w:rPr>
                <w:b/>
                <w:color w:val="auto"/>
                <w:sz w:val="21"/>
                <w:szCs w:val="21"/>
              </w:rPr>
              <w:t>产品产能及规格一览表</w:t>
            </w:r>
          </w:p>
          <w:tbl>
            <w:tblPr>
              <w:tblStyle w:val="25"/>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439"/>
              <w:gridCol w:w="1200"/>
              <w:gridCol w:w="1125"/>
              <w:gridCol w:w="4409"/>
            </w:tblGrid>
            <w:tr w14:paraId="7438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48727C85">
                  <w:pPr>
                    <w:adjustRightInd w:val="0"/>
                    <w:snapToGrid w:val="0"/>
                    <w:jc w:val="center"/>
                    <w:rPr>
                      <w:b w:val="0"/>
                      <w:bCs w:val="0"/>
                      <w:szCs w:val="21"/>
                    </w:rPr>
                  </w:pPr>
                  <w:r>
                    <w:rPr>
                      <w:b w:val="0"/>
                      <w:bCs w:val="0"/>
                      <w:szCs w:val="21"/>
                    </w:rPr>
                    <w:t>序号</w:t>
                  </w:r>
                </w:p>
              </w:tc>
              <w:tc>
                <w:tcPr>
                  <w:tcW w:w="805" w:type="pct"/>
                  <w:vAlign w:val="center"/>
                </w:tcPr>
                <w:p w14:paraId="342AAC85">
                  <w:pPr>
                    <w:adjustRightInd w:val="0"/>
                    <w:snapToGrid w:val="0"/>
                    <w:ind w:left="57" w:hanging="56" w:hangingChars="27"/>
                    <w:jc w:val="center"/>
                    <w:rPr>
                      <w:b w:val="0"/>
                      <w:bCs w:val="0"/>
                      <w:szCs w:val="21"/>
                    </w:rPr>
                  </w:pPr>
                  <w:r>
                    <w:rPr>
                      <w:b w:val="0"/>
                      <w:bCs w:val="0"/>
                      <w:szCs w:val="21"/>
                    </w:rPr>
                    <w:t>产品</w:t>
                  </w:r>
                </w:p>
              </w:tc>
              <w:tc>
                <w:tcPr>
                  <w:tcW w:w="671" w:type="pct"/>
                  <w:vAlign w:val="center"/>
                </w:tcPr>
                <w:p w14:paraId="106658C8">
                  <w:pPr>
                    <w:adjustRightInd w:val="0"/>
                    <w:snapToGrid w:val="0"/>
                    <w:ind w:left="57" w:hanging="56" w:hangingChars="27"/>
                    <w:jc w:val="center"/>
                    <w:rPr>
                      <w:b w:val="0"/>
                      <w:bCs w:val="0"/>
                      <w:szCs w:val="21"/>
                    </w:rPr>
                  </w:pPr>
                  <w:r>
                    <w:rPr>
                      <w:b w:val="0"/>
                      <w:bCs w:val="0"/>
                      <w:szCs w:val="21"/>
                    </w:rPr>
                    <w:t>产能</w:t>
                  </w:r>
                </w:p>
              </w:tc>
              <w:tc>
                <w:tcPr>
                  <w:tcW w:w="629" w:type="pct"/>
                  <w:vAlign w:val="center"/>
                </w:tcPr>
                <w:p w14:paraId="5EAD675B">
                  <w:pPr>
                    <w:adjustRightInd w:val="0"/>
                    <w:snapToGrid w:val="0"/>
                    <w:jc w:val="center"/>
                    <w:rPr>
                      <w:rFonts w:hint="eastAsia" w:eastAsia="宋体"/>
                      <w:b w:val="0"/>
                      <w:bCs w:val="0"/>
                      <w:szCs w:val="21"/>
                      <w:lang w:eastAsia="zh-CN"/>
                    </w:rPr>
                  </w:pPr>
                  <w:r>
                    <w:rPr>
                      <w:rFonts w:hint="eastAsia"/>
                      <w:b w:val="0"/>
                      <w:bCs w:val="0"/>
                      <w:szCs w:val="21"/>
                      <w:lang w:eastAsia="zh-CN"/>
                    </w:rPr>
                    <w:t>单位</w:t>
                  </w:r>
                </w:p>
              </w:tc>
              <w:tc>
                <w:tcPr>
                  <w:tcW w:w="2466" w:type="pct"/>
                  <w:vAlign w:val="center"/>
                </w:tcPr>
                <w:p w14:paraId="3CEA0EA2">
                  <w:pPr>
                    <w:adjustRightInd w:val="0"/>
                    <w:snapToGrid w:val="0"/>
                    <w:jc w:val="center"/>
                    <w:rPr>
                      <w:rFonts w:hint="eastAsia"/>
                      <w:b w:val="0"/>
                      <w:bCs w:val="0"/>
                      <w:szCs w:val="21"/>
                      <w:lang w:eastAsia="zh-CN"/>
                    </w:rPr>
                  </w:pPr>
                  <w:r>
                    <w:rPr>
                      <w:rFonts w:hint="eastAsia"/>
                      <w:b w:val="0"/>
                      <w:bCs w:val="0"/>
                      <w:szCs w:val="21"/>
                      <w:lang w:eastAsia="zh-CN"/>
                    </w:rPr>
                    <w:t>规格</w:t>
                  </w:r>
                </w:p>
              </w:tc>
            </w:tr>
            <w:tr w14:paraId="4892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pct"/>
                  <w:vAlign w:val="center"/>
                </w:tcPr>
                <w:p w14:paraId="1791552A">
                  <w:pPr>
                    <w:adjustRightInd w:val="0"/>
                    <w:snapToGrid w:val="0"/>
                    <w:ind w:left="57" w:hanging="56" w:hangingChars="27"/>
                    <w:jc w:val="center"/>
                    <w:rPr>
                      <w:b w:val="0"/>
                      <w:bCs w:val="0"/>
                      <w:szCs w:val="21"/>
                    </w:rPr>
                  </w:pPr>
                  <w:r>
                    <w:rPr>
                      <w:b w:val="0"/>
                      <w:bCs w:val="0"/>
                      <w:szCs w:val="21"/>
                    </w:rPr>
                    <w:t>1</w:t>
                  </w:r>
                </w:p>
              </w:tc>
              <w:tc>
                <w:tcPr>
                  <w:tcW w:w="805" w:type="pct"/>
                  <w:vAlign w:val="center"/>
                </w:tcPr>
                <w:p w14:paraId="309E2442">
                  <w:pPr>
                    <w:jc w:val="center"/>
                    <w:rPr>
                      <w:rFonts w:hint="default" w:eastAsia="宋体"/>
                      <w:b w:val="0"/>
                      <w:bCs w:val="0"/>
                      <w:szCs w:val="21"/>
                      <w:lang w:val="en-US" w:eastAsia="zh-CN"/>
                    </w:rPr>
                  </w:pPr>
                  <w:r>
                    <w:rPr>
                      <w:rFonts w:hint="eastAsia"/>
                      <w:b w:val="0"/>
                      <w:bCs/>
                      <w:sz w:val="21"/>
                      <w:szCs w:val="21"/>
                      <w:lang w:eastAsia="zh-CN"/>
                    </w:rPr>
                    <w:t>超级多孔碳</w:t>
                  </w:r>
                </w:p>
              </w:tc>
              <w:tc>
                <w:tcPr>
                  <w:tcW w:w="671" w:type="pct"/>
                  <w:vAlign w:val="center"/>
                </w:tcPr>
                <w:p w14:paraId="116C8676">
                  <w:pPr>
                    <w:jc w:val="center"/>
                    <w:rPr>
                      <w:rFonts w:hint="default"/>
                      <w:b w:val="0"/>
                      <w:bCs w:val="0"/>
                      <w:szCs w:val="21"/>
                      <w:lang w:val="en-US"/>
                    </w:rPr>
                  </w:pPr>
                  <w:r>
                    <w:rPr>
                      <w:rFonts w:hint="eastAsia"/>
                      <w:b w:val="0"/>
                      <w:bCs/>
                      <w:sz w:val="21"/>
                      <w:szCs w:val="21"/>
                      <w:lang w:val="en-US" w:eastAsia="zh-CN"/>
                    </w:rPr>
                    <w:t>5000</w:t>
                  </w:r>
                </w:p>
              </w:tc>
              <w:tc>
                <w:tcPr>
                  <w:tcW w:w="629" w:type="pct"/>
                  <w:vAlign w:val="center"/>
                </w:tcPr>
                <w:p w14:paraId="0A9E0EFA">
                  <w:pPr>
                    <w:jc w:val="center"/>
                    <w:rPr>
                      <w:rFonts w:hint="default" w:ascii="Times New Roman" w:hAnsi="Times New Roman" w:eastAsia="宋体" w:cs="Times New Roman"/>
                      <w:b w:val="0"/>
                      <w:bCs w:val="0"/>
                      <w:sz w:val="21"/>
                      <w:szCs w:val="21"/>
                      <w:lang w:val="en-US" w:eastAsia="zh-CN"/>
                    </w:rPr>
                  </w:pPr>
                  <w:r>
                    <w:rPr>
                      <w:rFonts w:hint="eastAsia"/>
                      <w:b w:val="0"/>
                      <w:bCs/>
                      <w:sz w:val="21"/>
                      <w:szCs w:val="21"/>
                      <w:lang w:val="en-US" w:eastAsia="zh-CN"/>
                    </w:rPr>
                    <w:t>t</w:t>
                  </w:r>
                  <w:r>
                    <w:rPr>
                      <w:rFonts w:hint="eastAsia"/>
                      <w:b w:val="0"/>
                      <w:bCs/>
                      <w:sz w:val="21"/>
                      <w:szCs w:val="21"/>
                      <w:vertAlign w:val="baseline"/>
                      <w:lang w:val="en-US" w:eastAsia="zh-CN"/>
                    </w:rPr>
                    <w:t>/a</w:t>
                  </w:r>
                </w:p>
              </w:tc>
              <w:tc>
                <w:tcPr>
                  <w:tcW w:w="2466" w:type="pct"/>
                  <w:vAlign w:val="center"/>
                </w:tcPr>
                <w:p w14:paraId="41342E7D">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10kg/箱</w:t>
                  </w:r>
                  <w:r>
                    <w:rPr>
                      <w:rFonts w:hint="eastAsia" w:cs="Times New Roman"/>
                      <w:b w:val="0"/>
                      <w:bCs/>
                      <w:color w:val="auto"/>
                      <w:sz w:val="21"/>
                      <w:szCs w:val="21"/>
                      <w:lang w:val="en-US" w:eastAsia="zh-CN"/>
                    </w:rPr>
                    <w:t>；</w:t>
                  </w:r>
                </w:p>
                <w:p w14:paraId="1B2C42EE">
                  <w:pPr>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3"/>
                      <w:sz w:val="21"/>
                      <w:szCs w:val="21"/>
                    </w:rPr>
                    <w:t>炭粉粒径</w:t>
                  </w:r>
                  <w:r>
                    <w:rPr>
                      <w:rFonts w:hint="default" w:ascii="Times New Roman" w:hAnsi="Times New Roman" w:eastAsia="宋体" w:cs="Times New Roman"/>
                      <w:color w:val="auto"/>
                      <w:spacing w:val="-31"/>
                      <w:sz w:val="21"/>
                      <w:szCs w:val="21"/>
                    </w:rPr>
                    <w:t xml:space="preserve"> </w:t>
                  </w:r>
                  <w:r>
                    <w:rPr>
                      <w:rFonts w:hint="default" w:ascii="Times New Roman" w:hAnsi="Times New Roman" w:eastAsia="宋体" w:cs="Times New Roman"/>
                      <w:color w:val="auto"/>
                      <w:spacing w:val="3"/>
                      <w:sz w:val="21"/>
                      <w:szCs w:val="21"/>
                    </w:rPr>
                    <w:t>D50 6-8微米；</w:t>
                  </w:r>
                  <w:r>
                    <w:rPr>
                      <w:rFonts w:hint="default" w:ascii="Times New Roman" w:hAnsi="Times New Roman" w:eastAsia="宋体" w:cs="Times New Roman"/>
                      <w:color w:val="auto"/>
                      <w:spacing w:val="-57"/>
                      <w:sz w:val="21"/>
                      <w:szCs w:val="21"/>
                    </w:rPr>
                    <w:t xml:space="preserve"> </w:t>
                  </w:r>
                  <w:r>
                    <w:rPr>
                      <w:rFonts w:hint="default" w:ascii="Times New Roman" w:hAnsi="Times New Roman" w:eastAsia="宋体" w:cs="Times New Roman"/>
                      <w:color w:val="auto"/>
                      <w:spacing w:val="3"/>
                      <w:sz w:val="21"/>
                      <w:szCs w:val="21"/>
                    </w:rPr>
                    <w:t>比表面积约</w:t>
                  </w:r>
                  <w:r>
                    <w:rPr>
                      <w:rFonts w:hint="default" w:ascii="Times New Roman" w:hAnsi="Times New Roman" w:eastAsia="宋体" w:cs="Times New Roman"/>
                      <w:color w:val="auto"/>
                      <w:spacing w:val="1"/>
                      <w:sz w:val="21"/>
                      <w:szCs w:val="21"/>
                    </w:rPr>
                    <w:t>1700m</w:t>
                  </w:r>
                  <w:r>
                    <w:rPr>
                      <w:rFonts w:hint="eastAsia" w:ascii="Times New Roman" w:hAnsi="Times New Roman" w:eastAsia="宋体" w:cs="Times New Roman"/>
                      <w:color w:val="auto"/>
                      <w:spacing w:val="1"/>
                      <w:sz w:val="21"/>
                      <w:szCs w:val="21"/>
                      <w:vertAlign w:val="superscript"/>
                      <w:lang w:val="en-US" w:eastAsia="zh-CN"/>
                    </w:rPr>
                    <w:t>2</w:t>
                  </w:r>
                  <w:r>
                    <w:rPr>
                      <w:rFonts w:hint="default" w:ascii="Times New Roman" w:hAnsi="Times New Roman" w:eastAsia="宋体" w:cs="Times New Roman"/>
                      <w:color w:val="auto"/>
                      <w:spacing w:val="1"/>
                      <w:sz w:val="21"/>
                      <w:szCs w:val="21"/>
                    </w:rPr>
                    <w:t>/g</w:t>
                  </w:r>
                </w:p>
                <w:p w14:paraId="36401CAF">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color w:val="auto"/>
                      <w:spacing w:val="8"/>
                      <w:sz w:val="21"/>
                      <w:szCs w:val="21"/>
                      <w:highlight w:val="none"/>
                    </w:rPr>
                    <w:t>本项目产品执行《超级电容器用活性炭》（</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pacing w:val="8"/>
                      <w:sz w:val="21"/>
                      <w:szCs w:val="21"/>
                      <w:highlight w:val="none"/>
                    </w:rPr>
                    <w:t>/T 37386—2019</w:t>
                  </w:r>
                  <w:r>
                    <w:rPr>
                      <w:rFonts w:hint="default" w:ascii="Times New Roman" w:hAnsi="Times New Roman" w:eastAsia="宋体" w:cs="Times New Roman"/>
                      <w:color w:val="auto"/>
                      <w:spacing w:val="7"/>
                      <w:sz w:val="21"/>
                      <w:szCs w:val="21"/>
                      <w:highlight w:val="none"/>
                    </w:rPr>
                    <w:t>）标</w:t>
                  </w:r>
                  <w:r>
                    <w:rPr>
                      <w:rFonts w:hint="default" w:ascii="Times New Roman" w:hAnsi="Times New Roman" w:eastAsia="宋体" w:cs="Times New Roman"/>
                      <w:spacing w:val="7"/>
                      <w:sz w:val="21"/>
                      <w:szCs w:val="21"/>
                      <w:highlight w:val="none"/>
                    </w:rPr>
                    <w:t>准</w:t>
                  </w:r>
                </w:p>
              </w:tc>
            </w:tr>
          </w:tbl>
          <w:p w14:paraId="39D43A75">
            <w:pPr>
              <w:spacing w:line="360" w:lineRule="auto"/>
              <w:rPr>
                <w:b/>
                <w:sz w:val="24"/>
                <w:szCs w:val="24"/>
              </w:rPr>
            </w:pPr>
            <w:r>
              <w:rPr>
                <w:rFonts w:hint="eastAsia"/>
                <w:b/>
                <w:sz w:val="24"/>
                <w:szCs w:val="24"/>
                <w:lang w:val="en-US" w:eastAsia="zh-CN"/>
              </w:rPr>
              <w:t>3</w:t>
            </w:r>
            <w:r>
              <w:rPr>
                <w:b/>
                <w:sz w:val="24"/>
                <w:szCs w:val="24"/>
              </w:rPr>
              <w:t>、生产设施及设施参数</w:t>
            </w:r>
          </w:p>
          <w:p w14:paraId="0ABF37B0">
            <w:pPr>
              <w:spacing w:line="240" w:lineRule="auto"/>
              <w:jc w:val="center"/>
              <w:rPr>
                <w:b/>
                <w:iCs/>
                <w:color w:val="auto"/>
                <w:sz w:val="21"/>
                <w:szCs w:val="21"/>
              </w:rPr>
            </w:pPr>
            <w:r>
              <w:rPr>
                <w:b/>
                <w:iCs/>
                <w:color w:val="auto"/>
                <w:sz w:val="21"/>
                <w:szCs w:val="21"/>
              </w:rPr>
              <w:t>表</w:t>
            </w:r>
            <w:r>
              <w:rPr>
                <w:rFonts w:hint="eastAsia"/>
                <w:b/>
                <w:iCs/>
                <w:color w:val="auto"/>
                <w:sz w:val="21"/>
                <w:szCs w:val="21"/>
              </w:rPr>
              <w:t>2</w:t>
            </w:r>
            <w:r>
              <w:rPr>
                <w:b/>
                <w:iCs/>
                <w:color w:val="auto"/>
                <w:sz w:val="21"/>
                <w:szCs w:val="21"/>
              </w:rPr>
              <w:t>-</w:t>
            </w:r>
            <w:r>
              <w:rPr>
                <w:rFonts w:hint="eastAsia"/>
                <w:b/>
                <w:iCs/>
                <w:color w:val="auto"/>
                <w:sz w:val="21"/>
                <w:szCs w:val="21"/>
                <w:lang w:val="en-US" w:eastAsia="zh-CN"/>
              </w:rPr>
              <w:t xml:space="preserve">3 </w:t>
            </w:r>
            <w:r>
              <w:rPr>
                <w:rFonts w:hint="eastAsia"/>
                <w:b/>
                <w:iCs/>
                <w:color w:val="auto"/>
                <w:sz w:val="21"/>
                <w:szCs w:val="21"/>
                <w:lang w:eastAsia="zh-CN"/>
              </w:rPr>
              <w:t>项目</w:t>
            </w:r>
            <w:r>
              <w:rPr>
                <w:b/>
                <w:color w:val="auto"/>
                <w:sz w:val="21"/>
                <w:szCs w:val="21"/>
              </w:rPr>
              <w:t>生产设施</w:t>
            </w:r>
            <w:r>
              <w:rPr>
                <w:b/>
                <w:iCs/>
                <w:color w:val="auto"/>
                <w:sz w:val="21"/>
                <w:szCs w:val="21"/>
              </w:rPr>
              <w:t>一览表</w:t>
            </w:r>
          </w:p>
          <w:tbl>
            <w:tblPr>
              <w:tblStyle w:val="25"/>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655"/>
              <w:gridCol w:w="1650"/>
              <w:gridCol w:w="1289"/>
              <w:gridCol w:w="1140"/>
              <w:gridCol w:w="1555"/>
            </w:tblGrid>
            <w:tr w14:paraId="232A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 w:type="pct"/>
                  <w:shd w:val="clear" w:color="auto" w:fill="auto"/>
                  <w:vAlign w:val="center"/>
                </w:tcPr>
                <w:p w14:paraId="5EB46DCD">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1491" w:type="pct"/>
                  <w:shd w:val="clear" w:color="auto" w:fill="auto"/>
                  <w:vAlign w:val="center"/>
                </w:tcPr>
                <w:p w14:paraId="4724E3D8">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设备名称</w:t>
                  </w:r>
                </w:p>
              </w:tc>
              <w:tc>
                <w:tcPr>
                  <w:tcW w:w="927" w:type="pct"/>
                  <w:shd w:val="clear" w:color="auto" w:fill="auto"/>
                  <w:vAlign w:val="center"/>
                </w:tcPr>
                <w:p w14:paraId="7C13EA7E">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规格/型号</w:t>
                  </w:r>
                </w:p>
              </w:tc>
              <w:tc>
                <w:tcPr>
                  <w:tcW w:w="724" w:type="pct"/>
                  <w:shd w:val="clear" w:color="auto" w:fill="auto"/>
                  <w:vAlign w:val="center"/>
                </w:tcPr>
                <w:p w14:paraId="6B2D4782">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数量（台/套）</w:t>
                  </w:r>
                </w:p>
              </w:tc>
              <w:tc>
                <w:tcPr>
                  <w:tcW w:w="640" w:type="pct"/>
                  <w:shd w:val="clear" w:color="auto" w:fill="auto"/>
                  <w:vAlign w:val="center"/>
                </w:tcPr>
                <w:p w14:paraId="57587A73">
                  <w:pPr>
                    <w:spacing w:line="240" w:lineRule="auto"/>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位置</w:t>
                  </w:r>
                </w:p>
              </w:tc>
              <w:tc>
                <w:tcPr>
                  <w:tcW w:w="873" w:type="pct"/>
                  <w:shd w:val="clear" w:color="auto" w:fill="auto"/>
                  <w:vAlign w:val="center"/>
                </w:tcPr>
                <w:p w14:paraId="4C028DB3">
                  <w:pPr>
                    <w:spacing w:line="240" w:lineRule="auto"/>
                    <w:jc w:val="center"/>
                    <w:rPr>
                      <w:rFonts w:hint="eastAsia" w:ascii="Times New Roman" w:hAnsi="Times New Roman" w:eastAsia="宋体" w:cs="Times New Roman"/>
                      <w:b w:val="0"/>
                      <w:bCs/>
                      <w:color w:val="auto"/>
                      <w:sz w:val="21"/>
                      <w:szCs w:val="21"/>
                      <w:highlight w:val="none"/>
                      <w:lang w:eastAsia="zh-CN"/>
                    </w:rPr>
                  </w:pPr>
                  <w:r>
                    <w:rPr>
                      <w:rFonts w:hint="eastAsia" w:cs="Times New Roman"/>
                      <w:b w:val="0"/>
                      <w:bCs/>
                      <w:color w:val="auto"/>
                      <w:sz w:val="21"/>
                      <w:szCs w:val="21"/>
                      <w:highlight w:val="none"/>
                      <w:lang w:eastAsia="zh-CN"/>
                    </w:rPr>
                    <w:t>用途</w:t>
                  </w:r>
                </w:p>
              </w:tc>
            </w:tr>
            <w:tr w14:paraId="4F27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 w:type="pct"/>
                  <w:shd w:val="clear" w:color="auto" w:fill="auto"/>
                  <w:vAlign w:val="center"/>
                </w:tcPr>
                <w:p w14:paraId="441C8483">
                  <w:pPr>
                    <w:spacing w:line="240" w:lineRule="auto"/>
                    <w:jc w:val="center"/>
                    <w:rPr>
                      <w:rFonts w:hint="default" w:ascii="Times New Roman" w:hAnsi="Times New Roman" w:eastAsia="宋体" w:cs="Times New Roman"/>
                      <w:b w:val="0"/>
                      <w:bCs/>
                      <w:color w:val="auto"/>
                      <w:sz w:val="21"/>
                      <w:szCs w:val="21"/>
                      <w:highlight w:val="none"/>
                    </w:rPr>
                  </w:pPr>
                  <w:r>
                    <w:rPr>
                      <w:rFonts w:hint="eastAsia"/>
                      <w:b w:val="0"/>
                      <w:bCs/>
                      <w:sz w:val="21"/>
                      <w:szCs w:val="21"/>
                      <w:highlight w:val="none"/>
                    </w:rPr>
                    <w:t>1</w:t>
                  </w:r>
                </w:p>
              </w:tc>
              <w:tc>
                <w:tcPr>
                  <w:tcW w:w="1491" w:type="pct"/>
                  <w:shd w:val="clear" w:color="auto" w:fill="auto"/>
                  <w:vAlign w:val="center"/>
                </w:tcPr>
                <w:p w14:paraId="7B138A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除磁机</w:t>
                  </w:r>
                </w:p>
              </w:tc>
              <w:tc>
                <w:tcPr>
                  <w:tcW w:w="927" w:type="pct"/>
                  <w:shd w:val="clear" w:color="auto" w:fill="auto"/>
                  <w:vAlign w:val="center"/>
                </w:tcPr>
                <w:p w14:paraId="22A1C7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MPRM-500-2</w:t>
                  </w:r>
                </w:p>
              </w:tc>
              <w:tc>
                <w:tcPr>
                  <w:tcW w:w="724" w:type="pct"/>
                  <w:shd w:val="clear" w:color="auto" w:fill="auto"/>
                  <w:vAlign w:val="center"/>
                </w:tcPr>
                <w:p w14:paraId="59C469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30</w:t>
                  </w:r>
                </w:p>
              </w:tc>
              <w:tc>
                <w:tcPr>
                  <w:tcW w:w="640" w:type="pct"/>
                  <w:shd w:val="clear" w:color="auto" w:fill="auto"/>
                  <w:vAlign w:val="center"/>
                </w:tcPr>
                <w:p w14:paraId="1B0F59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77555E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原料除磁</w:t>
                  </w:r>
                </w:p>
              </w:tc>
            </w:tr>
            <w:tr w14:paraId="421B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 w:type="pct"/>
                  <w:shd w:val="clear" w:color="auto" w:fill="auto"/>
                  <w:vAlign w:val="center"/>
                </w:tcPr>
                <w:p w14:paraId="5EA64C8D">
                  <w:pPr>
                    <w:spacing w:line="240" w:lineRule="auto"/>
                    <w:jc w:val="center"/>
                    <w:rPr>
                      <w:rFonts w:hint="default" w:ascii="Times New Roman" w:hAnsi="Times New Roman" w:eastAsia="宋体" w:cs="Times New Roman"/>
                      <w:b w:val="0"/>
                      <w:bCs/>
                      <w:color w:val="auto"/>
                      <w:sz w:val="21"/>
                      <w:szCs w:val="21"/>
                      <w:highlight w:val="none"/>
                    </w:rPr>
                  </w:pPr>
                  <w:r>
                    <w:rPr>
                      <w:rFonts w:hint="eastAsia"/>
                      <w:b w:val="0"/>
                      <w:bCs/>
                      <w:sz w:val="21"/>
                      <w:szCs w:val="21"/>
                      <w:highlight w:val="none"/>
                    </w:rPr>
                    <w:t>2</w:t>
                  </w:r>
                </w:p>
              </w:tc>
              <w:tc>
                <w:tcPr>
                  <w:tcW w:w="1491" w:type="pct"/>
                  <w:shd w:val="clear" w:color="auto" w:fill="auto"/>
                  <w:vAlign w:val="center"/>
                </w:tcPr>
                <w:p w14:paraId="095E2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活化系统</w:t>
                  </w:r>
                </w:p>
              </w:tc>
              <w:tc>
                <w:tcPr>
                  <w:tcW w:w="927" w:type="pct"/>
                  <w:shd w:val="clear" w:color="auto" w:fill="auto"/>
                  <w:vAlign w:val="center"/>
                </w:tcPr>
                <w:p w14:paraId="77954E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非标定制</w:t>
                  </w:r>
                </w:p>
              </w:tc>
              <w:tc>
                <w:tcPr>
                  <w:tcW w:w="724" w:type="pct"/>
                  <w:shd w:val="clear" w:color="auto" w:fill="auto"/>
                  <w:vAlign w:val="center"/>
                </w:tcPr>
                <w:p w14:paraId="718F4C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15</w:t>
                  </w:r>
                </w:p>
              </w:tc>
              <w:tc>
                <w:tcPr>
                  <w:tcW w:w="640" w:type="pct"/>
                  <w:shd w:val="clear" w:color="auto" w:fill="auto"/>
                  <w:vAlign w:val="center"/>
                </w:tcPr>
                <w:p w14:paraId="1E9883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76A94D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活化原料</w:t>
                  </w:r>
                </w:p>
              </w:tc>
            </w:tr>
            <w:tr w14:paraId="3C90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 w:type="pct"/>
                  <w:shd w:val="clear" w:color="auto" w:fill="auto"/>
                  <w:vAlign w:val="center"/>
                </w:tcPr>
                <w:p w14:paraId="3480533D">
                  <w:pPr>
                    <w:spacing w:line="240" w:lineRule="auto"/>
                    <w:jc w:val="center"/>
                    <w:rPr>
                      <w:rFonts w:hint="default" w:ascii="Times New Roman" w:hAnsi="Times New Roman" w:eastAsia="宋体" w:cs="Times New Roman"/>
                      <w:b w:val="0"/>
                      <w:bCs/>
                      <w:sz w:val="21"/>
                      <w:szCs w:val="21"/>
                      <w:highlight w:val="none"/>
                    </w:rPr>
                  </w:pPr>
                  <w:r>
                    <w:rPr>
                      <w:rFonts w:hint="eastAsia"/>
                      <w:b w:val="0"/>
                      <w:bCs/>
                      <w:sz w:val="21"/>
                      <w:szCs w:val="21"/>
                      <w:highlight w:val="none"/>
                    </w:rPr>
                    <w:t>3</w:t>
                  </w:r>
                </w:p>
              </w:tc>
              <w:tc>
                <w:tcPr>
                  <w:tcW w:w="1491" w:type="pct"/>
                  <w:shd w:val="clear" w:color="auto" w:fill="auto"/>
                  <w:vAlign w:val="center"/>
                </w:tcPr>
                <w:p w14:paraId="46E019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酸洗系统（</w:t>
                  </w:r>
                  <w:r>
                    <w:rPr>
                      <w:rFonts w:hint="eastAsia" w:ascii="Times New Roman" w:hAnsi="Times New Roman" w:eastAsia="宋体" w:cs="Times New Roman"/>
                      <w:b w:val="0"/>
                      <w:bCs/>
                      <w:color w:val="auto"/>
                      <w:sz w:val="21"/>
                      <w:szCs w:val="21"/>
                      <w:highlight w:val="none"/>
                      <w:vertAlign w:val="baseline"/>
                      <w:lang w:val="en-US" w:eastAsia="zh-CN"/>
                    </w:rPr>
                    <w:t>每套</w:t>
                  </w:r>
                  <w:r>
                    <w:rPr>
                      <w:rFonts w:hint="default" w:ascii="Times New Roman" w:hAnsi="Times New Roman" w:eastAsia="宋体" w:cs="Times New Roman"/>
                      <w:b w:val="0"/>
                      <w:bCs/>
                      <w:color w:val="auto"/>
                      <w:sz w:val="21"/>
                      <w:szCs w:val="21"/>
                      <w:highlight w:val="none"/>
                      <w:vertAlign w:val="baseline"/>
                      <w:lang w:val="en-US" w:eastAsia="zh-CN"/>
                    </w:rPr>
                    <w:t>含</w:t>
                  </w:r>
                  <w:r>
                    <w:rPr>
                      <w:rFonts w:hint="eastAsia" w:ascii="Times New Roman" w:hAnsi="Times New Roman" w:eastAsia="宋体" w:cs="Times New Roman"/>
                      <w:b w:val="0"/>
                      <w:bCs/>
                      <w:color w:val="auto"/>
                      <w:sz w:val="21"/>
                      <w:szCs w:val="21"/>
                      <w:highlight w:val="none"/>
                      <w:vertAlign w:val="baseline"/>
                      <w:lang w:val="en-US" w:eastAsia="zh-CN"/>
                    </w:rPr>
                    <w:t>8个</w:t>
                  </w:r>
                  <w:r>
                    <w:rPr>
                      <w:rFonts w:hint="eastAsia" w:ascii="Times New Roman" w:hAnsi="Times New Roman" w:eastAsia="宋体" w:cs="Times New Roman"/>
                      <w:spacing w:val="1"/>
                      <w:sz w:val="21"/>
                      <w:szCs w:val="21"/>
                      <w:lang w:val="en-US" w:eastAsia="zh-CN"/>
                    </w:rPr>
                    <w:t>10m</w:t>
                  </w:r>
                  <w:r>
                    <w:rPr>
                      <w:rFonts w:hint="eastAsia" w:ascii="Times New Roman" w:hAnsi="Times New Roman" w:eastAsia="宋体" w:cs="Times New Roman"/>
                      <w:spacing w:val="1"/>
                      <w:sz w:val="21"/>
                      <w:szCs w:val="21"/>
                      <w:vertAlign w:val="superscript"/>
                      <w:lang w:val="en-US" w:eastAsia="zh-CN"/>
                    </w:rPr>
                    <w:t>3</w:t>
                  </w:r>
                  <w:r>
                    <w:rPr>
                      <w:rFonts w:hint="default" w:ascii="Times New Roman" w:hAnsi="Times New Roman" w:eastAsia="宋体" w:cs="Times New Roman"/>
                      <w:spacing w:val="1"/>
                      <w:sz w:val="21"/>
                      <w:szCs w:val="21"/>
                    </w:rPr>
                    <w:t>洗滤罐，</w:t>
                  </w:r>
                  <w:r>
                    <w:rPr>
                      <w:rFonts w:hint="default" w:ascii="Times New Roman" w:hAnsi="Times New Roman" w:eastAsia="宋体" w:cs="Times New Roman"/>
                      <w:b w:val="0"/>
                      <w:bCs/>
                      <w:color w:val="auto"/>
                      <w:sz w:val="21"/>
                      <w:szCs w:val="21"/>
                      <w:highlight w:val="none"/>
                      <w:vertAlign w:val="baseline"/>
                      <w:lang w:val="en-US" w:eastAsia="zh-CN"/>
                    </w:rPr>
                    <w:t>用于酸洗、水洗）</w:t>
                  </w:r>
                </w:p>
              </w:tc>
              <w:tc>
                <w:tcPr>
                  <w:tcW w:w="927" w:type="pct"/>
                  <w:shd w:val="clear" w:color="auto" w:fill="auto"/>
                  <w:vAlign w:val="center"/>
                </w:tcPr>
                <w:p w14:paraId="6F1375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非标定制</w:t>
                  </w:r>
                </w:p>
              </w:tc>
              <w:tc>
                <w:tcPr>
                  <w:tcW w:w="724" w:type="pct"/>
                  <w:shd w:val="clear" w:color="auto" w:fill="auto"/>
                  <w:vAlign w:val="center"/>
                </w:tcPr>
                <w:p w14:paraId="6CBF2D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5</w:t>
                  </w:r>
                </w:p>
              </w:tc>
              <w:tc>
                <w:tcPr>
                  <w:tcW w:w="640" w:type="pct"/>
                  <w:shd w:val="clear" w:color="auto" w:fill="auto"/>
                  <w:vAlign w:val="center"/>
                </w:tcPr>
                <w:p w14:paraId="64006C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07E9E8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除杂</w:t>
                  </w:r>
                </w:p>
              </w:tc>
            </w:tr>
            <w:tr w14:paraId="005B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228F85FE">
                  <w:pPr>
                    <w:spacing w:line="240" w:lineRule="auto"/>
                    <w:jc w:val="center"/>
                    <w:rPr>
                      <w:rFonts w:hint="eastAsia"/>
                      <w:b w:val="0"/>
                      <w:bCs/>
                      <w:sz w:val="21"/>
                      <w:szCs w:val="21"/>
                      <w:highlight w:val="none"/>
                    </w:rPr>
                  </w:pPr>
                  <w:r>
                    <w:rPr>
                      <w:rFonts w:hint="eastAsia"/>
                      <w:b w:val="0"/>
                      <w:bCs/>
                      <w:sz w:val="21"/>
                      <w:szCs w:val="21"/>
                      <w:highlight w:val="none"/>
                    </w:rPr>
                    <w:t>4</w:t>
                  </w:r>
                </w:p>
              </w:tc>
              <w:tc>
                <w:tcPr>
                  <w:tcW w:w="1491" w:type="pct"/>
                  <w:shd w:val="clear" w:color="auto" w:fill="auto"/>
                  <w:vAlign w:val="center"/>
                </w:tcPr>
                <w:p w14:paraId="5EAF3D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盐酸储罐</w:t>
                  </w:r>
                </w:p>
              </w:tc>
              <w:tc>
                <w:tcPr>
                  <w:tcW w:w="927" w:type="pct"/>
                  <w:shd w:val="clear" w:color="auto" w:fill="auto"/>
                  <w:vAlign w:val="center"/>
                </w:tcPr>
                <w:p w14:paraId="10DF78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lang w:val="en-US" w:eastAsia="zh-CN"/>
                    </w:rPr>
                    <w:t>容积5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ascii="Times New Roman" w:hAnsi="Times New Roman" w:eastAsia="宋体" w:cs="Times New Roman"/>
                      <w:color w:val="auto"/>
                      <w:spacing w:val="2"/>
                      <w:sz w:val="21"/>
                      <w:szCs w:val="21"/>
                      <w:vertAlign w:val="baseline"/>
                      <w:lang w:val="en-US" w:eastAsia="zh-CN"/>
                    </w:rPr>
                    <w:t>，</w:t>
                  </w:r>
                  <w:r>
                    <w:rPr>
                      <w:rFonts w:hint="eastAsia" w:cs="Times New Roman"/>
                      <w:b w:val="0"/>
                      <w:bCs/>
                      <w:color w:val="auto"/>
                      <w:kern w:val="2"/>
                      <w:sz w:val="21"/>
                      <w:szCs w:val="21"/>
                      <w:highlight w:val="none"/>
                      <w:lang w:val="en-US" w:eastAsia="zh-CN" w:bidi="ar-SA"/>
                    </w:rPr>
                    <w:t>直径1.8m，高度2m</w:t>
                  </w:r>
                </w:p>
              </w:tc>
              <w:tc>
                <w:tcPr>
                  <w:tcW w:w="724" w:type="pct"/>
                  <w:shd w:val="clear" w:color="auto" w:fill="auto"/>
                  <w:vAlign w:val="center"/>
                </w:tcPr>
                <w:p w14:paraId="716A4A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10</w:t>
                  </w:r>
                </w:p>
              </w:tc>
              <w:tc>
                <w:tcPr>
                  <w:tcW w:w="640" w:type="pct"/>
                  <w:shd w:val="clear" w:color="auto" w:fill="auto"/>
                  <w:vAlign w:val="center"/>
                </w:tcPr>
                <w:p w14:paraId="4DA691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7649B4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酸洗</w:t>
                  </w:r>
                </w:p>
              </w:tc>
            </w:tr>
            <w:tr w14:paraId="1978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42E8D361">
                  <w:pPr>
                    <w:spacing w:line="240" w:lineRule="auto"/>
                    <w:jc w:val="center"/>
                    <w:rPr>
                      <w:rFonts w:hint="eastAsia"/>
                      <w:b w:val="0"/>
                      <w:bCs/>
                      <w:sz w:val="21"/>
                      <w:szCs w:val="21"/>
                      <w:highlight w:val="none"/>
                    </w:rPr>
                  </w:pPr>
                  <w:r>
                    <w:rPr>
                      <w:rFonts w:hint="eastAsia"/>
                      <w:b w:val="0"/>
                      <w:bCs/>
                      <w:sz w:val="21"/>
                      <w:szCs w:val="21"/>
                      <w:highlight w:val="none"/>
                    </w:rPr>
                    <w:t>5</w:t>
                  </w:r>
                </w:p>
              </w:tc>
              <w:tc>
                <w:tcPr>
                  <w:tcW w:w="1491" w:type="pct"/>
                  <w:shd w:val="clear" w:color="auto" w:fill="auto"/>
                  <w:vAlign w:val="center"/>
                </w:tcPr>
                <w:p w14:paraId="0C5F90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液碱储罐</w:t>
                  </w:r>
                </w:p>
              </w:tc>
              <w:tc>
                <w:tcPr>
                  <w:tcW w:w="927" w:type="pct"/>
                  <w:shd w:val="clear" w:color="auto" w:fill="auto"/>
                  <w:vAlign w:val="center"/>
                </w:tcPr>
                <w:p w14:paraId="41A4F2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b w:val="0"/>
                      <w:bCs/>
                      <w:color w:val="auto"/>
                      <w:sz w:val="21"/>
                      <w:szCs w:val="21"/>
                      <w:lang w:val="en-US" w:eastAsia="zh-CN"/>
                    </w:rPr>
                    <w:t>容积5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ascii="Times New Roman" w:hAnsi="Times New Roman" w:eastAsia="宋体" w:cs="Times New Roman"/>
                      <w:color w:val="auto"/>
                      <w:spacing w:val="2"/>
                      <w:sz w:val="21"/>
                      <w:szCs w:val="21"/>
                      <w:vertAlign w:val="baseline"/>
                      <w:lang w:val="en-US" w:eastAsia="zh-CN"/>
                    </w:rPr>
                    <w:t>，</w:t>
                  </w:r>
                  <w:r>
                    <w:rPr>
                      <w:rFonts w:hint="eastAsia" w:cs="Times New Roman"/>
                      <w:b w:val="0"/>
                      <w:bCs/>
                      <w:color w:val="auto"/>
                      <w:kern w:val="2"/>
                      <w:sz w:val="21"/>
                      <w:szCs w:val="21"/>
                      <w:highlight w:val="none"/>
                      <w:lang w:val="en-US" w:eastAsia="zh-CN" w:bidi="ar-SA"/>
                    </w:rPr>
                    <w:t>直径1.8m，高度2m</w:t>
                  </w:r>
                </w:p>
              </w:tc>
              <w:tc>
                <w:tcPr>
                  <w:tcW w:w="724" w:type="pct"/>
                  <w:shd w:val="clear" w:color="auto" w:fill="auto"/>
                  <w:vAlign w:val="center"/>
                </w:tcPr>
                <w:p w14:paraId="2C7E32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6</w:t>
                  </w:r>
                </w:p>
              </w:tc>
              <w:tc>
                <w:tcPr>
                  <w:tcW w:w="640" w:type="pct"/>
                  <w:shd w:val="clear" w:color="auto" w:fill="auto"/>
                  <w:vAlign w:val="center"/>
                </w:tcPr>
                <w:p w14:paraId="67EBD3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1145AA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废水处理</w:t>
                  </w:r>
                </w:p>
              </w:tc>
            </w:tr>
            <w:tr w14:paraId="56DB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2CAABBBC">
                  <w:pPr>
                    <w:spacing w:line="240" w:lineRule="auto"/>
                    <w:jc w:val="center"/>
                    <w:rPr>
                      <w:rFonts w:hint="default" w:ascii="Times New Roman" w:hAnsi="Times New Roman" w:eastAsia="宋体" w:cs="Times New Roman"/>
                      <w:b w:val="0"/>
                      <w:bCs/>
                      <w:sz w:val="21"/>
                      <w:szCs w:val="21"/>
                      <w:highlight w:val="none"/>
                    </w:rPr>
                  </w:pPr>
                  <w:r>
                    <w:rPr>
                      <w:rFonts w:hint="eastAsia"/>
                      <w:b w:val="0"/>
                      <w:bCs/>
                      <w:sz w:val="21"/>
                      <w:szCs w:val="21"/>
                      <w:highlight w:val="none"/>
                    </w:rPr>
                    <w:t>6</w:t>
                  </w:r>
                </w:p>
              </w:tc>
              <w:tc>
                <w:tcPr>
                  <w:tcW w:w="1491" w:type="pct"/>
                  <w:shd w:val="clear" w:color="auto" w:fill="auto"/>
                  <w:vAlign w:val="center"/>
                </w:tcPr>
                <w:p w14:paraId="1B449A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离心机</w:t>
                  </w:r>
                </w:p>
              </w:tc>
              <w:tc>
                <w:tcPr>
                  <w:tcW w:w="927" w:type="pct"/>
                  <w:shd w:val="clear" w:color="auto" w:fill="auto"/>
                  <w:vAlign w:val="center"/>
                </w:tcPr>
                <w:p w14:paraId="519EE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w:t>
                  </w:r>
                </w:p>
              </w:tc>
              <w:tc>
                <w:tcPr>
                  <w:tcW w:w="724" w:type="pct"/>
                  <w:shd w:val="clear" w:color="auto" w:fill="auto"/>
                  <w:vAlign w:val="center"/>
                </w:tcPr>
                <w:p w14:paraId="5FC81D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vertAlign w:val="baseline"/>
                      <w:lang w:val="en-US" w:eastAsia="zh-CN"/>
                    </w:rPr>
                    <w:t>1</w:t>
                  </w:r>
                  <w:r>
                    <w:rPr>
                      <w:rFonts w:hint="eastAsia" w:cs="宋体"/>
                      <w:b w:val="0"/>
                      <w:bCs/>
                      <w:color w:val="auto"/>
                      <w:sz w:val="21"/>
                      <w:szCs w:val="21"/>
                      <w:highlight w:val="none"/>
                      <w:vertAlign w:val="baseline"/>
                      <w:lang w:val="en-US" w:eastAsia="zh-CN"/>
                    </w:rPr>
                    <w:t>5</w:t>
                  </w:r>
                </w:p>
              </w:tc>
              <w:tc>
                <w:tcPr>
                  <w:tcW w:w="640" w:type="pct"/>
                  <w:shd w:val="clear" w:color="auto" w:fill="auto"/>
                  <w:vAlign w:val="center"/>
                </w:tcPr>
                <w:p w14:paraId="5524EA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004CF1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初步干燥</w:t>
                  </w:r>
                </w:p>
              </w:tc>
            </w:tr>
            <w:tr w14:paraId="6943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7126FE24">
                  <w:pPr>
                    <w:spacing w:line="240" w:lineRule="auto"/>
                    <w:jc w:val="center"/>
                    <w:rPr>
                      <w:rFonts w:hint="default" w:ascii="Times New Roman" w:hAnsi="Times New Roman" w:eastAsia="宋体" w:cs="Times New Roman"/>
                      <w:b w:val="0"/>
                      <w:bCs/>
                      <w:sz w:val="21"/>
                      <w:szCs w:val="21"/>
                      <w:highlight w:val="none"/>
                    </w:rPr>
                  </w:pPr>
                  <w:r>
                    <w:rPr>
                      <w:rFonts w:hint="eastAsia"/>
                      <w:b w:val="0"/>
                      <w:bCs/>
                      <w:color w:val="auto"/>
                      <w:sz w:val="21"/>
                      <w:szCs w:val="21"/>
                      <w:highlight w:val="none"/>
                    </w:rPr>
                    <w:t>7</w:t>
                  </w:r>
                </w:p>
              </w:tc>
              <w:tc>
                <w:tcPr>
                  <w:tcW w:w="1491" w:type="pct"/>
                  <w:shd w:val="clear" w:color="auto" w:fill="auto"/>
                  <w:vAlign w:val="center"/>
                </w:tcPr>
                <w:p w14:paraId="1C4E0D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干燥回转炉</w:t>
                  </w:r>
                </w:p>
              </w:tc>
              <w:tc>
                <w:tcPr>
                  <w:tcW w:w="927" w:type="pct"/>
                  <w:shd w:val="clear" w:color="auto" w:fill="auto"/>
                  <w:vAlign w:val="center"/>
                </w:tcPr>
                <w:p w14:paraId="15A59B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非标定制</w:t>
                  </w:r>
                </w:p>
              </w:tc>
              <w:tc>
                <w:tcPr>
                  <w:tcW w:w="724" w:type="pct"/>
                  <w:shd w:val="clear" w:color="auto" w:fill="auto"/>
                  <w:vAlign w:val="center"/>
                </w:tcPr>
                <w:p w14:paraId="319F7C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5</w:t>
                  </w:r>
                </w:p>
              </w:tc>
              <w:tc>
                <w:tcPr>
                  <w:tcW w:w="640" w:type="pct"/>
                  <w:shd w:val="clear" w:color="auto" w:fill="auto"/>
                  <w:vAlign w:val="center"/>
                </w:tcPr>
                <w:p w14:paraId="18B166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0EA3F4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干燥</w:t>
                  </w:r>
                </w:p>
              </w:tc>
            </w:tr>
            <w:tr w14:paraId="14BA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18EFE7CA">
                  <w:pPr>
                    <w:spacing w:line="240" w:lineRule="auto"/>
                    <w:jc w:val="center"/>
                    <w:rPr>
                      <w:rFonts w:hint="default" w:ascii="Times New Roman" w:hAnsi="Times New Roman" w:eastAsia="宋体" w:cs="Times New Roman"/>
                      <w:b w:val="0"/>
                      <w:bCs/>
                      <w:sz w:val="21"/>
                      <w:szCs w:val="21"/>
                      <w:highlight w:val="none"/>
                    </w:rPr>
                  </w:pPr>
                  <w:r>
                    <w:rPr>
                      <w:rFonts w:hint="eastAsia"/>
                      <w:b w:val="0"/>
                      <w:bCs/>
                      <w:sz w:val="21"/>
                      <w:szCs w:val="21"/>
                      <w:highlight w:val="none"/>
                    </w:rPr>
                    <w:t>8</w:t>
                  </w:r>
                </w:p>
              </w:tc>
              <w:tc>
                <w:tcPr>
                  <w:tcW w:w="1491" w:type="pct"/>
                  <w:shd w:val="clear" w:color="auto" w:fill="auto"/>
                  <w:vAlign w:val="center"/>
                </w:tcPr>
                <w:p w14:paraId="444CF0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辊道炉</w:t>
                  </w:r>
                </w:p>
              </w:tc>
              <w:tc>
                <w:tcPr>
                  <w:tcW w:w="927" w:type="pct"/>
                  <w:shd w:val="clear" w:color="auto" w:fill="auto"/>
                  <w:vAlign w:val="center"/>
                </w:tcPr>
                <w:p w14:paraId="2B8774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非标定制</w:t>
                  </w:r>
                </w:p>
              </w:tc>
              <w:tc>
                <w:tcPr>
                  <w:tcW w:w="724" w:type="pct"/>
                  <w:shd w:val="clear" w:color="auto" w:fill="auto"/>
                  <w:vAlign w:val="center"/>
                </w:tcPr>
                <w:p w14:paraId="311A4A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10</w:t>
                  </w:r>
                </w:p>
              </w:tc>
              <w:tc>
                <w:tcPr>
                  <w:tcW w:w="640" w:type="pct"/>
                  <w:shd w:val="clear" w:color="auto" w:fill="auto"/>
                  <w:vAlign w:val="center"/>
                </w:tcPr>
                <w:p w14:paraId="58C377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4C32E2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lang w:val="en-US" w:eastAsia="zh-CN"/>
                    </w:rPr>
                  </w:pPr>
                  <w:r>
                    <w:rPr>
                      <w:rFonts w:hint="eastAsia"/>
                      <w:color w:val="auto"/>
                      <w:lang w:val="en-US" w:eastAsia="zh-CN"/>
                    </w:rPr>
                    <w:t>纯化</w:t>
                  </w:r>
                </w:p>
              </w:tc>
            </w:tr>
            <w:tr w14:paraId="5DE3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66D23C9E">
                  <w:pPr>
                    <w:spacing w:line="240" w:lineRule="auto"/>
                    <w:jc w:val="center"/>
                    <w:rPr>
                      <w:rFonts w:hint="eastAsia"/>
                      <w:b w:val="0"/>
                      <w:bCs/>
                      <w:color w:val="auto"/>
                      <w:sz w:val="21"/>
                      <w:szCs w:val="21"/>
                      <w:highlight w:val="none"/>
                    </w:rPr>
                  </w:pPr>
                  <w:r>
                    <w:rPr>
                      <w:rFonts w:hint="eastAsia"/>
                      <w:b w:val="0"/>
                      <w:bCs/>
                      <w:sz w:val="21"/>
                      <w:szCs w:val="21"/>
                      <w:highlight w:val="none"/>
                    </w:rPr>
                    <w:t>9</w:t>
                  </w:r>
                </w:p>
              </w:tc>
              <w:tc>
                <w:tcPr>
                  <w:tcW w:w="1491" w:type="pct"/>
                  <w:shd w:val="clear" w:color="auto" w:fill="auto"/>
                  <w:vAlign w:val="center"/>
                </w:tcPr>
                <w:p w14:paraId="03A7ED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eastAsia="zh-CN"/>
                    </w:rPr>
                  </w:pPr>
                  <w:r>
                    <w:rPr>
                      <w:rFonts w:hint="eastAsia" w:cs="宋体"/>
                      <w:b w:val="0"/>
                      <w:bCs/>
                      <w:color w:val="auto"/>
                      <w:sz w:val="21"/>
                      <w:szCs w:val="21"/>
                      <w:highlight w:val="none"/>
                      <w:vertAlign w:val="baseline"/>
                      <w:lang w:val="en-US" w:eastAsia="zh-CN"/>
                    </w:rPr>
                    <w:t>空压机</w:t>
                  </w:r>
                </w:p>
              </w:tc>
              <w:tc>
                <w:tcPr>
                  <w:tcW w:w="927" w:type="pct"/>
                  <w:shd w:val="clear" w:color="auto" w:fill="auto"/>
                  <w:vAlign w:val="center"/>
                </w:tcPr>
                <w:p w14:paraId="340F92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w:t>
                  </w:r>
                </w:p>
              </w:tc>
              <w:tc>
                <w:tcPr>
                  <w:tcW w:w="724" w:type="pct"/>
                  <w:shd w:val="clear" w:color="auto" w:fill="auto"/>
                  <w:vAlign w:val="center"/>
                </w:tcPr>
                <w:p w14:paraId="68532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5</w:t>
                  </w:r>
                </w:p>
              </w:tc>
              <w:tc>
                <w:tcPr>
                  <w:tcW w:w="640" w:type="pct"/>
                  <w:shd w:val="clear" w:color="auto" w:fill="auto"/>
                  <w:vAlign w:val="center"/>
                </w:tcPr>
                <w:p w14:paraId="30616F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空压机房</w:t>
                  </w:r>
                </w:p>
              </w:tc>
              <w:tc>
                <w:tcPr>
                  <w:tcW w:w="873" w:type="pct"/>
                  <w:shd w:val="clear" w:color="auto" w:fill="auto"/>
                  <w:vAlign w:val="center"/>
                </w:tcPr>
                <w:p w14:paraId="311AEB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设备用气</w:t>
                  </w:r>
                </w:p>
              </w:tc>
            </w:tr>
            <w:tr w14:paraId="1046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5B53FB5F">
                  <w:pPr>
                    <w:spacing w:line="240" w:lineRule="auto"/>
                    <w:jc w:val="center"/>
                    <w:rPr>
                      <w:rFonts w:hint="default" w:ascii="Times New Roman" w:hAnsi="Times New Roman" w:eastAsia="宋体" w:cs="Times New Roman"/>
                      <w:b w:val="0"/>
                      <w:bCs/>
                      <w:sz w:val="21"/>
                      <w:szCs w:val="21"/>
                      <w:highlight w:val="none"/>
                      <w:lang w:eastAsia="zh-CN"/>
                    </w:rPr>
                  </w:pPr>
                  <w:r>
                    <w:rPr>
                      <w:rFonts w:hint="eastAsia"/>
                      <w:b w:val="0"/>
                      <w:bCs/>
                      <w:sz w:val="21"/>
                      <w:szCs w:val="21"/>
                      <w:highlight w:val="none"/>
                    </w:rPr>
                    <w:t>10</w:t>
                  </w:r>
                </w:p>
              </w:tc>
              <w:tc>
                <w:tcPr>
                  <w:tcW w:w="1491" w:type="pct"/>
                  <w:shd w:val="clear" w:color="auto" w:fill="auto"/>
                  <w:vAlign w:val="center"/>
                </w:tcPr>
                <w:p w14:paraId="10E8F2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制氮</w:t>
                  </w:r>
                  <w:r>
                    <w:rPr>
                      <w:rFonts w:hint="eastAsia" w:ascii="Times New Roman" w:hAnsi="Times New Roman" w:eastAsia="宋体" w:cs="宋体"/>
                      <w:b w:val="0"/>
                      <w:bCs/>
                      <w:color w:val="auto"/>
                      <w:sz w:val="21"/>
                      <w:szCs w:val="21"/>
                      <w:highlight w:val="none"/>
                      <w:vertAlign w:val="baseline"/>
                      <w:lang w:val="en-US" w:eastAsia="zh-CN"/>
                    </w:rPr>
                    <w:t>机</w:t>
                  </w:r>
                </w:p>
              </w:tc>
              <w:tc>
                <w:tcPr>
                  <w:tcW w:w="927" w:type="pct"/>
                  <w:shd w:val="clear" w:color="auto" w:fill="auto"/>
                  <w:vAlign w:val="center"/>
                </w:tcPr>
                <w:p w14:paraId="470457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w:t>
                  </w:r>
                </w:p>
              </w:tc>
              <w:tc>
                <w:tcPr>
                  <w:tcW w:w="724" w:type="pct"/>
                  <w:shd w:val="clear" w:color="auto" w:fill="auto"/>
                  <w:vAlign w:val="center"/>
                </w:tcPr>
                <w:p w14:paraId="316BD1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3</w:t>
                  </w:r>
                </w:p>
              </w:tc>
              <w:tc>
                <w:tcPr>
                  <w:tcW w:w="640" w:type="pct"/>
                  <w:shd w:val="clear" w:color="auto" w:fill="auto"/>
                  <w:vAlign w:val="center"/>
                </w:tcPr>
                <w:p w14:paraId="298D7A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空压机房</w:t>
                  </w:r>
                </w:p>
              </w:tc>
              <w:tc>
                <w:tcPr>
                  <w:tcW w:w="873" w:type="pct"/>
                  <w:shd w:val="clear" w:color="auto" w:fill="auto"/>
                  <w:vAlign w:val="center"/>
                </w:tcPr>
                <w:p w14:paraId="7F1C98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保护气氛</w:t>
                  </w:r>
                </w:p>
              </w:tc>
            </w:tr>
            <w:tr w14:paraId="6C32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7F533415">
                  <w:pPr>
                    <w:spacing w:line="240" w:lineRule="auto"/>
                    <w:jc w:val="center"/>
                    <w:rPr>
                      <w:rFonts w:hint="default" w:ascii="Times New Roman" w:hAnsi="Times New Roman" w:eastAsia="宋体" w:cs="Times New Roman"/>
                      <w:b w:val="0"/>
                      <w:bCs/>
                      <w:sz w:val="21"/>
                      <w:szCs w:val="21"/>
                      <w:highlight w:val="none"/>
                      <w:lang w:val="en-US" w:eastAsia="zh-CN"/>
                    </w:rPr>
                  </w:pPr>
                  <w:r>
                    <w:rPr>
                      <w:rFonts w:hint="eastAsia"/>
                      <w:b w:val="0"/>
                      <w:bCs/>
                      <w:sz w:val="21"/>
                      <w:szCs w:val="21"/>
                      <w:highlight w:val="none"/>
                    </w:rPr>
                    <w:t>11</w:t>
                  </w:r>
                </w:p>
              </w:tc>
              <w:tc>
                <w:tcPr>
                  <w:tcW w:w="1491" w:type="pct"/>
                  <w:shd w:val="clear" w:color="auto" w:fill="auto"/>
                  <w:vAlign w:val="center"/>
                </w:tcPr>
                <w:p w14:paraId="4D30D1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粉碎系统（配套超声波振动筛）</w:t>
                  </w:r>
                </w:p>
              </w:tc>
              <w:tc>
                <w:tcPr>
                  <w:tcW w:w="927" w:type="pct"/>
                  <w:shd w:val="clear" w:color="auto" w:fill="auto"/>
                  <w:vAlign w:val="center"/>
                </w:tcPr>
                <w:p w14:paraId="55F46E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w:t>
                  </w:r>
                </w:p>
              </w:tc>
              <w:tc>
                <w:tcPr>
                  <w:tcW w:w="724" w:type="pct"/>
                  <w:shd w:val="clear" w:color="auto" w:fill="auto"/>
                  <w:vAlign w:val="center"/>
                </w:tcPr>
                <w:p w14:paraId="030648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10</w:t>
                  </w:r>
                </w:p>
              </w:tc>
              <w:tc>
                <w:tcPr>
                  <w:tcW w:w="640" w:type="pct"/>
                  <w:shd w:val="clear" w:color="auto" w:fill="auto"/>
                  <w:vAlign w:val="center"/>
                </w:tcPr>
                <w:p w14:paraId="44E726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457E9C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物料粉碎</w:t>
                  </w:r>
                </w:p>
              </w:tc>
            </w:tr>
            <w:tr w14:paraId="4266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5793D730">
                  <w:pPr>
                    <w:spacing w:line="240" w:lineRule="auto"/>
                    <w:jc w:val="center"/>
                    <w:rPr>
                      <w:rFonts w:hint="default" w:ascii="Times New Roman" w:hAnsi="Times New Roman" w:eastAsia="宋体" w:cs="Times New Roman"/>
                      <w:b w:val="0"/>
                      <w:bCs/>
                      <w:sz w:val="21"/>
                      <w:szCs w:val="21"/>
                      <w:highlight w:val="none"/>
                      <w:lang w:val="en-US" w:eastAsia="zh-CN"/>
                    </w:rPr>
                  </w:pPr>
                  <w:r>
                    <w:rPr>
                      <w:rFonts w:hint="eastAsia"/>
                      <w:b w:val="0"/>
                      <w:bCs/>
                      <w:sz w:val="21"/>
                      <w:szCs w:val="21"/>
                      <w:highlight w:val="none"/>
                    </w:rPr>
                    <w:t>12</w:t>
                  </w:r>
                </w:p>
              </w:tc>
              <w:tc>
                <w:tcPr>
                  <w:tcW w:w="1491" w:type="pct"/>
                  <w:shd w:val="clear" w:color="auto" w:fill="auto"/>
                  <w:vAlign w:val="center"/>
                </w:tcPr>
                <w:p w14:paraId="138088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真空包装机</w:t>
                  </w:r>
                </w:p>
              </w:tc>
              <w:tc>
                <w:tcPr>
                  <w:tcW w:w="927" w:type="pct"/>
                  <w:shd w:val="clear" w:color="auto" w:fill="auto"/>
                  <w:vAlign w:val="center"/>
                </w:tcPr>
                <w:p w14:paraId="50DDEF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w:t>
                  </w:r>
                </w:p>
              </w:tc>
              <w:tc>
                <w:tcPr>
                  <w:tcW w:w="724" w:type="pct"/>
                  <w:shd w:val="clear" w:color="auto" w:fill="auto"/>
                  <w:vAlign w:val="center"/>
                </w:tcPr>
                <w:p w14:paraId="78EF2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宋体"/>
                      <w:b w:val="0"/>
                      <w:bCs/>
                      <w:color w:val="auto"/>
                      <w:sz w:val="21"/>
                      <w:szCs w:val="21"/>
                      <w:highlight w:val="none"/>
                      <w:vertAlign w:val="baseline"/>
                      <w:lang w:val="en-US" w:eastAsia="zh-CN"/>
                    </w:rPr>
                    <w:t>1</w:t>
                  </w:r>
                  <w:r>
                    <w:rPr>
                      <w:rFonts w:hint="eastAsia" w:cs="宋体"/>
                      <w:b w:val="0"/>
                      <w:bCs/>
                      <w:color w:val="auto"/>
                      <w:sz w:val="21"/>
                      <w:szCs w:val="21"/>
                      <w:highlight w:val="none"/>
                      <w:vertAlign w:val="baseline"/>
                      <w:lang w:val="en-US" w:eastAsia="zh-CN"/>
                    </w:rPr>
                    <w:t>0</w:t>
                  </w:r>
                </w:p>
              </w:tc>
              <w:tc>
                <w:tcPr>
                  <w:tcW w:w="640" w:type="pct"/>
                  <w:shd w:val="clear" w:color="auto" w:fill="auto"/>
                  <w:vAlign w:val="center"/>
                </w:tcPr>
                <w:p w14:paraId="732E30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68D33B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成品包装</w:t>
                  </w:r>
                </w:p>
              </w:tc>
            </w:tr>
            <w:tr w14:paraId="49AE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9" w:type="dxa"/>
                  <w:shd w:val="clear" w:color="auto" w:fill="auto"/>
                  <w:vAlign w:val="center"/>
                </w:tcPr>
                <w:p w14:paraId="52C272B3">
                  <w:pPr>
                    <w:spacing w:line="240" w:lineRule="auto"/>
                    <w:jc w:val="center"/>
                    <w:rPr>
                      <w:rFonts w:hint="default" w:ascii="Times New Roman" w:hAnsi="Times New Roman" w:eastAsia="宋体" w:cs="Times New Roman"/>
                      <w:b w:val="0"/>
                      <w:bCs/>
                      <w:sz w:val="21"/>
                      <w:szCs w:val="21"/>
                      <w:highlight w:val="none"/>
                      <w:lang w:val="en-US" w:eastAsia="zh-CN"/>
                    </w:rPr>
                  </w:pPr>
                  <w:r>
                    <w:rPr>
                      <w:rFonts w:hint="eastAsia"/>
                      <w:b w:val="0"/>
                      <w:bCs/>
                      <w:sz w:val="21"/>
                      <w:szCs w:val="21"/>
                      <w:highlight w:val="none"/>
                      <w:lang w:val="en-US" w:eastAsia="zh-CN"/>
                    </w:rPr>
                    <w:t>13</w:t>
                  </w:r>
                </w:p>
              </w:tc>
              <w:tc>
                <w:tcPr>
                  <w:tcW w:w="1491" w:type="pct"/>
                  <w:shd w:val="clear" w:color="auto" w:fill="auto"/>
                  <w:vAlign w:val="center"/>
                </w:tcPr>
                <w:p w14:paraId="5E4591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蒸汽发生器</w:t>
                  </w:r>
                </w:p>
              </w:tc>
              <w:tc>
                <w:tcPr>
                  <w:tcW w:w="927" w:type="pct"/>
                  <w:shd w:val="clear" w:color="auto" w:fill="auto"/>
                  <w:vAlign w:val="center"/>
                </w:tcPr>
                <w:p w14:paraId="0F1475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宋体"/>
                      <w:b w:val="0"/>
                      <w:bCs/>
                      <w:color w:val="auto"/>
                      <w:sz w:val="21"/>
                      <w:szCs w:val="21"/>
                      <w:highlight w:val="none"/>
                      <w:vertAlign w:val="baseline"/>
                      <w:lang w:val="en-US" w:eastAsia="zh-CN"/>
                    </w:rPr>
                    <w:t>产气量100kg/h</w:t>
                  </w:r>
                </w:p>
              </w:tc>
              <w:tc>
                <w:tcPr>
                  <w:tcW w:w="724" w:type="pct"/>
                  <w:shd w:val="clear" w:color="auto" w:fill="auto"/>
                  <w:vAlign w:val="center"/>
                </w:tcPr>
                <w:p w14:paraId="5E327B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宋体"/>
                      <w:b w:val="0"/>
                      <w:bCs/>
                      <w:color w:val="auto"/>
                      <w:sz w:val="21"/>
                      <w:szCs w:val="21"/>
                      <w:highlight w:val="none"/>
                      <w:vertAlign w:val="baseline"/>
                      <w:lang w:val="en-US" w:eastAsia="zh-CN"/>
                    </w:rPr>
                    <w:t>1</w:t>
                  </w:r>
                  <w:r>
                    <w:rPr>
                      <w:rFonts w:hint="eastAsia" w:ascii="Times New Roman" w:hAnsi="Times New Roman" w:eastAsia="宋体" w:cs="宋体"/>
                      <w:b w:val="0"/>
                      <w:bCs/>
                      <w:color w:val="auto"/>
                      <w:sz w:val="21"/>
                      <w:szCs w:val="21"/>
                      <w:highlight w:val="none"/>
                      <w:vertAlign w:val="baseline"/>
                      <w:lang w:val="en-US" w:eastAsia="zh-CN"/>
                    </w:rPr>
                    <w:t>5</w:t>
                  </w:r>
                </w:p>
              </w:tc>
              <w:tc>
                <w:tcPr>
                  <w:tcW w:w="640" w:type="pct"/>
                  <w:shd w:val="clear" w:color="auto" w:fill="auto"/>
                  <w:vAlign w:val="center"/>
                </w:tcPr>
                <w:p w14:paraId="4AAC36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0A582A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活化原料</w:t>
                  </w:r>
                </w:p>
              </w:tc>
            </w:tr>
            <w:tr w14:paraId="01BC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2" w:type="pct"/>
                  <w:shd w:val="clear" w:color="auto" w:fill="auto"/>
                  <w:vAlign w:val="center"/>
                </w:tcPr>
                <w:p w14:paraId="37CE7F85">
                  <w:pPr>
                    <w:spacing w:line="240" w:lineRule="auto"/>
                    <w:jc w:val="center"/>
                    <w:rPr>
                      <w:rFonts w:hint="eastAsia" w:ascii="Times New Roman" w:hAnsi="Times New Roman" w:eastAsia="宋体" w:cs="Times New Roman"/>
                      <w:b w:val="0"/>
                      <w:bCs/>
                      <w:sz w:val="21"/>
                      <w:szCs w:val="21"/>
                      <w:highlight w:val="none"/>
                      <w:lang w:val="en-US" w:eastAsia="zh-CN"/>
                    </w:rPr>
                  </w:pPr>
                  <w:r>
                    <w:rPr>
                      <w:rFonts w:hint="eastAsia"/>
                      <w:b w:val="0"/>
                      <w:bCs/>
                      <w:sz w:val="21"/>
                      <w:szCs w:val="21"/>
                      <w:highlight w:val="none"/>
                    </w:rPr>
                    <w:t>1</w:t>
                  </w:r>
                  <w:r>
                    <w:rPr>
                      <w:rFonts w:hint="eastAsia"/>
                      <w:b w:val="0"/>
                      <w:bCs/>
                      <w:sz w:val="21"/>
                      <w:szCs w:val="21"/>
                      <w:highlight w:val="none"/>
                      <w:lang w:val="en-US" w:eastAsia="zh-CN"/>
                    </w:rPr>
                    <w:t>4</w:t>
                  </w:r>
                </w:p>
              </w:tc>
              <w:tc>
                <w:tcPr>
                  <w:tcW w:w="1491" w:type="pct"/>
                  <w:shd w:val="clear" w:color="auto" w:fill="auto"/>
                  <w:vAlign w:val="top"/>
                </w:tcPr>
                <w:p w14:paraId="1AC22AA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spacing w:val="5"/>
                      <w:sz w:val="21"/>
                      <w:szCs w:val="21"/>
                    </w:rPr>
                    <w:t>冷却水塔</w:t>
                  </w:r>
                </w:p>
              </w:tc>
              <w:tc>
                <w:tcPr>
                  <w:tcW w:w="927" w:type="pct"/>
                  <w:shd w:val="clear" w:color="auto" w:fill="auto"/>
                  <w:vAlign w:val="center"/>
                </w:tcPr>
                <w:p w14:paraId="6AF91F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lang w:val="en-US" w:eastAsia="zh-CN" w:bidi="ar-SA"/>
                    </w:rPr>
                    <w:t>循环水量100</w:t>
                  </w:r>
                  <w:r>
                    <w:rPr>
                      <w:rFonts w:hint="default" w:ascii="Times New Roman" w:hAnsi="Times New Roman" w:eastAsia="宋体" w:cs="Times New Roman"/>
                      <w:spacing w:val="1"/>
                      <w:sz w:val="21"/>
                      <w:szCs w:val="21"/>
                    </w:rPr>
                    <w:t>m</w:t>
                  </w:r>
                  <w:r>
                    <w:rPr>
                      <w:rFonts w:hint="eastAsia" w:ascii="Times New Roman" w:hAnsi="Times New Roman" w:eastAsia="宋体" w:cs="Times New Roman"/>
                      <w:spacing w:val="1"/>
                      <w:sz w:val="21"/>
                      <w:szCs w:val="21"/>
                      <w:vertAlign w:val="superscript"/>
                      <w:lang w:val="en-US" w:eastAsia="zh-CN"/>
                    </w:rPr>
                    <w:t>3</w:t>
                  </w:r>
                  <w:r>
                    <w:rPr>
                      <w:rFonts w:hint="eastAsia" w:cs="Times New Roman"/>
                      <w:spacing w:val="1"/>
                      <w:sz w:val="21"/>
                      <w:szCs w:val="21"/>
                      <w:vertAlign w:val="baseline"/>
                      <w:lang w:val="en-US" w:eastAsia="zh-CN"/>
                    </w:rPr>
                    <w:t>/h</w:t>
                  </w:r>
                </w:p>
              </w:tc>
              <w:tc>
                <w:tcPr>
                  <w:tcW w:w="724" w:type="pct"/>
                  <w:shd w:val="clear" w:color="auto" w:fill="auto"/>
                  <w:vAlign w:val="center"/>
                </w:tcPr>
                <w:p w14:paraId="61CEB4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w:t>
                  </w:r>
                </w:p>
              </w:tc>
              <w:tc>
                <w:tcPr>
                  <w:tcW w:w="640" w:type="pct"/>
                  <w:shd w:val="clear" w:color="auto" w:fill="auto"/>
                  <w:vAlign w:val="center"/>
                </w:tcPr>
                <w:p w14:paraId="3052C2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347E8F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回转炉、辊道炉冷却</w:t>
                  </w:r>
                </w:p>
              </w:tc>
            </w:tr>
            <w:tr w14:paraId="7B65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42" w:type="pct"/>
                  <w:shd w:val="clear" w:color="auto" w:fill="auto"/>
                  <w:vAlign w:val="center"/>
                </w:tcPr>
                <w:p w14:paraId="02638E9E">
                  <w:pPr>
                    <w:spacing w:line="240" w:lineRule="auto"/>
                    <w:jc w:val="center"/>
                    <w:rPr>
                      <w:rFonts w:hint="default" w:eastAsia="宋体"/>
                      <w:b w:val="0"/>
                      <w:bCs/>
                      <w:sz w:val="21"/>
                      <w:szCs w:val="21"/>
                      <w:highlight w:val="none"/>
                      <w:lang w:val="en-US" w:eastAsia="zh-CN"/>
                    </w:rPr>
                  </w:pPr>
                  <w:r>
                    <w:rPr>
                      <w:rFonts w:hint="eastAsia"/>
                      <w:b w:val="0"/>
                      <w:bCs/>
                      <w:sz w:val="21"/>
                      <w:szCs w:val="21"/>
                      <w:highlight w:val="none"/>
                      <w:lang w:val="en-US" w:eastAsia="zh-CN"/>
                    </w:rPr>
                    <w:t>15</w:t>
                  </w:r>
                </w:p>
              </w:tc>
              <w:tc>
                <w:tcPr>
                  <w:tcW w:w="1491" w:type="pct"/>
                  <w:shd w:val="clear" w:color="auto" w:fill="auto"/>
                  <w:vAlign w:val="top"/>
                </w:tcPr>
                <w:p w14:paraId="75A24F9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spacing w:val="5"/>
                      <w:sz w:val="21"/>
                      <w:szCs w:val="21"/>
                    </w:rPr>
                    <w:t>制纯水机</w:t>
                  </w:r>
                </w:p>
              </w:tc>
              <w:tc>
                <w:tcPr>
                  <w:tcW w:w="927" w:type="pct"/>
                  <w:shd w:val="clear" w:color="auto" w:fill="auto"/>
                  <w:vAlign w:val="center"/>
                </w:tcPr>
                <w:p w14:paraId="57102C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产水率10t/h</w:t>
                  </w:r>
                </w:p>
              </w:tc>
              <w:tc>
                <w:tcPr>
                  <w:tcW w:w="724" w:type="pct"/>
                  <w:shd w:val="clear" w:color="auto" w:fill="auto"/>
                  <w:vAlign w:val="center"/>
                </w:tcPr>
                <w:p w14:paraId="6B2D9F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5</w:t>
                  </w:r>
                </w:p>
              </w:tc>
              <w:tc>
                <w:tcPr>
                  <w:tcW w:w="640" w:type="pct"/>
                  <w:shd w:val="clear" w:color="auto" w:fill="auto"/>
                  <w:vAlign w:val="center"/>
                </w:tcPr>
                <w:p w14:paraId="759F8A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车间</w:t>
                  </w:r>
                </w:p>
              </w:tc>
              <w:tc>
                <w:tcPr>
                  <w:tcW w:w="873" w:type="pct"/>
                  <w:shd w:val="clear" w:color="auto" w:fill="auto"/>
                  <w:vAlign w:val="center"/>
                </w:tcPr>
                <w:p w14:paraId="55729B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宋体"/>
                      <w:b w:val="0"/>
                      <w:bCs/>
                      <w:color w:val="auto"/>
                      <w:sz w:val="21"/>
                      <w:szCs w:val="21"/>
                      <w:highlight w:val="none"/>
                      <w:vertAlign w:val="baseline"/>
                      <w:lang w:val="en-US" w:eastAsia="zh-CN"/>
                    </w:rPr>
                  </w:pPr>
                  <w:r>
                    <w:rPr>
                      <w:rFonts w:hint="eastAsia" w:cs="宋体"/>
                      <w:b w:val="0"/>
                      <w:bCs/>
                      <w:color w:val="auto"/>
                      <w:sz w:val="21"/>
                      <w:szCs w:val="21"/>
                      <w:highlight w:val="none"/>
                      <w:vertAlign w:val="baseline"/>
                      <w:lang w:val="en-US" w:eastAsia="zh-CN"/>
                    </w:rPr>
                    <w:t>制纯水</w:t>
                  </w:r>
                </w:p>
              </w:tc>
            </w:tr>
          </w:tbl>
          <w:p w14:paraId="6CBFA248">
            <w:pPr>
              <w:spacing w:line="360" w:lineRule="auto"/>
              <w:rPr>
                <w:b/>
                <w:color w:val="auto"/>
                <w:sz w:val="24"/>
                <w:szCs w:val="24"/>
              </w:rPr>
            </w:pPr>
            <w:r>
              <w:rPr>
                <w:rFonts w:hint="eastAsia"/>
                <w:b/>
                <w:color w:val="auto"/>
                <w:sz w:val="24"/>
                <w:szCs w:val="24"/>
                <w:lang w:val="en-US" w:eastAsia="zh-CN"/>
              </w:rPr>
              <w:t>设备与产能匹配性：</w:t>
            </w:r>
          </w:p>
          <w:p w14:paraId="196608A8">
            <w:pPr>
              <w:adjustRightInd w:val="0"/>
              <w:snapToGrid w:val="0"/>
              <w:jc w:val="center"/>
              <w:rPr>
                <w:b/>
                <w:bCs/>
                <w:iCs/>
                <w:color w:val="auto"/>
                <w:sz w:val="21"/>
                <w:szCs w:val="21"/>
              </w:rPr>
            </w:pPr>
            <w:r>
              <w:rPr>
                <w:b/>
                <w:iCs/>
                <w:color w:val="auto"/>
                <w:sz w:val="21"/>
                <w:szCs w:val="21"/>
              </w:rPr>
              <w:t>表</w:t>
            </w:r>
            <w:r>
              <w:rPr>
                <w:rFonts w:hint="eastAsia"/>
                <w:b/>
                <w:iCs/>
                <w:color w:val="auto"/>
                <w:sz w:val="21"/>
                <w:szCs w:val="21"/>
              </w:rPr>
              <w:t>2</w:t>
            </w:r>
            <w:r>
              <w:rPr>
                <w:b/>
                <w:iCs/>
                <w:color w:val="auto"/>
                <w:sz w:val="21"/>
                <w:szCs w:val="21"/>
              </w:rPr>
              <w:t>-</w:t>
            </w:r>
            <w:r>
              <w:rPr>
                <w:rFonts w:hint="eastAsia"/>
                <w:b/>
                <w:iCs/>
                <w:color w:val="auto"/>
                <w:sz w:val="21"/>
                <w:szCs w:val="21"/>
                <w:lang w:val="en-US" w:eastAsia="zh-CN"/>
              </w:rPr>
              <w:t>4</w:t>
            </w:r>
            <w:r>
              <w:rPr>
                <w:b/>
                <w:iCs/>
                <w:color w:val="auto"/>
                <w:sz w:val="21"/>
                <w:szCs w:val="21"/>
              </w:rPr>
              <w:t xml:space="preserve"> </w:t>
            </w:r>
            <w:r>
              <w:rPr>
                <w:b/>
                <w:bCs/>
                <w:iCs/>
                <w:color w:val="auto"/>
                <w:sz w:val="21"/>
                <w:szCs w:val="21"/>
              </w:rPr>
              <w:t>主要</w:t>
            </w:r>
            <w:r>
              <w:rPr>
                <w:rFonts w:hint="eastAsia"/>
                <w:b/>
                <w:bCs/>
                <w:iCs/>
                <w:color w:val="auto"/>
                <w:sz w:val="21"/>
                <w:szCs w:val="21"/>
                <w:lang w:eastAsia="zh-CN"/>
              </w:rPr>
              <w:t>工段设备与产能匹配性分析</w:t>
            </w:r>
            <w:r>
              <w:rPr>
                <w:b/>
                <w:bCs/>
                <w:iCs/>
                <w:color w:val="auto"/>
                <w:sz w:val="21"/>
                <w:szCs w:val="21"/>
              </w:rPr>
              <w:t>一览表</w:t>
            </w:r>
          </w:p>
          <w:tbl>
            <w:tblPr>
              <w:tblStyle w:val="25"/>
              <w:tblW w:w="8936"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1339"/>
              <w:gridCol w:w="1048"/>
              <w:gridCol w:w="1788"/>
              <w:gridCol w:w="1340"/>
              <w:gridCol w:w="1271"/>
              <w:gridCol w:w="1247"/>
            </w:tblGrid>
            <w:tr w14:paraId="461E590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903" w:type="dxa"/>
                  <w:vAlign w:val="center"/>
                </w:tcPr>
                <w:p w14:paraId="10E335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eastAsia="zh-CN"/>
                    </w:rPr>
                  </w:pPr>
                  <w:r>
                    <w:rPr>
                      <w:rFonts w:hint="eastAsia"/>
                      <w:b w:val="0"/>
                      <w:bCs/>
                      <w:sz w:val="21"/>
                      <w:szCs w:val="21"/>
                      <w:lang w:eastAsia="zh-CN"/>
                    </w:rPr>
                    <w:t>工序</w:t>
                  </w:r>
                </w:p>
              </w:tc>
              <w:tc>
                <w:tcPr>
                  <w:tcW w:w="1339" w:type="dxa"/>
                  <w:tcBorders>
                    <w:left w:val="single" w:color="auto" w:sz="4" w:space="0"/>
                  </w:tcBorders>
                  <w:vAlign w:val="center"/>
                </w:tcPr>
                <w:p w14:paraId="62357593">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color w:val="auto"/>
                      <w:sz w:val="21"/>
                      <w:szCs w:val="21"/>
                      <w:lang w:eastAsia="zh-CN"/>
                    </w:rPr>
                    <w:t>设备</w:t>
                  </w:r>
                  <w:r>
                    <w:rPr>
                      <w:rFonts w:hint="default" w:ascii="Times New Roman" w:hAnsi="Times New Roman" w:eastAsia="宋体" w:cs="Times New Roman"/>
                      <w:b w:val="0"/>
                      <w:bCs/>
                      <w:color w:val="auto"/>
                      <w:sz w:val="21"/>
                      <w:szCs w:val="21"/>
                      <w:lang w:eastAsia="zh-CN"/>
                    </w:rPr>
                    <w:t>名称</w:t>
                  </w:r>
                </w:p>
              </w:tc>
              <w:tc>
                <w:tcPr>
                  <w:tcW w:w="1048" w:type="dxa"/>
                  <w:tcBorders>
                    <w:right w:val="single" w:color="auto" w:sz="4" w:space="0"/>
                  </w:tcBorders>
                  <w:vAlign w:val="center"/>
                </w:tcPr>
                <w:p w14:paraId="7C0832F7">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设备数量</w:t>
                  </w:r>
                </w:p>
              </w:tc>
              <w:tc>
                <w:tcPr>
                  <w:tcW w:w="1788" w:type="dxa"/>
                  <w:tcBorders>
                    <w:right w:val="single" w:color="auto" w:sz="4" w:space="0"/>
                  </w:tcBorders>
                  <w:vAlign w:val="center"/>
                </w:tcPr>
                <w:p w14:paraId="61279E51">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每台设备处理能力（出料）</w:t>
                  </w:r>
                </w:p>
              </w:tc>
              <w:tc>
                <w:tcPr>
                  <w:tcW w:w="1340" w:type="dxa"/>
                  <w:tcBorders>
                    <w:left w:val="single" w:color="auto" w:sz="4" w:space="0"/>
                    <w:right w:val="single" w:color="auto" w:sz="4" w:space="0"/>
                  </w:tcBorders>
                  <w:vAlign w:val="center"/>
                </w:tcPr>
                <w:p w14:paraId="61C59F7F">
                  <w:pPr>
                    <w:pStyle w:val="44"/>
                    <w:keepNext w:val="0"/>
                    <w:keepLines w:val="0"/>
                    <w:pageBreakBefore w:val="0"/>
                    <w:kinsoku/>
                    <w:wordWrap/>
                    <w:overflowPunct/>
                    <w:topLinePunct w:val="0"/>
                    <w:autoSpaceDE/>
                    <w:autoSpaceDN/>
                    <w:bidi w:val="0"/>
                    <w:spacing w:line="240" w:lineRule="auto"/>
                    <w:textAlignment w:val="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年运行时间</w:t>
                  </w:r>
                </w:p>
              </w:tc>
              <w:tc>
                <w:tcPr>
                  <w:tcW w:w="1271" w:type="dxa"/>
                  <w:tcBorders>
                    <w:left w:val="single" w:color="auto" w:sz="4" w:space="0"/>
                    <w:right w:val="single" w:color="auto" w:sz="4" w:space="0"/>
                  </w:tcBorders>
                  <w:vAlign w:val="center"/>
                </w:tcPr>
                <w:p w14:paraId="053B8AF5">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iCs/>
                      <w:color w:val="auto"/>
                      <w:sz w:val="21"/>
                      <w:szCs w:val="21"/>
                      <w:lang w:val="en-US" w:eastAsia="zh-CN"/>
                    </w:rPr>
                  </w:pPr>
                  <w:r>
                    <w:rPr>
                      <w:rFonts w:hint="eastAsia" w:ascii="Times New Roman" w:hAnsi="Times New Roman" w:cs="Times New Roman"/>
                      <w:b w:val="0"/>
                      <w:bCs w:val="0"/>
                      <w:iCs/>
                      <w:color w:val="auto"/>
                      <w:sz w:val="21"/>
                      <w:szCs w:val="21"/>
                      <w:lang w:eastAsia="zh-CN"/>
                    </w:rPr>
                    <w:t>设计最大产能（</w:t>
                  </w:r>
                  <w:r>
                    <w:rPr>
                      <w:rFonts w:hint="eastAsia" w:ascii="Times New Roman" w:hAnsi="Times New Roman" w:cs="Times New Roman"/>
                      <w:b w:val="0"/>
                      <w:bCs w:val="0"/>
                      <w:iCs/>
                      <w:color w:val="auto"/>
                      <w:sz w:val="21"/>
                      <w:szCs w:val="21"/>
                      <w:lang w:val="en-US" w:eastAsia="zh-CN"/>
                    </w:rPr>
                    <w:t>t/a）</w:t>
                  </w:r>
                </w:p>
              </w:tc>
              <w:tc>
                <w:tcPr>
                  <w:tcW w:w="1247" w:type="dxa"/>
                  <w:tcBorders>
                    <w:left w:val="single" w:color="auto" w:sz="4" w:space="0"/>
                    <w:right w:val="single" w:color="auto" w:sz="4" w:space="0"/>
                  </w:tcBorders>
                  <w:vAlign w:val="center"/>
                </w:tcPr>
                <w:p w14:paraId="24E4C6E1">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iCs/>
                      <w:color w:val="auto"/>
                      <w:sz w:val="21"/>
                      <w:szCs w:val="21"/>
                      <w:lang w:eastAsia="zh-CN"/>
                    </w:rPr>
                  </w:pPr>
                  <w:r>
                    <w:rPr>
                      <w:rFonts w:hint="eastAsia" w:ascii="Times New Roman" w:hAnsi="Times New Roman" w:cs="Times New Roman"/>
                      <w:b w:val="0"/>
                      <w:bCs w:val="0"/>
                      <w:iCs/>
                      <w:color w:val="auto"/>
                      <w:sz w:val="21"/>
                      <w:szCs w:val="21"/>
                      <w:lang w:eastAsia="zh-CN"/>
                    </w:rPr>
                    <w:t>本次环评产能（</w:t>
                  </w:r>
                  <w:r>
                    <w:rPr>
                      <w:rFonts w:hint="eastAsia" w:ascii="Times New Roman" w:hAnsi="Times New Roman" w:cs="Times New Roman"/>
                      <w:b w:val="0"/>
                      <w:bCs w:val="0"/>
                      <w:iCs/>
                      <w:color w:val="auto"/>
                      <w:sz w:val="21"/>
                      <w:szCs w:val="21"/>
                      <w:lang w:val="en-US" w:eastAsia="zh-CN"/>
                    </w:rPr>
                    <w:t>t/a）</w:t>
                  </w:r>
                </w:p>
              </w:tc>
            </w:tr>
            <w:tr w14:paraId="48E25B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03" w:type="dxa"/>
                  <w:vAlign w:val="center"/>
                </w:tcPr>
                <w:p w14:paraId="29A652DB">
                  <w:pPr>
                    <w:jc w:val="center"/>
                    <w:rPr>
                      <w:rFonts w:hint="eastAsia"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eastAsia="zh-CN"/>
                    </w:rPr>
                    <w:t>活化</w:t>
                  </w:r>
                </w:p>
              </w:tc>
              <w:tc>
                <w:tcPr>
                  <w:tcW w:w="1339" w:type="dxa"/>
                  <w:tcBorders>
                    <w:left w:val="single" w:color="auto" w:sz="4" w:space="0"/>
                  </w:tcBorders>
                  <w:vAlign w:val="center"/>
                </w:tcPr>
                <w:p w14:paraId="4C4CDF85">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活化炉</w:t>
                  </w:r>
                </w:p>
              </w:tc>
              <w:tc>
                <w:tcPr>
                  <w:tcW w:w="1048" w:type="dxa"/>
                  <w:tcBorders>
                    <w:right w:val="single" w:color="auto" w:sz="4" w:space="0"/>
                  </w:tcBorders>
                  <w:vAlign w:val="center"/>
                </w:tcPr>
                <w:p w14:paraId="106EBC09">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15</w:t>
                  </w:r>
                </w:p>
              </w:tc>
              <w:tc>
                <w:tcPr>
                  <w:tcW w:w="1788" w:type="dxa"/>
                  <w:tcBorders>
                    <w:right w:val="single" w:color="auto" w:sz="4" w:space="0"/>
                  </w:tcBorders>
                  <w:vAlign w:val="center"/>
                </w:tcPr>
                <w:p w14:paraId="5E511E61">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iCs/>
                      <w:color w:val="auto"/>
                      <w:sz w:val="21"/>
                      <w:szCs w:val="21"/>
                      <w:lang w:val="en-US" w:eastAsia="zh-CN"/>
                    </w:rPr>
                    <w:t>0.05</w:t>
                  </w:r>
                  <w:r>
                    <w:rPr>
                      <w:rFonts w:hint="eastAsia" w:ascii="Times New Roman" w:hAnsi="Times New Roman" w:cs="Times New Roman"/>
                      <w:b w:val="0"/>
                      <w:bCs w:val="0"/>
                      <w:iCs/>
                      <w:color w:val="auto"/>
                      <w:sz w:val="21"/>
                      <w:szCs w:val="21"/>
                      <w:lang w:val="en-US" w:eastAsia="zh-CN"/>
                    </w:rPr>
                    <w:t>t/</w:t>
                  </w:r>
                  <w:r>
                    <w:rPr>
                      <w:rFonts w:hint="eastAsia" w:cs="Times New Roman"/>
                      <w:b w:val="0"/>
                      <w:bCs w:val="0"/>
                      <w:iCs/>
                      <w:color w:val="auto"/>
                      <w:sz w:val="21"/>
                      <w:szCs w:val="21"/>
                      <w:lang w:val="en-US" w:eastAsia="zh-CN"/>
                    </w:rPr>
                    <w:t>h</w:t>
                  </w:r>
                </w:p>
              </w:tc>
              <w:tc>
                <w:tcPr>
                  <w:tcW w:w="1340" w:type="dxa"/>
                  <w:tcBorders>
                    <w:left w:val="single" w:color="auto" w:sz="4" w:space="0"/>
                    <w:right w:val="single" w:color="auto" w:sz="4" w:space="0"/>
                  </w:tcBorders>
                  <w:vAlign w:val="center"/>
                </w:tcPr>
                <w:p w14:paraId="2E3104C9">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7200h</w:t>
                  </w:r>
                </w:p>
              </w:tc>
              <w:tc>
                <w:tcPr>
                  <w:tcW w:w="1271" w:type="dxa"/>
                  <w:tcBorders>
                    <w:left w:val="single" w:color="auto" w:sz="4" w:space="0"/>
                    <w:right w:val="single" w:color="auto" w:sz="4" w:space="0"/>
                  </w:tcBorders>
                  <w:vAlign w:val="center"/>
                </w:tcPr>
                <w:p w14:paraId="3B8026E1">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cs="Times New Roman"/>
                      <w:b w:val="0"/>
                      <w:bCs w:val="0"/>
                      <w:iCs/>
                      <w:color w:val="auto"/>
                      <w:sz w:val="21"/>
                      <w:szCs w:val="21"/>
                      <w:highlight w:val="none"/>
                      <w:lang w:val="en-US" w:eastAsia="zh-CN"/>
                    </w:rPr>
                    <w:t>5400</w:t>
                  </w:r>
                </w:p>
              </w:tc>
              <w:tc>
                <w:tcPr>
                  <w:tcW w:w="1247" w:type="dxa"/>
                  <w:vMerge w:val="restart"/>
                  <w:tcBorders>
                    <w:left w:val="single" w:color="auto" w:sz="4" w:space="0"/>
                    <w:right w:val="single" w:color="auto" w:sz="4" w:space="0"/>
                  </w:tcBorders>
                  <w:vAlign w:val="center"/>
                </w:tcPr>
                <w:p w14:paraId="1ABD3D0C">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5000</w:t>
                  </w:r>
                </w:p>
              </w:tc>
            </w:tr>
            <w:tr w14:paraId="19A662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903" w:type="dxa"/>
                  <w:vAlign w:val="center"/>
                </w:tcPr>
                <w:p w14:paraId="3E004681">
                  <w:pPr>
                    <w:jc w:val="center"/>
                    <w:rPr>
                      <w:rFonts w:hint="eastAsia"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eastAsia="zh-CN"/>
                    </w:rPr>
                    <w:t>酸洗</w:t>
                  </w:r>
                </w:p>
              </w:tc>
              <w:tc>
                <w:tcPr>
                  <w:tcW w:w="1339" w:type="dxa"/>
                  <w:tcBorders>
                    <w:left w:val="single" w:color="auto" w:sz="4" w:space="0"/>
                  </w:tcBorders>
                  <w:vAlign w:val="center"/>
                </w:tcPr>
                <w:p w14:paraId="1F41C451">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洗滤罐</w:t>
                  </w:r>
                </w:p>
              </w:tc>
              <w:tc>
                <w:tcPr>
                  <w:tcW w:w="1048" w:type="dxa"/>
                  <w:tcBorders>
                    <w:right w:val="single" w:color="auto" w:sz="4" w:space="0"/>
                  </w:tcBorders>
                  <w:vAlign w:val="center"/>
                </w:tcPr>
                <w:p w14:paraId="3728FF34">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p>
              </w:tc>
              <w:tc>
                <w:tcPr>
                  <w:tcW w:w="1788" w:type="dxa"/>
                  <w:tcBorders>
                    <w:right w:val="single" w:color="auto" w:sz="4" w:space="0"/>
                  </w:tcBorders>
                  <w:vAlign w:val="center"/>
                </w:tcPr>
                <w:p w14:paraId="4C9BF2CB">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0.5t/d</w:t>
                  </w:r>
                </w:p>
              </w:tc>
              <w:tc>
                <w:tcPr>
                  <w:tcW w:w="1340" w:type="dxa"/>
                  <w:tcBorders>
                    <w:left w:val="single" w:color="auto" w:sz="4" w:space="0"/>
                    <w:right w:val="single" w:color="auto" w:sz="4" w:space="0"/>
                  </w:tcBorders>
                  <w:vAlign w:val="center"/>
                </w:tcPr>
                <w:p w14:paraId="071916F2">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300d</w:t>
                  </w:r>
                </w:p>
              </w:tc>
              <w:tc>
                <w:tcPr>
                  <w:tcW w:w="1271" w:type="dxa"/>
                  <w:tcBorders>
                    <w:left w:val="single" w:color="auto" w:sz="4" w:space="0"/>
                    <w:right w:val="single" w:color="auto" w:sz="4" w:space="0"/>
                  </w:tcBorders>
                  <w:vAlign w:val="center"/>
                </w:tcPr>
                <w:p w14:paraId="580A9AF0">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cs="Times New Roman"/>
                      <w:b w:val="0"/>
                      <w:bCs w:val="0"/>
                      <w:iCs/>
                      <w:color w:val="auto"/>
                      <w:sz w:val="21"/>
                      <w:szCs w:val="21"/>
                      <w:highlight w:val="none"/>
                      <w:lang w:val="en-US" w:eastAsia="zh-CN"/>
                    </w:rPr>
                    <w:t>6000</w:t>
                  </w:r>
                </w:p>
              </w:tc>
              <w:tc>
                <w:tcPr>
                  <w:tcW w:w="1247" w:type="dxa"/>
                  <w:vMerge w:val="continue"/>
                  <w:tcBorders>
                    <w:left w:val="single" w:color="auto" w:sz="4" w:space="0"/>
                    <w:right w:val="single" w:color="auto" w:sz="4" w:space="0"/>
                  </w:tcBorders>
                  <w:vAlign w:val="center"/>
                </w:tcPr>
                <w:p w14:paraId="69C424AE">
                  <w:pPr>
                    <w:jc w:val="center"/>
                    <w:rPr>
                      <w:rFonts w:hint="default" w:ascii="Times New Roman" w:hAnsi="Times New Roman" w:eastAsia="宋体" w:cs="Times New Roman"/>
                      <w:b w:val="0"/>
                      <w:bCs w:val="0"/>
                      <w:color w:val="auto"/>
                      <w:sz w:val="21"/>
                      <w:szCs w:val="21"/>
                      <w:highlight w:val="none"/>
                      <w:lang w:eastAsia="zh-CN"/>
                    </w:rPr>
                  </w:pPr>
                </w:p>
              </w:tc>
            </w:tr>
            <w:tr w14:paraId="747301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3" w:type="dxa"/>
                  <w:vAlign w:val="center"/>
                </w:tcPr>
                <w:p w14:paraId="3223BC44">
                  <w:pPr>
                    <w:jc w:val="center"/>
                    <w:rPr>
                      <w:rFonts w:hint="eastAsia"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eastAsia="zh-CN"/>
                    </w:rPr>
                    <w:t>纯化</w:t>
                  </w:r>
                </w:p>
              </w:tc>
              <w:tc>
                <w:tcPr>
                  <w:tcW w:w="1339" w:type="dxa"/>
                  <w:tcBorders>
                    <w:left w:val="single" w:color="auto" w:sz="4" w:space="0"/>
                  </w:tcBorders>
                  <w:vAlign w:val="center"/>
                </w:tcPr>
                <w:p w14:paraId="110DD1CD">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辊道炉</w:t>
                  </w:r>
                </w:p>
              </w:tc>
              <w:tc>
                <w:tcPr>
                  <w:tcW w:w="1048" w:type="dxa"/>
                  <w:tcBorders>
                    <w:right w:val="single" w:color="auto" w:sz="4" w:space="0"/>
                  </w:tcBorders>
                  <w:vAlign w:val="center"/>
                </w:tcPr>
                <w:p w14:paraId="490DE42D">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w:t>
                  </w:r>
                </w:p>
              </w:tc>
              <w:tc>
                <w:tcPr>
                  <w:tcW w:w="1788" w:type="dxa"/>
                  <w:tcBorders>
                    <w:right w:val="single" w:color="auto" w:sz="4" w:space="0"/>
                  </w:tcBorders>
                  <w:vAlign w:val="center"/>
                </w:tcPr>
                <w:p w14:paraId="14C41D95">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iCs/>
                      <w:color w:val="auto"/>
                      <w:sz w:val="21"/>
                      <w:szCs w:val="21"/>
                      <w:lang w:val="en-US" w:eastAsia="zh-CN"/>
                    </w:rPr>
                    <w:t>1.8</w:t>
                  </w:r>
                  <w:r>
                    <w:rPr>
                      <w:rFonts w:hint="eastAsia" w:ascii="Times New Roman" w:hAnsi="Times New Roman" w:cs="Times New Roman"/>
                      <w:b w:val="0"/>
                      <w:bCs w:val="0"/>
                      <w:iCs/>
                      <w:color w:val="auto"/>
                      <w:sz w:val="21"/>
                      <w:szCs w:val="21"/>
                      <w:lang w:val="en-US" w:eastAsia="zh-CN"/>
                    </w:rPr>
                    <w:t>t/</w:t>
                  </w:r>
                  <w:r>
                    <w:rPr>
                      <w:rFonts w:hint="eastAsia" w:cs="Times New Roman"/>
                      <w:b w:val="0"/>
                      <w:bCs w:val="0"/>
                      <w:iCs/>
                      <w:color w:val="auto"/>
                      <w:sz w:val="21"/>
                      <w:szCs w:val="21"/>
                      <w:lang w:val="en-US" w:eastAsia="zh-CN"/>
                    </w:rPr>
                    <w:t>d</w:t>
                  </w:r>
                </w:p>
              </w:tc>
              <w:tc>
                <w:tcPr>
                  <w:tcW w:w="1340" w:type="dxa"/>
                  <w:tcBorders>
                    <w:left w:val="single" w:color="auto" w:sz="4" w:space="0"/>
                    <w:right w:val="single" w:color="auto" w:sz="4" w:space="0"/>
                  </w:tcBorders>
                  <w:vAlign w:val="center"/>
                </w:tcPr>
                <w:p w14:paraId="526A6774">
                  <w:pPr>
                    <w:jc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300d</w:t>
                  </w:r>
                </w:p>
              </w:tc>
              <w:tc>
                <w:tcPr>
                  <w:tcW w:w="1271" w:type="dxa"/>
                  <w:tcBorders>
                    <w:left w:val="single" w:color="auto" w:sz="4" w:space="0"/>
                    <w:right w:val="single" w:color="auto" w:sz="4" w:space="0"/>
                  </w:tcBorders>
                  <w:vAlign w:val="center"/>
                </w:tcPr>
                <w:p w14:paraId="0891264F">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cs="Times New Roman"/>
                      <w:b w:val="0"/>
                      <w:bCs w:val="0"/>
                      <w:iCs/>
                      <w:color w:val="auto"/>
                      <w:sz w:val="21"/>
                      <w:szCs w:val="21"/>
                      <w:highlight w:val="none"/>
                      <w:lang w:val="en-US" w:eastAsia="zh-CN"/>
                    </w:rPr>
                    <w:t>5400</w:t>
                  </w:r>
                </w:p>
              </w:tc>
              <w:tc>
                <w:tcPr>
                  <w:tcW w:w="1247" w:type="dxa"/>
                  <w:vMerge w:val="continue"/>
                  <w:tcBorders>
                    <w:left w:val="single" w:color="auto" w:sz="4" w:space="0"/>
                    <w:right w:val="single" w:color="auto" w:sz="4" w:space="0"/>
                  </w:tcBorders>
                  <w:vAlign w:val="center"/>
                </w:tcPr>
                <w:p w14:paraId="502845CF">
                  <w:pPr>
                    <w:jc w:val="center"/>
                    <w:rPr>
                      <w:rFonts w:hint="default" w:ascii="Times New Roman" w:hAnsi="Times New Roman" w:eastAsia="宋体" w:cs="Times New Roman"/>
                      <w:b w:val="0"/>
                      <w:bCs w:val="0"/>
                      <w:color w:val="auto"/>
                      <w:sz w:val="21"/>
                      <w:szCs w:val="21"/>
                      <w:highlight w:val="none"/>
                      <w:lang w:eastAsia="zh-CN"/>
                    </w:rPr>
                  </w:pPr>
                </w:p>
              </w:tc>
            </w:tr>
          </w:tbl>
          <w:p w14:paraId="13570037">
            <w:pPr>
              <w:spacing w:line="360" w:lineRule="auto"/>
              <w:rPr>
                <w:b/>
                <w:color w:val="auto"/>
                <w:sz w:val="24"/>
                <w:szCs w:val="24"/>
              </w:rPr>
            </w:pPr>
            <w:r>
              <w:rPr>
                <w:rFonts w:hint="eastAsia"/>
                <w:b/>
                <w:color w:val="auto"/>
                <w:sz w:val="24"/>
                <w:szCs w:val="24"/>
                <w:lang w:val="en-US" w:eastAsia="zh-CN"/>
              </w:rPr>
              <w:t>4</w:t>
            </w:r>
            <w:r>
              <w:rPr>
                <w:b/>
                <w:color w:val="auto"/>
                <w:sz w:val="24"/>
                <w:szCs w:val="24"/>
              </w:rPr>
              <w:t>、原</w:t>
            </w:r>
            <w:r>
              <w:rPr>
                <w:rFonts w:hint="eastAsia"/>
                <w:b/>
                <w:color w:val="auto"/>
                <w:sz w:val="24"/>
                <w:szCs w:val="24"/>
              </w:rPr>
              <w:t>辅材料及燃料</w:t>
            </w:r>
          </w:p>
          <w:p w14:paraId="07EAACB7">
            <w:pPr>
              <w:adjustRightInd w:val="0"/>
              <w:snapToGrid w:val="0"/>
              <w:jc w:val="center"/>
              <w:rPr>
                <w:b/>
                <w:bCs/>
                <w:iCs/>
                <w:color w:val="auto"/>
                <w:sz w:val="21"/>
                <w:szCs w:val="21"/>
              </w:rPr>
            </w:pPr>
            <w:r>
              <w:rPr>
                <w:b/>
                <w:iCs/>
                <w:color w:val="auto"/>
                <w:sz w:val="21"/>
                <w:szCs w:val="21"/>
              </w:rPr>
              <w:t>表</w:t>
            </w:r>
            <w:r>
              <w:rPr>
                <w:rFonts w:hint="eastAsia"/>
                <w:b/>
                <w:iCs/>
                <w:color w:val="auto"/>
                <w:sz w:val="21"/>
                <w:szCs w:val="21"/>
              </w:rPr>
              <w:t>2</w:t>
            </w:r>
            <w:r>
              <w:rPr>
                <w:b/>
                <w:iCs/>
                <w:color w:val="auto"/>
                <w:sz w:val="21"/>
                <w:szCs w:val="21"/>
              </w:rPr>
              <w:t>-</w:t>
            </w:r>
            <w:r>
              <w:rPr>
                <w:rFonts w:hint="eastAsia"/>
                <w:b/>
                <w:iCs/>
                <w:color w:val="auto"/>
                <w:sz w:val="21"/>
                <w:szCs w:val="21"/>
                <w:lang w:val="en-US" w:eastAsia="zh-CN"/>
              </w:rPr>
              <w:t>5</w:t>
            </w:r>
            <w:r>
              <w:rPr>
                <w:b/>
                <w:iCs/>
                <w:color w:val="auto"/>
                <w:sz w:val="21"/>
                <w:szCs w:val="21"/>
              </w:rPr>
              <w:t xml:space="preserve"> </w:t>
            </w:r>
            <w:r>
              <w:rPr>
                <w:b/>
                <w:bCs/>
                <w:iCs/>
                <w:color w:val="auto"/>
                <w:sz w:val="21"/>
                <w:szCs w:val="21"/>
              </w:rPr>
              <w:t>主要原辅材料一览表</w:t>
            </w:r>
          </w:p>
          <w:tbl>
            <w:tblPr>
              <w:tblStyle w:val="25"/>
              <w:tblW w:w="8898"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58"/>
              <w:gridCol w:w="1500"/>
              <w:gridCol w:w="915"/>
              <w:gridCol w:w="945"/>
              <w:gridCol w:w="960"/>
              <w:gridCol w:w="1290"/>
              <w:gridCol w:w="1389"/>
              <w:gridCol w:w="1441"/>
            </w:tblGrid>
            <w:tr w14:paraId="3696F8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Align w:val="center"/>
                </w:tcPr>
                <w:p w14:paraId="6B63E5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eastAsia"/>
                      <w:b w:val="0"/>
                      <w:bCs/>
                      <w:sz w:val="21"/>
                      <w:szCs w:val="21"/>
                    </w:rPr>
                    <w:t>序号</w:t>
                  </w:r>
                </w:p>
              </w:tc>
              <w:tc>
                <w:tcPr>
                  <w:tcW w:w="1500" w:type="dxa"/>
                  <w:tcBorders>
                    <w:left w:val="single" w:color="auto" w:sz="4" w:space="0"/>
                  </w:tcBorders>
                  <w:vAlign w:val="center"/>
                </w:tcPr>
                <w:p w14:paraId="28D4A32A">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color w:val="auto"/>
                      <w:sz w:val="21"/>
                      <w:szCs w:val="21"/>
                      <w:lang w:eastAsia="zh-CN"/>
                    </w:rPr>
                    <w:t>名称</w:t>
                  </w:r>
                </w:p>
              </w:tc>
              <w:tc>
                <w:tcPr>
                  <w:tcW w:w="915" w:type="dxa"/>
                  <w:tcBorders>
                    <w:right w:val="single" w:color="auto" w:sz="4" w:space="0"/>
                  </w:tcBorders>
                  <w:vAlign w:val="center"/>
                </w:tcPr>
                <w:p w14:paraId="1C79BAE4">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color w:val="auto"/>
                      <w:sz w:val="21"/>
                      <w:szCs w:val="21"/>
                      <w:lang w:eastAsia="zh-CN"/>
                    </w:rPr>
                    <w:t>年用量</w:t>
                  </w:r>
                </w:p>
              </w:tc>
              <w:tc>
                <w:tcPr>
                  <w:tcW w:w="945" w:type="dxa"/>
                  <w:tcBorders>
                    <w:right w:val="single" w:color="auto" w:sz="4" w:space="0"/>
                  </w:tcBorders>
                  <w:vAlign w:val="center"/>
                </w:tcPr>
                <w:p w14:paraId="498118F0">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color w:val="auto"/>
                      <w:sz w:val="21"/>
                      <w:szCs w:val="21"/>
                      <w:lang w:eastAsia="zh-CN"/>
                    </w:rPr>
                    <w:t>单位</w:t>
                  </w:r>
                </w:p>
              </w:tc>
              <w:tc>
                <w:tcPr>
                  <w:tcW w:w="960" w:type="dxa"/>
                  <w:tcBorders>
                    <w:left w:val="single" w:color="auto" w:sz="4" w:space="0"/>
                    <w:right w:val="single" w:color="auto" w:sz="4" w:space="0"/>
                  </w:tcBorders>
                  <w:vAlign w:val="center"/>
                </w:tcPr>
                <w:p w14:paraId="2EAE2268">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color w:val="auto"/>
                      <w:sz w:val="21"/>
                      <w:szCs w:val="21"/>
                      <w:lang w:eastAsia="zh-CN"/>
                    </w:rPr>
                    <w:t>性状</w:t>
                  </w:r>
                </w:p>
              </w:tc>
              <w:tc>
                <w:tcPr>
                  <w:tcW w:w="1290" w:type="dxa"/>
                  <w:tcBorders>
                    <w:left w:val="single" w:color="auto" w:sz="4" w:space="0"/>
                    <w:right w:val="single" w:color="auto" w:sz="4" w:space="0"/>
                  </w:tcBorders>
                  <w:vAlign w:val="center"/>
                </w:tcPr>
                <w:p w14:paraId="0E55C6C3">
                  <w:pPr>
                    <w:pStyle w:val="44"/>
                    <w:keepNext w:val="0"/>
                    <w:keepLines w:val="0"/>
                    <w:pageBreakBefore w:val="0"/>
                    <w:kinsoku/>
                    <w:wordWrap/>
                    <w:overflowPunct/>
                    <w:topLinePunct w:val="0"/>
                    <w:autoSpaceDE/>
                    <w:autoSpaceDN/>
                    <w:bidi w:val="0"/>
                    <w:spacing w:line="240" w:lineRule="auto"/>
                    <w:textAlignment w:val="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color w:val="auto"/>
                      <w:sz w:val="21"/>
                      <w:szCs w:val="21"/>
                      <w:lang w:eastAsia="zh-CN"/>
                    </w:rPr>
                    <w:t>包装规格</w:t>
                  </w:r>
                </w:p>
              </w:tc>
              <w:tc>
                <w:tcPr>
                  <w:tcW w:w="1389" w:type="dxa"/>
                  <w:tcBorders>
                    <w:left w:val="single" w:color="auto" w:sz="4" w:space="0"/>
                    <w:right w:val="single" w:color="auto" w:sz="4" w:space="0"/>
                  </w:tcBorders>
                  <w:vAlign w:val="center"/>
                </w:tcPr>
                <w:p w14:paraId="142D6A50">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iCs/>
                      <w:color w:val="auto"/>
                      <w:sz w:val="21"/>
                      <w:szCs w:val="21"/>
                      <w:lang w:eastAsia="zh-CN"/>
                    </w:rPr>
                  </w:pPr>
                  <w:r>
                    <w:rPr>
                      <w:rFonts w:hint="default" w:ascii="Times New Roman" w:hAnsi="Times New Roman" w:eastAsia="宋体" w:cs="Times New Roman"/>
                      <w:b w:val="0"/>
                      <w:bCs/>
                      <w:iCs/>
                      <w:color w:val="auto"/>
                      <w:sz w:val="21"/>
                      <w:szCs w:val="21"/>
                      <w:lang w:eastAsia="zh-CN"/>
                    </w:rPr>
                    <w:t>一次最大储存量</w:t>
                  </w:r>
                  <w:r>
                    <w:rPr>
                      <w:rFonts w:hint="eastAsia" w:ascii="Times New Roman" w:hAnsi="Times New Roman" w:cs="Times New Roman"/>
                      <w:b w:val="0"/>
                      <w:bCs/>
                      <w:iCs/>
                      <w:color w:val="auto"/>
                      <w:sz w:val="21"/>
                      <w:szCs w:val="21"/>
                      <w:lang w:val="en-US" w:eastAsia="zh-CN"/>
                    </w:rPr>
                    <w:t>（t）</w:t>
                  </w:r>
                </w:p>
              </w:tc>
              <w:tc>
                <w:tcPr>
                  <w:tcW w:w="1441" w:type="dxa"/>
                  <w:tcBorders>
                    <w:left w:val="single" w:color="auto" w:sz="4" w:space="0"/>
                    <w:right w:val="single" w:color="auto" w:sz="4" w:space="0"/>
                  </w:tcBorders>
                  <w:vAlign w:val="center"/>
                </w:tcPr>
                <w:p w14:paraId="27361960">
                  <w:pPr>
                    <w:pStyle w:val="44"/>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b w:val="0"/>
                      <w:bCs w:val="0"/>
                      <w:iCs/>
                      <w:color w:val="auto"/>
                      <w:sz w:val="21"/>
                      <w:szCs w:val="21"/>
                      <w:lang w:eastAsia="zh-CN"/>
                    </w:rPr>
                  </w:pPr>
                  <w:r>
                    <w:rPr>
                      <w:rFonts w:hint="default" w:ascii="Times New Roman" w:hAnsi="Times New Roman" w:eastAsia="宋体" w:cs="Times New Roman"/>
                      <w:b w:val="0"/>
                      <w:bCs/>
                      <w:color w:val="auto"/>
                      <w:sz w:val="21"/>
                      <w:szCs w:val="21"/>
                      <w:lang w:eastAsia="zh-CN"/>
                    </w:rPr>
                    <w:t>储存位置</w:t>
                  </w:r>
                </w:p>
              </w:tc>
            </w:tr>
            <w:tr w14:paraId="28BBCA5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Align w:val="center"/>
                </w:tcPr>
                <w:p w14:paraId="0C6CF6A1">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rPr>
                    <w:t>1</w:t>
                  </w:r>
                </w:p>
              </w:tc>
              <w:tc>
                <w:tcPr>
                  <w:tcW w:w="1500" w:type="dxa"/>
                  <w:tcBorders>
                    <w:left w:val="single" w:color="auto" w:sz="4" w:space="0"/>
                  </w:tcBorders>
                  <w:vAlign w:val="center"/>
                </w:tcPr>
                <w:p w14:paraId="5E49AF5C">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椰壳炭</w:t>
                  </w:r>
                </w:p>
              </w:tc>
              <w:tc>
                <w:tcPr>
                  <w:tcW w:w="915" w:type="dxa"/>
                  <w:tcBorders>
                    <w:right w:val="single" w:color="auto" w:sz="4" w:space="0"/>
                  </w:tcBorders>
                  <w:vAlign w:val="center"/>
                </w:tcPr>
                <w:p w14:paraId="58F801CF">
                  <w:pPr>
                    <w:jc w:val="center"/>
                    <w:rPr>
                      <w:rFonts w:hint="default" w:ascii="Times New Roman" w:hAnsi="Times New Roman" w:eastAsia="宋体" w:cs="Times New Roman"/>
                      <w:b w:val="0"/>
                      <w:bCs w:val="0"/>
                      <w:color w:val="auto"/>
                      <w:sz w:val="21"/>
                      <w:szCs w:val="21"/>
                      <w:highlight w:val="none"/>
                      <w:lang w:val="en-US" w:eastAsia="zh-CN"/>
                    </w:rPr>
                  </w:pPr>
                  <w:r>
                    <w:rPr>
                      <w:rFonts w:hint="eastAsia"/>
                      <w:b w:val="0"/>
                      <w:bCs/>
                      <w:sz w:val="21"/>
                      <w:szCs w:val="21"/>
                      <w:highlight w:val="none"/>
                      <w:lang w:val="en-US" w:eastAsia="zh-CN"/>
                    </w:rPr>
                    <w:t>9000</w:t>
                  </w:r>
                </w:p>
              </w:tc>
              <w:tc>
                <w:tcPr>
                  <w:tcW w:w="945" w:type="dxa"/>
                  <w:tcBorders>
                    <w:right w:val="single" w:color="auto" w:sz="4" w:space="0"/>
                  </w:tcBorders>
                  <w:vAlign w:val="center"/>
                </w:tcPr>
                <w:p w14:paraId="58EFF8D4">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t/a</w:t>
                  </w:r>
                </w:p>
              </w:tc>
              <w:tc>
                <w:tcPr>
                  <w:tcW w:w="960" w:type="dxa"/>
                  <w:tcBorders>
                    <w:left w:val="single" w:color="auto" w:sz="4" w:space="0"/>
                    <w:right w:val="single" w:color="auto" w:sz="4" w:space="0"/>
                  </w:tcBorders>
                  <w:vAlign w:val="center"/>
                </w:tcPr>
                <w:p w14:paraId="3AEDD261">
                  <w:pPr>
                    <w:jc w:val="center"/>
                    <w:rPr>
                      <w:rFonts w:hint="eastAsia" w:ascii="Times New Roman" w:hAnsi="Times New Roman" w:cs="Times New Roman"/>
                      <w:b w:val="0"/>
                      <w:bCs w:val="0"/>
                      <w:color w:val="auto"/>
                      <w:sz w:val="21"/>
                      <w:szCs w:val="21"/>
                      <w:highlight w:val="none"/>
                      <w:lang w:eastAsia="zh-CN"/>
                    </w:rPr>
                  </w:pPr>
                  <w:r>
                    <w:rPr>
                      <w:rFonts w:hint="eastAsia"/>
                      <w:b w:val="0"/>
                      <w:bCs/>
                      <w:sz w:val="21"/>
                      <w:szCs w:val="21"/>
                      <w:highlight w:val="none"/>
                      <w:lang w:eastAsia="zh-CN"/>
                    </w:rPr>
                    <w:t>颗粒状</w:t>
                  </w:r>
                </w:p>
              </w:tc>
              <w:tc>
                <w:tcPr>
                  <w:tcW w:w="1290" w:type="dxa"/>
                  <w:tcBorders>
                    <w:left w:val="single" w:color="auto" w:sz="4" w:space="0"/>
                    <w:right w:val="single" w:color="auto" w:sz="4" w:space="0"/>
                  </w:tcBorders>
                  <w:vAlign w:val="center"/>
                </w:tcPr>
                <w:p w14:paraId="3A3225C1">
                  <w:pPr>
                    <w:jc w:val="center"/>
                    <w:rPr>
                      <w:rFonts w:hint="default" w:ascii="Times New Roman" w:hAnsi="Times New Roman" w:cs="Times New Roman"/>
                      <w:b w:val="0"/>
                      <w:bCs w:val="0"/>
                      <w:color w:val="auto"/>
                      <w:sz w:val="21"/>
                      <w:szCs w:val="21"/>
                      <w:highlight w:val="none"/>
                      <w:lang w:val="en-US" w:eastAsia="zh-CN"/>
                    </w:rPr>
                  </w:pPr>
                  <w:r>
                    <w:rPr>
                      <w:rFonts w:hint="eastAsia"/>
                      <w:b w:val="0"/>
                      <w:bCs/>
                      <w:sz w:val="21"/>
                      <w:szCs w:val="21"/>
                      <w:highlight w:val="none"/>
                      <w:lang w:val="en-US" w:eastAsia="zh-CN"/>
                    </w:rPr>
                    <w:t>500kg/袋</w:t>
                  </w:r>
                </w:p>
              </w:tc>
              <w:tc>
                <w:tcPr>
                  <w:tcW w:w="1389" w:type="dxa"/>
                  <w:tcBorders>
                    <w:left w:val="single" w:color="auto" w:sz="4" w:space="0"/>
                    <w:right w:val="single" w:color="auto" w:sz="4" w:space="0"/>
                  </w:tcBorders>
                  <w:vAlign w:val="center"/>
                </w:tcPr>
                <w:p w14:paraId="503591D8">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b w:val="0"/>
                      <w:bCs/>
                      <w:sz w:val="21"/>
                      <w:szCs w:val="21"/>
                      <w:highlight w:val="none"/>
                      <w:lang w:val="en-US" w:eastAsia="zh-CN"/>
                    </w:rPr>
                    <w:t>500</w:t>
                  </w:r>
                </w:p>
              </w:tc>
              <w:tc>
                <w:tcPr>
                  <w:tcW w:w="1441" w:type="dxa"/>
                  <w:tcBorders>
                    <w:left w:val="single" w:color="auto" w:sz="4" w:space="0"/>
                    <w:right w:val="single" w:color="auto" w:sz="4" w:space="0"/>
                  </w:tcBorders>
                  <w:vAlign w:val="center"/>
                </w:tcPr>
                <w:p w14:paraId="792072E3">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原料区</w:t>
                  </w:r>
                </w:p>
              </w:tc>
            </w:tr>
            <w:tr w14:paraId="4F3725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Align w:val="center"/>
                </w:tcPr>
                <w:p w14:paraId="6A58A749">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rPr>
                    <w:t>2</w:t>
                  </w:r>
                </w:p>
              </w:tc>
              <w:tc>
                <w:tcPr>
                  <w:tcW w:w="1500" w:type="dxa"/>
                  <w:tcBorders>
                    <w:left w:val="single" w:color="auto" w:sz="4" w:space="0"/>
                  </w:tcBorders>
                  <w:vAlign w:val="center"/>
                </w:tcPr>
                <w:p w14:paraId="67D2F5E4">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36%</w:t>
                  </w:r>
                  <w:r>
                    <w:rPr>
                      <w:rFonts w:hint="eastAsia"/>
                      <w:b w:val="0"/>
                      <w:bCs/>
                      <w:sz w:val="21"/>
                      <w:szCs w:val="21"/>
                      <w:highlight w:val="none"/>
                      <w:lang w:eastAsia="zh-CN"/>
                    </w:rPr>
                    <w:t>盐酸</w:t>
                  </w:r>
                </w:p>
              </w:tc>
              <w:tc>
                <w:tcPr>
                  <w:tcW w:w="915" w:type="dxa"/>
                  <w:tcBorders>
                    <w:right w:val="single" w:color="auto" w:sz="4" w:space="0"/>
                  </w:tcBorders>
                  <w:vAlign w:val="center"/>
                </w:tcPr>
                <w:p w14:paraId="0768A7DB">
                  <w:pPr>
                    <w:jc w:val="center"/>
                    <w:rPr>
                      <w:rFonts w:hint="default" w:ascii="Times New Roman" w:hAnsi="Times New Roman" w:eastAsia="宋体" w:cs="Times New Roman"/>
                      <w:b w:val="0"/>
                      <w:bCs w:val="0"/>
                      <w:color w:val="auto"/>
                      <w:sz w:val="21"/>
                      <w:szCs w:val="21"/>
                      <w:highlight w:val="none"/>
                      <w:lang w:val="en-US" w:eastAsia="zh-CN"/>
                    </w:rPr>
                  </w:pPr>
                  <w:r>
                    <w:rPr>
                      <w:rFonts w:hint="eastAsia"/>
                      <w:b w:val="0"/>
                      <w:bCs/>
                      <w:sz w:val="21"/>
                      <w:szCs w:val="21"/>
                      <w:highlight w:val="none"/>
                      <w:lang w:val="en-US" w:eastAsia="zh-CN"/>
                    </w:rPr>
                    <w:t>200</w:t>
                  </w:r>
                </w:p>
              </w:tc>
              <w:tc>
                <w:tcPr>
                  <w:tcW w:w="945" w:type="dxa"/>
                  <w:tcBorders>
                    <w:right w:val="single" w:color="auto" w:sz="4" w:space="0"/>
                  </w:tcBorders>
                  <w:vAlign w:val="center"/>
                </w:tcPr>
                <w:p w14:paraId="71149C48">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t/a</w:t>
                  </w:r>
                </w:p>
              </w:tc>
              <w:tc>
                <w:tcPr>
                  <w:tcW w:w="960" w:type="dxa"/>
                  <w:tcBorders>
                    <w:left w:val="single" w:color="auto" w:sz="4" w:space="0"/>
                    <w:right w:val="single" w:color="auto" w:sz="4" w:space="0"/>
                  </w:tcBorders>
                  <w:vAlign w:val="center"/>
                </w:tcPr>
                <w:p w14:paraId="5A44B25A">
                  <w:pPr>
                    <w:jc w:val="center"/>
                    <w:rPr>
                      <w:rFonts w:hint="eastAsia" w:ascii="Times New Roman" w:hAnsi="Times New Roman" w:cs="Times New Roman"/>
                      <w:b w:val="0"/>
                      <w:bCs w:val="0"/>
                      <w:color w:val="auto"/>
                      <w:sz w:val="21"/>
                      <w:szCs w:val="21"/>
                      <w:highlight w:val="none"/>
                      <w:lang w:eastAsia="zh-CN"/>
                    </w:rPr>
                  </w:pPr>
                  <w:r>
                    <w:rPr>
                      <w:rFonts w:hint="eastAsia"/>
                      <w:b w:val="0"/>
                      <w:bCs/>
                      <w:sz w:val="21"/>
                      <w:szCs w:val="21"/>
                      <w:highlight w:val="none"/>
                      <w:lang w:eastAsia="zh-CN"/>
                    </w:rPr>
                    <w:t>液态</w:t>
                  </w:r>
                </w:p>
              </w:tc>
              <w:tc>
                <w:tcPr>
                  <w:tcW w:w="1290" w:type="dxa"/>
                  <w:tcBorders>
                    <w:left w:val="single" w:color="auto" w:sz="4" w:space="0"/>
                    <w:right w:val="single" w:color="auto" w:sz="4" w:space="0"/>
                  </w:tcBorders>
                  <w:vAlign w:val="center"/>
                </w:tcPr>
                <w:p w14:paraId="69624C1B">
                  <w:pPr>
                    <w:jc w:val="center"/>
                    <w:rPr>
                      <w:rFonts w:hint="eastAsia" w:ascii="Times New Roman" w:hAnsi="Times New Roman" w:cs="Times New Roman"/>
                      <w:b w:val="0"/>
                      <w:bCs w:val="0"/>
                      <w:color w:val="auto"/>
                      <w:sz w:val="21"/>
                      <w:szCs w:val="21"/>
                      <w:highlight w:val="none"/>
                      <w:lang w:eastAsia="zh-CN"/>
                    </w:rPr>
                  </w:pP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b w:val="0"/>
                      <w:bCs/>
                      <w:sz w:val="21"/>
                      <w:szCs w:val="21"/>
                      <w:highlight w:val="none"/>
                      <w:lang w:val="en-US" w:eastAsia="zh-CN"/>
                    </w:rPr>
                    <w:t>/储罐</w:t>
                  </w:r>
                </w:p>
              </w:tc>
              <w:tc>
                <w:tcPr>
                  <w:tcW w:w="1389" w:type="dxa"/>
                  <w:tcBorders>
                    <w:left w:val="single" w:color="auto" w:sz="4" w:space="0"/>
                    <w:right w:val="single" w:color="auto" w:sz="4" w:space="0"/>
                  </w:tcBorders>
                  <w:vAlign w:val="center"/>
                </w:tcPr>
                <w:p w14:paraId="20CE2D45">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b w:val="0"/>
                      <w:bCs/>
                      <w:color w:val="auto"/>
                      <w:sz w:val="21"/>
                      <w:szCs w:val="21"/>
                      <w:highlight w:val="none"/>
                      <w:lang w:val="en-US" w:eastAsia="zh-CN"/>
                    </w:rPr>
                    <w:t>53.1</w:t>
                  </w:r>
                </w:p>
              </w:tc>
              <w:tc>
                <w:tcPr>
                  <w:tcW w:w="1441" w:type="dxa"/>
                  <w:tcBorders>
                    <w:left w:val="single" w:color="auto" w:sz="4" w:space="0"/>
                    <w:right w:val="single" w:color="auto" w:sz="4" w:space="0"/>
                  </w:tcBorders>
                  <w:vAlign w:val="center"/>
                </w:tcPr>
                <w:p w14:paraId="2517507E">
                  <w:pPr>
                    <w:jc w:val="center"/>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盐酸储罐</w:t>
                  </w:r>
                </w:p>
              </w:tc>
            </w:tr>
            <w:tr w14:paraId="187D17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Align w:val="center"/>
                </w:tcPr>
                <w:p w14:paraId="4C6B299D">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rPr>
                    <w:t>3</w:t>
                  </w:r>
                </w:p>
              </w:tc>
              <w:tc>
                <w:tcPr>
                  <w:tcW w:w="1500" w:type="dxa"/>
                  <w:tcBorders>
                    <w:left w:val="single" w:color="auto" w:sz="4" w:space="0"/>
                  </w:tcBorders>
                  <w:vAlign w:val="center"/>
                </w:tcPr>
                <w:p w14:paraId="370B6DCA">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50%</w:t>
                  </w:r>
                  <w:r>
                    <w:rPr>
                      <w:rFonts w:hint="eastAsia"/>
                      <w:b w:val="0"/>
                      <w:bCs/>
                      <w:sz w:val="21"/>
                      <w:szCs w:val="21"/>
                      <w:highlight w:val="none"/>
                      <w:lang w:eastAsia="zh-CN"/>
                    </w:rPr>
                    <w:t>液碱</w:t>
                  </w:r>
                </w:p>
              </w:tc>
              <w:tc>
                <w:tcPr>
                  <w:tcW w:w="915" w:type="dxa"/>
                  <w:tcBorders>
                    <w:right w:val="single" w:color="auto" w:sz="4" w:space="0"/>
                  </w:tcBorders>
                  <w:vAlign w:val="center"/>
                </w:tcPr>
                <w:p w14:paraId="12A86A17">
                  <w:pPr>
                    <w:jc w:val="center"/>
                    <w:rPr>
                      <w:rFonts w:hint="default" w:ascii="Times New Roman" w:hAnsi="Times New Roman" w:eastAsia="宋体" w:cs="Times New Roman"/>
                      <w:b w:val="0"/>
                      <w:bCs w:val="0"/>
                      <w:color w:val="auto"/>
                      <w:sz w:val="21"/>
                      <w:szCs w:val="21"/>
                      <w:highlight w:val="none"/>
                      <w:lang w:val="en-US" w:eastAsia="zh-CN"/>
                    </w:rPr>
                  </w:pPr>
                  <w:r>
                    <w:rPr>
                      <w:rFonts w:hint="eastAsia"/>
                      <w:b w:val="0"/>
                      <w:bCs/>
                      <w:sz w:val="21"/>
                      <w:szCs w:val="21"/>
                      <w:highlight w:val="none"/>
                      <w:lang w:val="en-US" w:eastAsia="zh-CN"/>
                    </w:rPr>
                    <w:t>160</w:t>
                  </w:r>
                </w:p>
              </w:tc>
              <w:tc>
                <w:tcPr>
                  <w:tcW w:w="945" w:type="dxa"/>
                  <w:tcBorders>
                    <w:right w:val="single" w:color="auto" w:sz="4" w:space="0"/>
                  </w:tcBorders>
                  <w:vAlign w:val="center"/>
                </w:tcPr>
                <w:p w14:paraId="5CECE19C">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t/a</w:t>
                  </w:r>
                </w:p>
              </w:tc>
              <w:tc>
                <w:tcPr>
                  <w:tcW w:w="960" w:type="dxa"/>
                  <w:tcBorders>
                    <w:left w:val="single" w:color="auto" w:sz="4" w:space="0"/>
                    <w:right w:val="single" w:color="auto" w:sz="4" w:space="0"/>
                  </w:tcBorders>
                  <w:vAlign w:val="center"/>
                </w:tcPr>
                <w:p w14:paraId="29F25489">
                  <w:pPr>
                    <w:jc w:val="center"/>
                    <w:rPr>
                      <w:rFonts w:hint="eastAsia" w:ascii="Times New Roman" w:hAnsi="Times New Roman" w:cs="Times New Roman"/>
                      <w:b w:val="0"/>
                      <w:bCs w:val="0"/>
                      <w:color w:val="auto"/>
                      <w:sz w:val="21"/>
                      <w:szCs w:val="21"/>
                      <w:highlight w:val="none"/>
                      <w:lang w:eastAsia="zh-CN"/>
                    </w:rPr>
                  </w:pPr>
                  <w:r>
                    <w:rPr>
                      <w:rFonts w:hint="eastAsia"/>
                      <w:b w:val="0"/>
                      <w:bCs/>
                      <w:sz w:val="21"/>
                      <w:szCs w:val="21"/>
                      <w:highlight w:val="none"/>
                      <w:lang w:eastAsia="zh-CN"/>
                    </w:rPr>
                    <w:t>液态</w:t>
                  </w:r>
                </w:p>
              </w:tc>
              <w:tc>
                <w:tcPr>
                  <w:tcW w:w="1290" w:type="dxa"/>
                  <w:tcBorders>
                    <w:left w:val="single" w:color="auto" w:sz="4" w:space="0"/>
                    <w:right w:val="single" w:color="auto" w:sz="4" w:space="0"/>
                  </w:tcBorders>
                  <w:vAlign w:val="center"/>
                </w:tcPr>
                <w:p w14:paraId="78B4A5E7">
                  <w:pPr>
                    <w:jc w:val="center"/>
                    <w:rPr>
                      <w:rFonts w:hint="eastAsia" w:ascii="Times New Roman" w:hAnsi="Times New Roman" w:cs="Times New Roman"/>
                      <w:b w:val="0"/>
                      <w:bCs w:val="0"/>
                      <w:color w:val="auto"/>
                      <w:sz w:val="21"/>
                      <w:szCs w:val="21"/>
                      <w:highlight w:val="none"/>
                      <w:lang w:eastAsia="zh-CN"/>
                    </w:rPr>
                  </w:pPr>
                  <w:r>
                    <w:rPr>
                      <w:rFonts w:hint="eastAsia"/>
                      <w:b w:val="0"/>
                      <w:bCs/>
                      <w:color w:val="auto"/>
                      <w:sz w:val="21"/>
                      <w:szCs w:val="21"/>
                      <w:lang w:val="en-US" w:eastAsia="zh-CN"/>
                    </w:rPr>
                    <w:t>5</w:t>
                  </w:r>
                  <w:r>
                    <w:rPr>
                      <w:rFonts w:hint="default" w:ascii="Times New Roman" w:hAnsi="Times New Roman" w:eastAsia="宋体" w:cs="Times New Roman"/>
                      <w:color w:val="auto"/>
                      <w:spacing w:val="2"/>
                      <w:sz w:val="21"/>
                      <w:szCs w:val="21"/>
                    </w:rPr>
                    <w:t>m</w:t>
                  </w:r>
                  <w:r>
                    <w:rPr>
                      <w:rFonts w:hint="eastAsia" w:ascii="Times New Roman" w:hAnsi="Times New Roman" w:eastAsia="宋体" w:cs="Times New Roman"/>
                      <w:color w:val="auto"/>
                      <w:spacing w:val="2"/>
                      <w:sz w:val="21"/>
                      <w:szCs w:val="21"/>
                      <w:vertAlign w:val="superscript"/>
                      <w:lang w:val="en-US" w:eastAsia="zh-CN"/>
                    </w:rPr>
                    <w:t>3</w:t>
                  </w:r>
                  <w:r>
                    <w:rPr>
                      <w:rFonts w:hint="eastAsia"/>
                      <w:b w:val="0"/>
                      <w:bCs/>
                      <w:sz w:val="21"/>
                      <w:szCs w:val="21"/>
                      <w:highlight w:val="none"/>
                      <w:lang w:val="en-US" w:eastAsia="zh-CN"/>
                    </w:rPr>
                    <w:t>/储罐</w:t>
                  </w:r>
                </w:p>
              </w:tc>
              <w:tc>
                <w:tcPr>
                  <w:tcW w:w="1389" w:type="dxa"/>
                  <w:tcBorders>
                    <w:left w:val="single" w:color="auto" w:sz="4" w:space="0"/>
                    <w:right w:val="single" w:color="auto" w:sz="4" w:space="0"/>
                  </w:tcBorders>
                  <w:vAlign w:val="center"/>
                </w:tcPr>
                <w:p w14:paraId="6F464299">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b w:val="0"/>
                      <w:bCs/>
                      <w:color w:val="auto"/>
                      <w:sz w:val="21"/>
                      <w:szCs w:val="21"/>
                      <w:highlight w:val="none"/>
                      <w:lang w:val="en-US" w:eastAsia="zh-CN"/>
                    </w:rPr>
                    <w:t>40.23</w:t>
                  </w:r>
                </w:p>
              </w:tc>
              <w:tc>
                <w:tcPr>
                  <w:tcW w:w="1441" w:type="dxa"/>
                  <w:tcBorders>
                    <w:left w:val="single" w:color="auto" w:sz="4" w:space="0"/>
                    <w:right w:val="single" w:color="auto" w:sz="4" w:space="0"/>
                  </w:tcBorders>
                  <w:vAlign w:val="center"/>
                </w:tcPr>
                <w:p w14:paraId="01DC3C0A">
                  <w:pPr>
                    <w:jc w:val="center"/>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液碱储罐</w:t>
                  </w:r>
                </w:p>
              </w:tc>
            </w:tr>
            <w:tr w14:paraId="69EEC5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58" w:type="dxa"/>
                  <w:vAlign w:val="center"/>
                </w:tcPr>
                <w:p w14:paraId="1CE97455">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rPr>
                    <w:t>4</w:t>
                  </w:r>
                </w:p>
              </w:tc>
              <w:tc>
                <w:tcPr>
                  <w:tcW w:w="1500" w:type="dxa"/>
                  <w:tcBorders>
                    <w:left w:val="single" w:color="auto" w:sz="4" w:space="0"/>
                  </w:tcBorders>
                  <w:vAlign w:val="center"/>
                </w:tcPr>
                <w:p w14:paraId="3DF922D6">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eastAsia="zh-CN"/>
                    </w:rPr>
                    <w:t>机油</w:t>
                  </w:r>
                </w:p>
              </w:tc>
              <w:tc>
                <w:tcPr>
                  <w:tcW w:w="915" w:type="dxa"/>
                  <w:tcBorders>
                    <w:right w:val="single" w:color="auto" w:sz="4" w:space="0"/>
                  </w:tcBorders>
                  <w:vAlign w:val="center"/>
                </w:tcPr>
                <w:p w14:paraId="116E8D7E">
                  <w:pPr>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0.2</w:t>
                  </w:r>
                </w:p>
              </w:tc>
              <w:tc>
                <w:tcPr>
                  <w:tcW w:w="945" w:type="dxa"/>
                  <w:tcBorders>
                    <w:right w:val="single" w:color="auto" w:sz="4" w:space="0"/>
                  </w:tcBorders>
                  <w:vAlign w:val="center"/>
                </w:tcPr>
                <w:p w14:paraId="4AA372F5">
                  <w:pPr>
                    <w:jc w:val="center"/>
                    <w:rPr>
                      <w:rFonts w:hint="default" w:ascii="Times New Roman" w:hAnsi="Times New Roman" w:eastAsia="宋体" w:cs="Times New Roman"/>
                      <w:b w:val="0"/>
                      <w:bCs w:val="0"/>
                      <w:color w:val="auto"/>
                      <w:sz w:val="21"/>
                      <w:szCs w:val="21"/>
                      <w:highlight w:val="none"/>
                      <w:lang w:eastAsia="zh-CN"/>
                    </w:rPr>
                  </w:pPr>
                  <w:r>
                    <w:rPr>
                      <w:rFonts w:hint="eastAsia"/>
                      <w:b w:val="0"/>
                      <w:bCs/>
                      <w:sz w:val="21"/>
                      <w:szCs w:val="21"/>
                      <w:highlight w:val="none"/>
                      <w:lang w:val="en-US" w:eastAsia="zh-CN"/>
                    </w:rPr>
                    <w:t>t/a</w:t>
                  </w:r>
                </w:p>
              </w:tc>
              <w:tc>
                <w:tcPr>
                  <w:tcW w:w="960" w:type="dxa"/>
                  <w:tcBorders>
                    <w:left w:val="single" w:color="auto" w:sz="4" w:space="0"/>
                    <w:right w:val="single" w:color="auto" w:sz="4" w:space="0"/>
                  </w:tcBorders>
                  <w:vAlign w:val="center"/>
                </w:tcPr>
                <w:p w14:paraId="22CE4978">
                  <w:pPr>
                    <w:jc w:val="center"/>
                    <w:rPr>
                      <w:rFonts w:hint="eastAsia" w:ascii="Times New Roman" w:hAnsi="Times New Roman" w:cs="Times New Roman"/>
                      <w:b w:val="0"/>
                      <w:bCs w:val="0"/>
                      <w:color w:val="auto"/>
                      <w:sz w:val="21"/>
                      <w:szCs w:val="21"/>
                      <w:highlight w:val="none"/>
                      <w:lang w:eastAsia="zh-CN"/>
                    </w:rPr>
                  </w:pPr>
                  <w:r>
                    <w:rPr>
                      <w:rFonts w:hint="eastAsia"/>
                      <w:b w:val="0"/>
                      <w:bCs/>
                      <w:sz w:val="21"/>
                      <w:szCs w:val="21"/>
                      <w:highlight w:val="none"/>
                      <w:lang w:eastAsia="zh-CN"/>
                    </w:rPr>
                    <w:t>液态</w:t>
                  </w:r>
                </w:p>
              </w:tc>
              <w:tc>
                <w:tcPr>
                  <w:tcW w:w="1290" w:type="dxa"/>
                  <w:tcBorders>
                    <w:left w:val="single" w:color="auto" w:sz="4" w:space="0"/>
                    <w:right w:val="single" w:color="auto" w:sz="4" w:space="0"/>
                  </w:tcBorders>
                  <w:vAlign w:val="center"/>
                </w:tcPr>
                <w:p w14:paraId="0E51BC1F">
                  <w:pPr>
                    <w:jc w:val="center"/>
                    <w:rPr>
                      <w:rFonts w:hint="default" w:ascii="Times New Roman" w:hAnsi="Times New Roman" w:cs="Times New Roman"/>
                      <w:b w:val="0"/>
                      <w:bCs w:val="0"/>
                      <w:color w:val="auto"/>
                      <w:sz w:val="21"/>
                      <w:szCs w:val="21"/>
                      <w:highlight w:val="none"/>
                      <w:lang w:val="en-US" w:eastAsia="zh-CN"/>
                    </w:rPr>
                  </w:pPr>
                  <w:r>
                    <w:rPr>
                      <w:rFonts w:hint="eastAsia"/>
                      <w:b w:val="0"/>
                      <w:bCs/>
                      <w:sz w:val="21"/>
                      <w:szCs w:val="21"/>
                      <w:highlight w:val="none"/>
                      <w:lang w:val="en-US" w:eastAsia="zh-CN"/>
                    </w:rPr>
                    <w:t>100kg/桶</w:t>
                  </w:r>
                </w:p>
              </w:tc>
              <w:tc>
                <w:tcPr>
                  <w:tcW w:w="1389" w:type="dxa"/>
                  <w:tcBorders>
                    <w:left w:val="single" w:color="auto" w:sz="4" w:space="0"/>
                    <w:right w:val="single" w:color="auto" w:sz="4" w:space="0"/>
                  </w:tcBorders>
                  <w:vAlign w:val="center"/>
                </w:tcPr>
                <w:p w14:paraId="1308B051">
                  <w:pPr>
                    <w:jc w:val="center"/>
                    <w:rPr>
                      <w:rFonts w:hint="default" w:ascii="Times New Roman" w:hAnsi="Times New Roman" w:eastAsia="宋体" w:cs="Times New Roman"/>
                      <w:b w:val="0"/>
                      <w:bCs w:val="0"/>
                      <w:iCs/>
                      <w:color w:val="auto"/>
                      <w:sz w:val="21"/>
                      <w:szCs w:val="21"/>
                      <w:highlight w:val="none"/>
                      <w:lang w:val="en-US" w:eastAsia="zh-CN"/>
                    </w:rPr>
                  </w:pPr>
                  <w:r>
                    <w:rPr>
                      <w:rFonts w:hint="eastAsia" w:cs="Times New Roman"/>
                      <w:b w:val="0"/>
                      <w:bCs w:val="0"/>
                      <w:iCs/>
                      <w:color w:val="auto"/>
                      <w:sz w:val="21"/>
                      <w:szCs w:val="21"/>
                      <w:highlight w:val="none"/>
                      <w:lang w:val="en-US" w:eastAsia="zh-CN"/>
                    </w:rPr>
                    <w:t>/</w:t>
                  </w:r>
                </w:p>
              </w:tc>
              <w:tc>
                <w:tcPr>
                  <w:tcW w:w="1441" w:type="dxa"/>
                  <w:tcBorders>
                    <w:left w:val="single" w:color="auto" w:sz="4" w:space="0"/>
                    <w:right w:val="single" w:color="auto" w:sz="4" w:space="0"/>
                  </w:tcBorders>
                  <w:vAlign w:val="center"/>
                </w:tcPr>
                <w:p w14:paraId="0BDE0040">
                  <w:pPr>
                    <w:jc w:val="center"/>
                    <w:rPr>
                      <w:rFonts w:hint="default" w:ascii="Times New Roman" w:hAnsi="Times New Roman" w:eastAsia="宋体" w:cs="Times New Roman"/>
                      <w:b w:val="0"/>
                      <w:bCs w:val="0"/>
                      <w:color w:val="auto"/>
                      <w:sz w:val="21"/>
                      <w:szCs w:val="21"/>
                      <w:highlight w:val="none"/>
                      <w:lang w:eastAsia="zh-CN"/>
                    </w:rPr>
                  </w:pPr>
                  <w:r>
                    <w:rPr>
                      <w:rFonts w:hint="eastAsia" w:cs="Times New Roman"/>
                      <w:b w:val="0"/>
                      <w:bCs w:val="0"/>
                      <w:color w:val="auto"/>
                      <w:sz w:val="21"/>
                      <w:szCs w:val="21"/>
                      <w:highlight w:val="none"/>
                      <w:lang w:eastAsia="zh-CN"/>
                    </w:rPr>
                    <w:t>不储存，使用时购买</w:t>
                  </w:r>
                </w:p>
              </w:tc>
            </w:tr>
          </w:tbl>
          <w:p w14:paraId="79B9E8CE">
            <w:pPr>
              <w:pStyle w:val="5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原辅材料理化性质：</w:t>
            </w:r>
          </w:p>
          <w:p w14:paraId="65D8DAA2">
            <w:pPr>
              <w:pStyle w:val="10"/>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color w:val="auto"/>
                <w:kern w:val="2"/>
                <w:sz w:val="24"/>
                <w:szCs w:val="24"/>
                <w:lang w:val="en-US" w:eastAsia="zh-CN" w:bidi="ar-SA"/>
              </w:rPr>
              <w:t>本项目涉及的主要原辅材料理化性质见</w:t>
            </w:r>
            <w:r>
              <w:rPr>
                <w:rFonts w:hint="eastAsia" w:cs="Times New Roman"/>
                <w:color w:val="auto"/>
                <w:kern w:val="2"/>
                <w:sz w:val="24"/>
                <w:szCs w:val="24"/>
                <w:lang w:val="en-US" w:eastAsia="zh-CN" w:bidi="ar-SA"/>
              </w:rPr>
              <w:t>下表</w:t>
            </w:r>
            <w:r>
              <w:rPr>
                <w:rFonts w:hint="default" w:ascii="Times New Roman" w:hAnsi="Times New Roman" w:eastAsia="宋体" w:cs="Times New Roman"/>
                <w:color w:val="auto"/>
                <w:kern w:val="2"/>
                <w:sz w:val="24"/>
                <w:szCs w:val="24"/>
                <w:lang w:val="en-US" w:eastAsia="zh-CN" w:bidi="ar-SA"/>
              </w:rPr>
              <w:t>。</w:t>
            </w:r>
          </w:p>
          <w:p w14:paraId="0B509BD3">
            <w:pPr>
              <w:adjustRightInd w:val="0"/>
              <w:snapToGrid w:val="0"/>
              <w:jc w:val="center"/>
              <w:rPr>
                <w:rFonts w:hint="eastAsia" w:ascii="Times New Roman" w:hAnsi="Times New Roman" w:eastAsia="宋体" w:cs="Times New Roman"/>
                <w:b/>
                <w:iCs/>
                <w:color w:val="auto"/>
                <w:sz w:val="21"/>
                <w:szCs w:val="21"/>
                <w:lang w:eastAsia="zh-CN"/>
              </w:rPr>
            </w:pPr>
            <w:r>
              <w:rPr>
                <w:rFonts w:hint="eastAsia" w:ascii="Times New Roman" w:hAnsi="Times New Roman" w:eastAsia="宋体" w:cs="Times New Roman"/>
                <w:b/>
                <w:iCs/>
                <w:color w:val="auto"/>
                <w:sz w:val="21"/>
                <w:szCs w:val="21"/>
              </w:rPr>
              <w:t>表</w:t>
            </w:r>
            <w:r>
              <w:rPr>
                <w:rFonts w:hint="eastAsia" w:ascii="Times New Roman" w:hAnsi="Times New Roman" w:eastAsia="宋体" w:cs="Times New Roman"/>
                <w:b/>
                <w:iCs/>
                <w:color w:val="auto"/>
                <w:sz w:val="21"/>
                <w:szCs w:val="21"/>
                <w:lang w:val="en-US" w:eastAsia="zh-CN"/>
              </w:rPr>
              <w:t>2-</w:t>
            </w:r>
            <w:r>
              <w:rPr>
                <w:rFonts w:hint="eastAsia" w:cs="Times New Roman"/>
                <w:b/>
                <w:iCs/>
                <w:color w:val="auto"/>
                <w:sz w:val="21"/>
                <w:szCs w:val="21"/>
                <w:lang w:val="en-US" w:eastAsia="zh-CN"/>
              </w:rPr>
              <w:t xml:space="preserve">6 </w:t>
            </w:r>
            <w:r>
              <w:rPr>
                <w:rFonts w:hint="eastAsia" w:ascii="Times New Roman" w:hAnsi="Times New Roman" w:eastAsia="宋体" w:cs="Times New Roman"/>
                <w:b/>
                <w:iCs/>
                <w:color w:val="auto"/>
                <w:sz w:val="21"/>
                <w:szCs w:val="21"/>
              </w:rPr>
              <w:t>原辅材料理化性质</w:t>
            </w:r>
            <w:r>
              <w:rPr>
                <w:rFonts w:hint="eastAsia" w:cs="Times New Roman"/>
                <w:b/>
                <w:iCs/>
                <w:color w:val="auto"/>
                <w:sz w:val="21"/>
                <w:szCs w:val="21"/>
                <w:lang w:eastAsia="zh-CN"/>
              </w:rPr>
              <w:t>一览表</w:t>
            </w:r>
          </w:p>
          <w:tbl>
            <w:tblPr>
              <w:tblStyle w:val="25"/>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5"/>
              <w:gridCol w:w="855"/>
              <w:gridCol w:w="4395"/>
              <w:gridCol w:w="1215"/>
              <w:gridCol w:w="1793"/>
            </w:tblGrid>
            <w:tr w14:paraId="6A521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57" w:type="pct"/>
                  <w:tcBorders>
                    <w:tl2br w:val="nil"/>
                    <w:tr2bl w:val="nil"/>
                  </w:tcBorders>
                  <w:vAlign w:val="center"/>
                </w:tcPr>
                <w:p w14:paraId="51A3EAA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序号</w:t>
                  </w:r>
                </w:p>
              </w:tc>
              <w:tc>
                <w:tcPr>
                  <w:tcW w:w="480" w:type="pct"/>
                  <w:tcBorders>
                    <w:tl2br w:val="nil"/>
                    <w:tr2bl w:val="nil"/>
                  </w:tcBorders>
                  <w:vAlign w:val="center"/>
                </w:tcPr>
                <w:p w14:paraId="64B2DA3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物料名称</w:t>
                  </w:r>
                </w:p>
              </w:tc>
              <w:tc>
                <w:tcPr>
                  <w:tcW w:w="2471" w:type="pct"/>
                  <w:tcBorders>
                    <w:tl2br w:val="nil"/>
                    <w:tr2bl w:val="nil"/>
                  </w:tcBorders>
                  <w:vAlign w:val="center"/>
                </w:tcPr>
                <w:p w14:paraId="0315669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理化性质</w:t>
                  </w:r>
                </w:p>
              </w:tc>
              <w:tc>
                <w:tcPr>
                  <w:tcW w:w="683" w:type="pct"/>
                  <w:tcBorders>
                    <w:tl2br w:val="nil"/>
                    <w:tr2bl w:val="nil"/>
                  </w:tcBorders>
                  <w:vAlign w:val="center"/>
                </w:tcPr>
                <w:p w14:paraId="4C0ECA8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燃烧爆炸性</w:t>
                  </w:r>
                </w:p>
              </w:tc>
              <w:tc>
                <w:tcPr>
                  <w:tcW w:w="1008" w:type="pct"/>
                  <w:tcBorders>
                    <w:tl2br w:val="nil"/>
                    <w:tr2bl w:val="nil"/>
                  </w:tcBorders>
                  <w:vAlign w:val="center"/>
                </w:tcPr>
                <w:p w14:paraId="26AD2FA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毒理性质</w:t>
                  </w:r>
                </w:p>
              </w:tc>
            </w:tr>
            <w:tr w14:paraId="5E08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357" w:type="pct"/>
                  <w:tcBorders>
                    <w:tl2br w:val="nil"/>
                    <w:tr2bl w:val="nil"/>
                  </w:tcBorders>
                  <w:vAlign w:val="center"/>
                </w:tcPr>
                <w:p w14:paraId="20A292B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p>
              </w:tc>
              <w:tc>
                <w:tcPr>
                  <w:tcW w:w="480" w:type="pct"/>
                  <w:tcBorders>
                    <w:tl2br w:val="nil"/>
                    <w:tr2bl w:val="nil"/>
                  </w:tcBorders>
                  <w:vAlign w:val="center"/>
                </w:tcPr>
                <w:p w14:paraId="0FF254C0">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椰壳炭</w:t>
                  </w:r>
                </w:p>
              </w:tc>
              <w:tc>
                <w:tcPr>
                  <w:tcW w:w="2471" w:type="pct"/>
                  <w:tcBorders>
                    <w:tl2br w:val="nil"/>
                    <w:tr2bl w:val="nil"/>
                  </w:tcBorders>
                  <w:vAlign w:val="center"/>
                </w:tcPr>
                <w:p w14:paraId="5502B1BD">
                  <w:pPr>
                    <w:pStyle w:val="6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外观为黑色，颗粒状，</w:t>
                  </w:r>
                  <w:r>
                    <w:rPr>
                      <w:rStyle w:val="28"/>
                      <w:rFonts w:hint="default" w:ascii="Times New Roman" w:hAnsi="Times New Roman" w:eastAsia="宋体" w:cs="Times New Roman"/>
                      <w:b w:val="0"/>
                      <w:bCs/>
                      <w:sz w:val="21"/>
                      <w:szCs w:val="21"/>
                    </w:rPr>
                    <w:t>主要成分是碳，‌其含量高达9</w:t>
                  </w:r>
                  <w:r>
                    <w:rPr>
                      <w:rStyle w:val="28"/>
                      <w:rFonts w:hint="default" w:ascii="Times New Roman" w:hAnsi="Times New Roman" w:eastAsia="宋体" w:cs="Times New Roman"/>
                      <w:b w:val="0"/>
                      <w:bCs/>
                      <w:sz w:val="21"/>
                      <w:szCs w:val="21"/>
                      <w:lang w:val="en-US" w:eastAsia="zh-CN"/>
                    </w:rPr>
                    <w:t>9.8</w:t>
                  </w:r>
                  <w:r>
                    <w:rPr>
                      <w:rStyle w:val="28"/>
                      <w:rFonts w:hint="default" w:ascii="Times New Roman" w:hAnsi="Times New Roman" w:eastAsia="宋体" w:cs="Times New Roman"/>
                      <w:b w:val="0"/>
                      <w:bCs/>
                      <w:sz w:val="21"/>
                      <w:szCs w:val="21"/>
                    </w:rPr>
                    <w:t>%。‌</w:t>
                  </w:r>
                  <w:r>
                    <w:rPr>
                      <w:rFonts w:hint="default" w:ascii="Times New Roman" w:hAnsi="Times New Roman" w:eastAsia="宋体" w:cs="Times New Roman"/>
                      <w:b w:val="0"/>
                      <w:bCs/>
                      <w:sz w:val="21"/>
                      <w:szCs w:val="21"/>
                    </w:rPr>
                    <w:t>这种高纯度的碳元素赋予了椰壳炭极高的吸附能力和稳定性。‌</w:t>
                  </w:r>
                </w:p>
              </w:tc>
              <w:tc>
                <w:tcPr>
                  <w:tcW w:w="683" w:type="pct"/>
                  <w:tcBorders>
                    <w:tl2br w:val="nil"/>
                    <w:tr2bl w:val="nil"/>
                  </w:tcBorders>
                  <w:vAlign w:val="center"/>
                </w:tcPr>
                <w:p w14:paraId="78212491">
                  <w:pPr>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2"/>
                      <w:sz w:val="21"/>
                      <w:szCs w:val="21"/>
                      <w:highlight w:val="none"/>
                      <w:lang w:val="en-US" w:eastAsia="zh-CN" w:bidi="ar-SA"/>
                    </w:rPr>
                    <w:t>可燃</w:t>
                  </w:r>
                </w:p>
              </w:tc>
              <w:tc>
                <w:tcPr>
                  <w:tcW w:w="1008" w:type="pct"/>
                  <w:tcBorders>
                    <w:tl2br w:val="nil"/>
                    <w:tr2bl w:val="nil"/>
                  </w:tcBorders>
                  <w:vAlign w:val="center"/>
                </w:tcPr>
                <w:p w14:paraId="77B3C025">
                  <w:pPr>
                    <w:keepNext w:val="0"/>
                    <w:keepLines w:val="0"/>
                    <w:widowControl/>
                    <w:suppressLineNumbers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kern w:val="0"/>
                      <w:sz w:val="21"/>
                      <w:szCs w:val="21"/>
                      <w:lang w:val="en-US" w:eastAsia="zh-CN" w:bidi="ar"/>
                    </w:rPr>
                    <w:t>无毒</w:t>
                  </w:r>
                </w:p>
              </w:tc>
            </w:tr>
            <w:tr w14:paraId="3234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2" w:hRule="atLeast"/>
                <w:jc w:val="center"/>
              </w:trPr>
              <w:tc>
                <w:tcPr>
                  <w:tcW w:w="357" w:type="pct"/>
                  <w:tcBorders>
                    <w:tl2br w:val="nil"/>
                    <w:tr2bl w:val="nil"/>
                  </w:tcBorders>
                  <w:vAlign w:val="center"/>
                </w:tcPr>
                <w:p w14:paraId="26B22D0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eastAsia="zh-CN"/>
                    </w:rPr>
                  </w:pPr>
                  <w:r>
                    <w:rPr>
                      <w:rFonts w:hint="eastAsia" w:cs="Times New Roman"/>
                      <w:color w:val="auto"/>
                      <w:sz w:val="21"/>
                      <w:szCs w:val="21"/>
                      <w:lang w:val="en-US" w:eastAsia="zh-CN"/>
                    </w:rPr>
                    <w:t>2</w:t>
                  </w:r>
                </w:p>
              </w:tc>
              <w:tc>
                <w:tcPr>
                  <w:tcW w:w="480" w:type="pct"/>
                  <w:tcBorders>
                    <w:tl2br w:val="nil"/>
                    <w:tr2bl w:val="nil"/>
                  </w:tcBorders>
                  <w:vAlign w:val="center"/>
                </w:tcPr>
                <w:p w14:paraId="0AE58C16">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eastAsia="zh-CN"/>
                    </w:rPr>
                    <w:t>盐酸</w:t>
                  </w:r>
                </w:p>
              </w:tc>
              <w:tc>
                <w:tcPr>
                  <w:tcW w:w="2471" w:type="pct"/>
                  <w:tcBorders>
                    <w:tl2br w:val="nil"/>
                    <w:tr2bl w:val="nil"/>
                  </w:tcBorders>
                  <w:vAlign w:val="center"/>
                </w:tcPr>
                <w:p w14:paraId="20372149">
                  <w:pPr>
                    <w:keepNext w:val="0"/>
                    <w:keepLines w:val="0"/>
                    <w:widowControl/>
                    <w:suppressLineNumbers w:val="0"/>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rPr>
                    <w:t>氯化氢，无色，沸点为-85 °C，熔点为-114.2 °C；气体密度为1.639kg/m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（0 °C，0.1MPa），气体比重为1.268（0 °C，空气=1），摩尔体积为22.25L；临界温度是51.4 °C</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临界压力是8260 kPa, 临界密度是420kg/m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。易溶于水、乙醇和醚，微溶于其它多种有机物 ，其水溶液为盐酸，浓盐酸具有挥发性，工业用盐酸常呈微黄色，主要是因为三氯化铁的存在。氯化氢有强烈的偶极，与其它偶极易产生氢键。氯化氢气体有窒息性的气味，对上呼吸道有强刺激，对眼、皮肤、黏膜有腐蚀。氯化氢与水不反应，遇空气中水分呈现雾状，稳定性较强，在空气中不燃烧，分解温度高于1500 ℃。干燥的氯化氢化学性质很不活泼，纯态氯化氢和多数金属不发生反应，但可与碱金属、铝、锰、铁、铜、锌、铅等金属进行反应</w:t>
                  </w:r>
                  <w:r>
                    <w:rPr>
                      <w:rFonts w:hint="eastAsia" w:ascii="Times New Roman" w:hAnsi="Times New Roman" w:eastAsia="宋体" w:cs="Times New Roman"/>
                      <w:sz w:val="21"/>
                      <w:szCs w:val="21"/>
                      <w:lang w:eastAsia="zh-CN"/>
                    </w:rPr>
                    <w:t>。</w:t>
                  </w:r>
                </w:p>
              </w:tc>
              <w:tc>
                <w:tcPr>
                  <w:tcW w:w="683" w:type="pct"/>
                  <w:tcBorders>
                    <w:tl2br w:val="nil"/>
                    <w:tr2bl w:val="nil"/>
                  </w:tcBorders>
                  <w:vAlign w:val="center"/>
                </w:tcPr>
                <w:p w14:paraId="762D2ABF">
                  <w:pPr>
                    <w:spacing w:line="30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kern w:val="2"/>
                      <w:sz w:val="21"/>
                      <w:szCs w:val="21"/>
                      <w:highlight w:val="none"/>
                      <w:lang w:val="en-US" w:eastAsia="zh-CN" w:bidi="ar-SA"/>
                    </w:rPr>
                    <w:t>不可燃</w:t>
                  </w:r>
                </w:p>
              </w:tc>
              <w:tc>
                <w:tcPr>
                  <w:tcW w:w="1008" w:type="pct"/>
                  <w:tcBorders>
                    <w:tl2br w:val="nil"/>
                    <w:tr2bl w:val="nil"/>
                  </w:tcBorders>
                  <w:vAlign w:val="center"/>
                </w:tcPr>
                <w:p w14:paraId="6804DD02">
                  <w:pPr>
                    <w:keepNext w:val="0"/>
                    <w:keepLines w:val="0"/>
                    <w:widowControl/>
                    <w:suppressLineNumbers w:val="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sz w:val="21"/>
                      <w:szCs w:val="21"/>
                    </w:rPr>
                    <w:t>氯化氢对眼、呼吸道黏膜具有强刺激性。急性中毒会引起头痛、呼吸困难、肺水肿等症状；慢性中毒会引起慢性支气管炎、胃功能障碍、牙齿酸蚀等特征</w:t>
                  </w:r>
                  <w:r>
                    <w:rPr>
                      <w:rFonts w:hint="eastAsia" w:ascii="Times New Roman" w:hAnsi="Times New Roman" w:eastAsia="宋体" w:cs="Times New Roman"/>
                      <w:sz w:val="21"/>
                      <w:szCs w:val="21"/>
                      <w:lang w:eastAsia="zh-CN"/>
                    </w:rPr>
                    <w:t>。</w:t>
                  </w:r>
                </w:p>
              </w:tc>
            </w:tr>
            <w:tr w14:paraId="064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357" w:type="pct"/>
                  <w:tcBorders>
                    <w:tl2br w:val="nil"/>
                    <w:tr2bl w:val="nil"/>
                  </w:tcBorders>
                  <w:vAlign w:val="center"/>
                </w:tcPr>
                <w:p w14:paraId="025921ED">
                  <w:pPr>
                    <w:spacing w:line="300" w:lineRule="exact"/>
                    <w:jc w:val="center"/>
                    <w:rPr>
                      <w:rFonts w:hint="default" w:ascii="Times New Roman" w:hAnsi="Times New Roman" w:eastAsia="宋体" w:cs="Times New Roman"/>
                      <w:bCs/>
                      <w:color w:val="auto"/>
                      <w:sz w:val="21"/>
                      <w:szCs w:val="21"/>
                      <w:highlight w:val="none"/>
                      <w:lang w:eastAsia="zh-CN"/>
                    </w:rPr>
                  </w:pPr>
                  <w:r>
                    <w:rPr>
                      <w:rFonts w:hint="eastAsia" w:cs="Times New Roman"/>
                      <w:color w:val="auto"/>
                      <w:sz w:val="21"/>
                      <w:szCs w:val="21"/>
                      <w:lang w:val="en-US" w:eastAsia="zh-CN"/>
                    </w:rPr>
                    <w:t>3</w:t>
                  </w:r>
                </w:p>
              </w:tc>
              <w:tc>
                <w:tcPr>
                  <w:tcW w:w="480" w:type="pct"/>
                  <w:tcBorders>
                    <w:tl2br w:val="nil"/>
                    <w:tr2bl w:val="nil"/>
                  </w:tcBorders>
                  <w:vAlign w:val="center"/>
                </w:tcPr>
                <w:p w14:paraId="31B17F95">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lang w:val="en-US" w:eastAsia="zh-CN"/>
                    </w:rPr>
                    <w:t>液碱</w:t>
                  </w:r>
                </w:p>
              </w:tc>
              <w:tc>
                <w:tcPr>
                  <w:tcW w:w="2471" w:type="pct"/>
                  <w:tcBorders>
                    <w:tl2br w:val="nil"/>
                    <w:tr2bl w:val="nil"/>
                  </w:tcBorders>
                  <w:vAlign w:val="center"/>
                </w:tcPr>
                <w:p w14:paraId="672E5320">
                  <w:pPr>
                    <w:keepNext w:val="0"/>
                    <w:keepLines w:val="0"/>
                    <w:widowControl/>
                    <w:suppressLineNumbers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rPr>
                    <w:t>液碱是氢氧化钠的一种,即液态的氢氧化钠,纯液体烧碱称为液碱,为无色透明液体。相对密度1.328-1.349，熔点318.4℃，沸点1390℃。纯液体烧碱称为液碱，为无色透明液体。工业品多含杂质，主要为氯化钠及碳酸钠等，有时还有少量氧化铁。当溶成浓液碱后，大部分杂质会上浮液面，可分离除去。</w:t>
                  </w:r>
                </w:p>
              </w:tc>
              <w:tc>
                <w:tcPr>
                  <w:tcW w:w="683" w:type="pct"/>
                  <w:tcBorders>
                    <w:tl2br w:val="nil"/>
                    <w:tr2bl w:val="nil"/>
                  </w:tcBorders>
                  <w:vAlign w:val="center"/>
                </w:tcPr>
                <w:p w14:paraId="5DC10D63">
                  <w:pPr>
                    <w:spacing w:line="30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不可燃</w:t>
                  </w:r>
                </w:p>
              </w:tc>
              <w:tc>
                <w:tcPr>
                  <w:tcW w:w="1008" w:type="pct"/>
                  <w:tcBorders>
                    <w:tl2br w:val="nil"/>
                    <w:tr2bl w:val="nil"/>
                  </w:tcBorders>
                  <w:vAlign w:val="center"/>
                </w:tcPr>
                <w:p w14:paraId="5C9FC35B">
                  <w:pPr>
                    <w:keepNext w:val="0"/>
                    <w:keepLines w:val="0"/>
                    <w:widowControl/>
                    <w:suppressLineNumbers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rPr>
                    <w:t>有强烈刺激和腐蚀性。粉尘或烟雾刺激眼和呼吸道，腐蚀鼻中隔，皮肤和眼直接接触可引起灼伤</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误服可造成消化道灼伤，粘膜糜烂、出血和休克。</w:t>
                  </w:r>
                </w:p>
              </w:tc>
            </w:tr>
          </w:tbl>
          <w:p w14:paraId="39568368">
            <w:pPr>
              <w:pStyle w:val="5"/>
              <w:spacing w:before="0" w:after="0" w:line="460" w:lineRule="exact"/>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、公用系统能耗</w:t>
            </w:r>
          </w:p>
          <w:p w14:paraId="22703841">
            <w:pPr>
              <w:pStyle w:val="46"/>
              <w:snapToGrid w:val="0"/>
              <w:spacing w:line="240" w:lineRule="auto"/>
              <w:ind w:firstLine="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表2-</w:t>
            </w:r>
            <w:r>
              <w:rPr>
                <w:rFonts w:hint="eastAsia" w:ascii="Times New Roman" w:cs="Times New Roman"/>
                <w:b/>
                <w:bCs/>
                <w:color w:val="auto"/>
                <w:kern w:val="2"/>
                <w:sz w:val="21"/>
                <w:szCs w:val="21"/>
                <w:lang w:val="en-US" w:eastAsia="zh-CN"/>
              </w:rPr>
              <w:t>7</w:t>
            </w:r>
            <w:r>
              <w:rPr>
                <w:rFonts w:hint="default" w:ascii="Times New Roman" w:hAnsi="Times New Roman" w:eastAsia="宋体" w:cs="Times New Roman"/>
                <w:b/>
                <w:bCs/>
                <w:color w:val="auto"/>
                <w:kern w:val="2"/>
                <w:sz w:val="21"/>
                <w:szCs w:val="21"/>
              </w:rPr>
              <w:t xml:space="preserve"> 项目公用系统能耗明细表</w:t>
            </w:r>
          </w:p>
          <w:tbl>
            <w:tblPr>
              <w:tblStyle w:val="25"/>
              <w:tblW w:w="8899"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791"/>
              <w:gridCol w:w="2220"/>
              <w:gridCol w:w="1995"/>
              <w:gridCol w:w="2893"/>
            </w:tblGrid>
            <w:tr w14:paraId="5F34B9F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387CCA59">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220" w:type="dxa"/>
                  <w:noWrap w:val="0"/>
                  <w:vAlign w:val="center"/>
                </w:tcPr>
                <w:p w14:paraId="35F1A54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1995" w:type="dxa"/>
                  <w:noWrap w:val="0"/>
                  <w:vAlign w:val="center"/>
                </w:tcPr>
                <w:p w14:paraId="3861F8E9">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单位</w:t>
                  </w:r>
                </w:p>
              </w:tc>
              <w:tc>
                <w:tcPr>
                  <w:tcW w:w="2893" w:type="dxa"/>
                  <w:noWrap w:val="0"/>
                  <w:vAlign w:val="center"/>
                </w:tcPr>
                <w:p w14:paraId="1698EA52">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消耗量</w:t>
                  </w:r>
                </w:p>
              </w:tc>
            </w:tr>
            <w:tr w14:paraId="37F6ACE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4396FBE0">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20" w:type="dxa"/>
                  <w:noWrap w:val="0"/>
                  <w:vAlign w:val="center"/>
                </w:tcPr>
                <w:p w14:paraId="3074F8B4">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w:t>
                  </w:r>
                </w:p>
              </w:tc>
              <w:tc>
                <w:tcPr>
                  <w:tcW w:w="1995" w:type="dxa"/>
                  <w:noWrap w:val="0"/>
                  <w:vAlign w:val="center"/>
                </w:tcPr>
                <w:p w14:paraId="729ACD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2893" w:type="dxa"/>
                  <w:noWrap w:val="0"/>
                  <w:vAlign w:val="center"/>
                </w:tcPr>
                <w:p w14:paraId="788B7B2E">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298594</w:t>
                  </w:r>
                </w:p>
              </w:tc>
            </w:tr>
            <w:tr w14:paraId="7E9BB6A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791" w:type="dxa"/>
                  <w:noWrap w:val="0"/>
                  <w:vAlign w:val="center"/>
                </w:tcPr>
                <w:p w14:paraId="57C1FE55">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220" w:type="dxa"/>
                  <w:noWrap w:val="0"/>
                  <w:vAlign w:val="center"/>
                </w:tcPr>
                <w:p w14:paraId="1251FD5F">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w:t>
                  </w:r>
                </w:p>
              </w:tc>
              <w:tc>
                <w:tcPr>
                  <w:tcW w:w="1995" w:type="dxa"/>
                  <w:noWrap w:val="0"/>
                  <w:vAlign w:val="center"/>
                </w:tcPr>
                <w:p w14:paraId="07FEAE7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iCs/>
                      <w:color w:val="auto"/>
                      <w:sz w:val="21"/>
                      <w:szCs w:val="21"/>
                      <w:lang w:eastAsia="zh-CN"/>
                    </w:rPr>
                    <w:t>万</w:t>
                  </w:r>
                  <w:r>
                    <w:rPr>
                      <w:rFonts w:hint="default" w:ascii="Times New Roman" w:hAnsi="Times New Roman" w:eastAsia="宋体" w:cs="Times New Roman"/>
                      <w:iCs/>
                      <w:color w:val="auto"/>
                      <w:sz w:val="21"/>
                      <w:szCs w:val="21"/>
                    </w:rPr>
                    <w:t>kwh/a</w:t>
                  </w:r>
                </w:p>
              </w:tc>
              <w:tc>
                <w:tcPr>
                  <w:tcW w:w="2893" w:type="dxa"/>
                  <w:noWrap w:val="0"/>
                  <w:vAlign w:val="center"/>
                </w:tcPr>
                <w:p w14:paraId="4A4FD00E">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2600</w:t>
                  </w:r>
                </w:p>
              </w:tc>
            </w:tr>
          </w:tbl>
          <w:p w14:paraId="7CE1D5CA">
            <w:pPr>
              <w:spacing w:line="240" w:lineRule="auto"/>
              <w:rPr>
                <w:b/>
                <w:color w:val="auto"/>
                <w:sz w:val="24"/>
                <w:szCs w:val="24"/>
              </w:rPr>
            </w:pPr>
            <w:r>
              <w:rPr>
                <w:rFonts w:hint="eastAsia"/>
                <w:b/>
                <w:color w:val="auto"/>
                <w:sz w:val="24"/>
                <w:szCs w:val="24"/>
                <w:lang w:val="en-US" w:eastAsia="zh-CN"/>
              </w:rPr>
              <w:t>6</w:t>
            </w:r>
            <w:r>
              <w:rPr>
                <w:b/>
                <w:color w:val="auto"/>
                <w:sz w:val="24"/>
                <w:szCs w:val="24"/>
              </w:rPr>
              <w:t>、</w:t>
            </w:r>
            <w:r>
              <w:rPr>
                <w:rFonts w:hint="eastAsia"/>
                <w:b/>
                <w:color w:val="auto"/>
                <w:sz w:val="24"/>
                <w:szCs w:val="24"/>
              </w:rPr>
              <w:t>项目公用工程</w:t>
            </w:r>
          </w:p>
          <w:p w14:paraId="6270601A">
            <w:pPr>
              <w:adjustRightInd w:val="0"/>
              <w:spacing w:line="360" w:lineRule="auto"/>
              <w:ind w:firstLine="480" w:firstLineChars="200"/>
              <w:rPr>
                <w:color w:val="auto"/>
                <w:sz w:val="24"/>
                <w:szCs w:val="24"/>
                <w:highlight w:val="yellow"/>
              </w:rPr>
            </w:pPr>
            <w:r>
              <w:rPr>
                <w:rFonts w:hint="eastAsia"/>
                <w:color w:val="auto"/>
                <w:sz w:val="24"/>
                <w:szCs w:val="24"/>
              </w:rPr>
              <w:t>（1）</w:t>
            </w:r>
            <w:r>
              <w:rPr>
                <w:color w:val="auto"/>
                <w:sz w:val="24"/>
                <w:szCs w:val="24"/>
              </w:rPr>
              <w:t>给水：</w:t>
            </w:r>
            <w:r>
              <w:rPr>
                <w:color w:val="auto"/>
                <w:sz w:val="24"/>
              </w:rPr>
              <w:t>项目给水引自市政供水管网</w:t>
            </w:r>
            <w:r>
              <w:rPr>
                <w:rFonts w:hint="eastAsia"/>
                <w:bCs/>
                <w:color w:val="auto"/>
                <w:sz w:val="24"/>
                <w:szCs w:val="24"/>
              </w:rPr>
              <w:t>，</w:t>
            </w:r>
            <w:r>
              <w:rPr>
                <w:rFonts w:hint="eastAsia"/>
                <w:color w:val="auto"/>
                <w:sz w:val="24"/>
                <w:szCs w:val="24"/>
                <w:lang w:eastAsia="zh-CN"/>
              </w:rPr>
              <w:t>用水量约</w:t>
            </w:r>
            <w:r>
              <w:rPr>
                <w:rFonts w:hint="eastAsia"/>
                <w:color w:val="auto"/>
                <w:sz w:val="24"/>
                <w:szCs w:val="24"/>
                <w:lang w:val="en-US" w:eastAsia="zh-CN"/>
              </w:rPr>
              <w:t>298594m</w:t>
            </w:r>
            <w:r>
              <w:rPr>
                <w:rFonts w:hint="eastAsia"/>
                <w:color w:val="auto"/>
                <w:sz w:val="24"/>
                <w:szCs w:val="24"/>
                <w:vertAlign w:val="superscript"/>
                <w:lang w:val="en-US" w:eastAsia="zh-CN"/>
              </w:rPr>
              <w:t>3</w:t>
            </w:r>
            <w:r>
              <w:rPr>
                <w:color w:val="auto"/>
                <w:sz w:val="24"/>
                <w:szCs w:val="24"/>
              </w:rPr>
              <w:t>/a。</w:t>
            </w:r>
          </w:p>
          <w:p w14:paraId="62581C21">
            <w:pPr>
              <w:adjustRightInd w:val="0"/>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rPr>
              <w:t>（2）</w:t>
            </w:r>
            <w:r>
              <w:rPr>
                <w:color w:val="auto"/>
                <w:sz w:val="24"/>
                <w:szCs w:val="24"/>
              </w:rPr>
              <w:t>排水：</w:t>
            </w:r>
            <w:r>
              <w:rPr>
                <w:rFonts w:hint="eastAsia"/>
                <w:color w:val="auto"/>
                <w:sz w:val="24"/>
                <w:szCs w:val="24"/>
                <w:lang w:eastAsia="zh-CN"/>
              </w:rPr>
              <w:t>项目废水排放量为</w:t>
            </w:r>
            <w:r>
              <w:rPr>
                <w:rFonts w:hint="eastAsia"/>
                <w:color w:val="auto"/>
                <w:sz w:val="24"/>
                <w:szCs w:val="24"/>
                <w:lang w:val="en-US" w:eastAsia="zh-CN"/>
              </w:rPr>
              <w:t>201351</w:t>
            </w:r>
            <w:r>
              <w:rPr>
                <w:color w:val="auto"/>
                <w:sz w:val="24"/>
                <w:szCs w:val="24"/>
              </w:rPr>
              <w:t>t/a。</w:t>
            </w:r>
            <w:r>
              <w:rPr>
                <w:rFonts w:hint="eastAsia"/>
                <w:b w:val="0"/>
                <w:bCs/>
                <w:color w:val="auto"/>
                <w:sz w:val="24"/>
                <w:szCs w:val="24"/>
              </w:rPr>
              <w:t>项目生活污水经</w:t>
            </w:r>
            <w:r>
              <w:rPr>
                <w:rFonts w:hint="eastAsia"/>
                <w:b w:val="0"/>
                <w:bCs/>
                <w:color w:val="auto"/>
                <w:sz w:val="24"/>
                <w:szCs w:val="24"/>
                <w:lang w:eastAsia="zh-CN"/>
              </w:rPr>
              <w:t>隔油池、</w:t>
            </w:r>
            <w:r>
              <w:rPr>
                <w:rFonts w:hint="eastAsia"/>
                <w:b w:val="0"/>
                <w:bCs/>
                <w:color w:val="auto"/>
                <w:sz w:val="24"/>
                <w:szCs w:val="24"/>
              </w:rPr>
              <w:t>化粪池</w:t>
            </w:r>
            <w:r>
              <w:rPr>
                <w:rFonts w:hint="eastAsia"/>
                <w:color w:val="auto"/>
                <w:sz w:val="24"/>
                <w:szCs w:val="24"/>
                <w:lang w:eastAsia="zh-CN"/>
              </w:rPr>
              <w:t>预处理，酸性废水和喷淋废水采用液碱在中和罐进行中和至中性后进入调节池，与纯水制备浓水、反冲洗废水、循环冷却排水、生活污水</w:t>
            </w:r>
            <w:r>
              <w:rPr>
                <w:rFonts w:hint="eastAsia"/>
                <w:b w:val="0"/>
                <w:bCs/>
                <w:color w:val="auto"/>
                <w:sz w:val="24"/>
                <w:szCs w:val="24"/>
                <w:lang w:eastAsia="zh-CN"/>
              </w:rPr>
              <w:t>、初期雨水</w:t>
            </w:r>
            <w:r>
              <w:rPr>
                <w:rFonts w:hint="eastAsia"/>
                <w:color w:val="auto"/>
                <w:sz w:val="24"/>
                <w:szCs w:val="24"/>
                <w:lang w:eastAsia="zh-CN"/>
              </w:rPr>
              <w:t>一同排入园区污水管网，</w:t>
            </w:r>
            <w:r>
              <w:rPr>
                <w:rFonts w:hint="default" w:ascii="Times New Roman" w:hAnsi="Times New Roman" w:cs="Times New Roman"/>
                <w:color w:val="auto"/>
                <w:sz w:val="24"/>
                <w:szCs w:val="24"/>
                <w:lang w:eastAsia="zh-CN"/>
              </w:rPr>
              <w:t>进入固镇经济开发区污水处理厂处理达标后排入北淝河下段。</w:t>
            </w:r>
          </w:p>
          <w:p w14:paraId="4A08D51D">
            <w:pPr>
              <w:adjustRightInd w:val="0"/>
              <w:spacing w:line="360" w:lineRule="auto"/>
              <w:ind w:firstLine="480" w:firstLineChars="200"/>
              <w:rPr>
                <w:color w:val="auto"/>
                <w:sz w:val="24"/>
                <w:szCs w:val="24"/>
              </w:rPr>
            </w:pPr>
            <w:r>
              <w:rPr>
                <w:rFonts w:hint="eastAsia"/>
                <w:color w:val="auto"/>
                <w:sz w:val="24"/>
                <w:szCs w:val="24"/>
              </w:rPr>
              <w:t>（3）</w:t>
            </w:r>
            <w:r>
              <w:rPr>
                <w:color w:val="auto"/>
                <w:sz w:val="24"/>
                <w:szCs w:val="24"/>
              </w:rPr>
              <w:t>供电：项目用电</w:t>
            </w:r>
            <w:r>
              <w:rPr>
                <w:rFonts w:hint="eastAsia"/>
                <w:color w:val="auto"/>
                <w:sz w:val="24"/>
                <w:szCs w:val="24"/>
              </w:rPr>
              <w:t>由市政输电系统供给</w:t>
            </w:r>
            <w:r>
              <w:rPr>
                <w:color w:val="auto"/>
                <w:sz w:val="24"/>
                <w:szCs w:val="24"/>
              </w:rPr>
              <w:t>，用电量约</w:t>
            </w:r>
            <w:r>
              <w:rPr>
                <w:rFonts w:hint="eastAsia"/>
                <w:color w:val="auto"/>
                <w:sz w:val="24"/>
                <w:szCs w:val="24"/>
                <w:lang w:val="en-US" w:eastAsia="zh-CN"/>
              </w:rPr>
              <w:t>2600</w:t>
            </w:r>
            <w:r>
              <w:rPr>
                <w:color w:val="auto"/>
                <w:sz w:val="24"/>
                <w:szCs w:val="24"/>
              </w:rPr>
              <w:t>万</w:t>
            </w:r>
            <w:r>
              <w:rPr>
                <w:rFonts w:hint="eastAsia"/>
                <w:color w:val="auto"/>
                <w:sz w:val="24"/>
                <w:szCs w:val="24"/>
              </w:rPr>
              <w:t>k</w:t>
            </w:r>
            <w:r>
              <w:rPr>
                <w:color w:val="auto"/>
                <w:sz w:val="24"/>
                <w:szCs w:val="24"/>
              </w:rPr>
              <w:t>Wh/a。</w:t>
            </w:r>
          </w:p>
          <w:p w14:paraId="4464A8D5">
            <w:pPr>
              <w:spacing w:line="360" w:lineRule="auto"/>
              <w:rPr>
                <w:b/>
                <w:color w:val="auto"/>
                <w:sz w:val="24"/>
              </w:rPr>
            </w:pPr>
            <w:r>
              <w:rPr>
                <w:rFonts w:hint="eastAsia"/>
                <w:b/>
                <w:color w:val="auto"/>
                <w:sz w:val="24"/>
                <w:lang w:val="en-US" w:eastAsia="zh-CN"/>
              </w:rPr>
              <w:t>7</w:t>
            </w:r>
            <w:r>
              <w:rPr>
                <w:rFonts w:hint="eastAsia"/>
                <w:b/>
                <w:color w:val="auto"/>
                <w:sz w:val="24"/>
              </w:rPr>
              <w:t>、项目水平衡</w:t>
            </w:r>
          </w:p>
          <w:p w14:paraId="1CA2371B">
            <w:pPr>
              <w:spacing w:line="360" w:lineRule="auto"/>
              <w:ind w:firstLine="480" w:firstLineChars="200"/>
              <w:rPr>
                <w:rFonts w:hint="eastAsia" w:eastAsia="宋体"/>
                <w:color w:val="auto"/>
                <w:sz w:val="24"/>
                <w:lang w:eastAsia="zh-CN"/>
              </w:rPr>
            </w:pPr>
            <w:r>
              <w:rPr>
                <w:color w:val="auto"/>
                <w:sz w:val="24"/>
              </w:rPr>
              <w:t>项目</w:t>
            </w:r>
            <w:r>
              <w:rPr>
                <w:rFonts w:hint="eastAsia"/>
                <w:color w:val="auto"/>
                <w:sz w:val="24"/>
                <w:lang w:eastAsia="zh-CN"/>
              </w:rPr>
              <w:t>用水来自市政供水管网，用水主要为职工生活用水、制水蒸气用水、酸洗用水、水洗用水、循环冷却用水、纯水制备用水、反冲洗用水、喷淋用水。废水主要为生活污水、酸性废水中和后废水、循环冷却排水、纯水制备浓水、反冲洗废水、喷淋废水。</w:t>
            </w:r>
          </w:p>
          <w:p w14:paraId="4BA45B3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default" w:ascii="Times New Roman" w:hAnsi="Times New Roman" w:eastAsia="宋体" w:cs="Times New Roman"/>
                <w:color w:val="auto"/>
                <w:sz w:val="24"/>
                <w:szCs w:val="24"/>
              </w:rPr>
              <w:t>生活</w:t>
            </w:r>
            <w:r>
              <w:rPr>
                <w:rFonts w:hint="eastAsia" w:cs="Times New Roman"/>
                <w:color w:val="auto"/>
                <w:sz w:val="24"/>
                <w:szCs w:val="24"/>
                <w:lang w:eastAsia="zh-CN"/>
              </w:rPr>
              <w:t>用水</w:t>
            </w:r>
            <w:r>
              <w:rPr>
                <w:rFonts w:hint="default" w:ascii="Times New Roman" w:hAnsi="Times New Roman" w:eastAsia="宋体" w:cs="Times New Roman"/>
                <w:color w:val="auto"/>
                <w:sz w:val="24"/>
                <w:szCs w:val="24"/>
              </w:rPr>
              <w:t>：本项目职工</w:t>
            </w:r>
            <w:r>
              <w:rPr>
                <w:color w:val="auto"/>
                <w:sz w:val="24"/>
              </w:rPr>
              <w:t>人数为</w:t>
            </w:r>
            <w:r>
              <w:rPr>
                <w:rFonts w:hint="eastAsia"/>
                <w:color w:val="auto"/>
                <w:sz w:val="24"/>
                <w:lang w:val="en-US" w:eastAsia="zh-CN"/>
              </w:rPr>
              <w:t>80</w:t>
            </w:r>
            <w:r>
              <w:rPr>
                <w:color w:val="auto"/>
                <w:sz w:val="24"/>
                <w:szCs w:val="24"/>
              </w:rPr>
              <w:t>人，</w:t>
            </w:r>
            <w:r>
              <w:rPr>
                <w:rFonts w:hint="eastAsia"/>
                <w:color w:val="auto"/>
                <w:sz w:val="24"/>
                <w:szCs w:val="24"/>
                <w:lang w:eastAsia="zh-CN"/>
              </w:rPr>
              <w:t>设食宿。</w:t>
            </w:r>
            <w:r>
              <w:rPr>
                <w:color w:val="auto"/>
                <w:sz w:val="24"/>
                <w:szCs w:val="24"/>
              </w:rPr>
              <w:t>根据</w:t>
            </w:r>
            <w:r>
              <w:rPr>
                <w:rFonts w:hint="default" w:ascii="Times New Roman" w:hAnsi="Times New Roman" w:eastAsia="宋体" w:cs="Times New Roman"/>
                <w:color w:val="auto"/>
                <w:kern w:val="0"/>
                <w:sz w:val="24"/>
              </w:rPr>
              <w:t>《安徽省行业用水定额</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（DB34/T 679─201</w:t>
            </w:r>
            <w:r>
              <w:rPr>
                <w:rFonts w:hint="default"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rPr>
              <w:t>）</w:t>
            </w:r>
            <w:r>
              <w:rPr>
                <w:color w:val="auto"/>
                <w:sz w:val="24"/>
                <w:szCs w:val="24"/>
              </w:rPr>
              <w:t>，</w:t>
            </w:r>
            <w:r>
              <w:rPr>
                <w:rFonts w:hint="eastAsia"/>
                <w:color w:val="auto"/>
                <w:sz w:val="24"/>
                <w:lang w:eastAsia="zh-CN"/>
              </w:rPr>
              <w:t>职工</w:t>
            </w:r>
            <w:r>
              <w:rPr>
                <w:rFonts w:hint="default" w:ascii="Times New Roman" w:hAnsi="Times New Roman" w:eastAsia="宋体" w:cs="Times New Roman"/>
                <w:color w:val="auto"/>
                <w:sz w:val="24"/>
              </w:rPr>
              <w:t>生活用水量按</w:t>
            </w:r>
            <w:r>
              <w:rPr>
                <w:rFonts w:hint="eastAsia" w:cs="Times New Roman"/>
                <w:color w:val="auto"/>
                <w:sz w:val="24"/>
                <w:lang w:val="en-US" w:eastAsia="zh-CN"/>
              </w:rPr>
              <w:t>180</w:t>
            </w:r>
            <w:r>
              <w:rPr>
                <w:rFonts w:hint="default" w:ascii="Times New Roman" w:hAnsi="Times New Roman" w:eastAsia="宋体" w:cs="Times New Roman"/>
                <w:color w:val="auto"/>
                <w:sz w:val="24"/>
              </w:rPr>
              <w:t>L/人·d计</w:t>
            </w:r>
            <w:r>
              <w:rPr>
                <w:rFonts w:hint="eastAsia" w:ascii="Times New Roman" w:hAnsi="Times New Roman" w:eastAsia="宋体" w:cs="Times New Roman"/>
                <w:color w:val="auto"/>
                <w:sz w:val="24"/>
                <w:lang w:eastAsia="zh-CN"/>
              </w:rPr>
              <w:t>，</w:t>
            </w:r>
            <w:r>
              <w:rPr>
                <w:color w:val="auto"/>
                <w:sz w:val="24"/>
              </w:rPr>
              <w:t>则生活用水量约为</w:t>
            </w:r>
            <w:r>
              <w:rPr>
                <w:rFonts w:hint="eastAsia"/>
                <w:color w:val="auto"/>
                <w:sz w:val="24"/>
                <w:lang w:val="en-US" w:eastAsia="zh-CN"/>
              </w:rPr>
              <w:t>14.4</w:t>
            </w:r>
            <w:r>
              <w:rPr>
                <w:color w:val="auto"/>
                <w:sz w:val="24"/>
              </w:rPr>
              <w:t>t/d，年用水量约为</w:t>
            </w:r>
            <w:r>
              <w:rPr>
                <w:rFonts w:hint="eastAsia"/>
                <w:color w:val="auto"/>
                <w:sz w:val="24"/>
                <w:lang w:val="en-US" w:eastAsia="zh-CN"/>
              </w:rPr>
              <w:t>4320</w:t>
            </w:r>
            <w:r>
              <w:rPr>
                <w:color w:val="auto"/>
                <w:sz w:val="24"/>
              </w:rPr>
              <w:t>t/a（全年按</w:t>
            </w:r>
            <w:r>
              <w:rPr>
                <w:rFonts w:hint="eastAsia"/>
                <w:color w:val="auto"/>
                <w:sz w:val="24"/>
                <w:lang w:val="en-US" w:eastAsia="zh-CN"/>
              </w:rPr>
              <w:t>300</w:t>
            </w:r>
            <w:r>
              <w:rPr>
                <w:color w:val="auto"/>
                <w:sz w:val="24"/>
              </w:rPr>
              <w:t>天计算）</w:t>
            </w:r>
            <w:r>
              <w:rPr>
                <w:rFonts w:hint="eastAsia"/>
                <w:color w:val="auto"/>
                <w:sz w:val="24"/>
                <w:lang w:eastAsia="zh-CN"/>
              </w:rPr>
              <w:t>。</w:t>
            </w:r>
            <w:r>
              <w:rPr>
                <w:rFonts w:ascii="Times New Roman" w:hAnsi="Times New Roman"/>
                <w:color w:val="auto"/>
                <w:sz w:val="24"/>
              </w:rPr>
              <w:t>排水系数以0.8计，则生活废水量约为</w:t>
            </w:r>
            <w:r>
              <w:rPr>
                <w:rFonts w:hint="eastAsia"/>
                <w:color w:val="auto"/>
                <w:sz w:val="24"/>
                <w:lang w:val="en-US" w:eastAsia="zh-CN"/>
              </w:rPr>
              <w:t>11.52</w:t>
            </w:r>
            <w:r>
              <w:rPr>
                <w:color w:val="auto"/>
                <w:sz w:val="24"/>
              </w:rPr>
              <w:t>t/d</w:t>
            </w:r>
            <w:r>
              <w:rPr>
                <w:rFonts w:hint="eastAsia"/>
                <w:color w:val="auto"/>
                <w:sz w:val="24"/>
              </w:rPr>
              <w:t>（</w:t>
            </w:r>
            <w:r>
              <w:rPr>
                <w:rFonts w:hint="eastAsia"/>
                <w:color w:val="auto"/>
                <w:sz w:val="24"/>
                <w:lang w:val="en-US" w:eastAsia="zh-CN"/>
              </w:rPr>
              <w:t>3456</w:t>
            </w:r>
            <w:r>
              <w:rPr>
                <w:color w:val="auto"/>
                <w:sz w:val="24"/>
              </w:rPr>
              <w:t>t/a</w:t>
            </w:r>
            <w:r>
              <w:rPr>
                <w:rFonts w:hint="eastAsia"/>
                <w:color w:val="auto"/>
                <w:sz w:val="24"/>
              </w:rPr>
              <w:t>）</w:t>
            </w:r>
            <w:r>
              <w:rPr>
                <w:rFonts w:hint="eastAsia"/>
                <w:color w:val="auto"/>
                <w:sz w:val="24"/>
                <w:lang w:eastAsia="zh-CN"/>
              </w:rPr>
              <w:t>。</w:t>
            </w:r>
          </w:p>
          <w:p w14:paraId="7A6976D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auto"/>
                <w:sz w:val="24"/>
                <w:lang w:eastAsia="zh-CN"/>
              </w:rPr>
              <w:t>制水蒸气用水：根据企业生产设计，项目每台活化炉水蒸气消耗量为</w:t>
            </w:r>
            <w:r>
              <w:rPr>
                <w:rFonts w:hint="eastAsia"/>
                <w:color w:val="auto"/>
                <w:sz w:val="24"/>
                <w:lang w:val="en-US" w:eastAsia="zh-CN"/>
              </w:rPr>
              <w:t>100kg/h，共15台，年运行7200h，则制水蒸气用纯水量为10800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36</w:t>
            </w:r>
            <w:r>
              <w:rPr>
                <w:color w:val="auto"/>
                <w:sz w:val="24"/>
              </w:rPr>
              <w:t>t/d</w:t>
            </w:r>
            <w:r>
              <w:rPr>
                <w:rFonts w:hint="eastAsia"/>
                <w:color w:val="auto"/>
                <w:sz w:val="24"/>
              </w:rPr>
              <w:t>）</w:t>
            </w:r>
            <w:r>
              <w:rPr>
                <w:rFonts w:hint="eastAsia" w:cs="Times New Roman"/>
                <w:color w:val="auto"/>
                <w:spacing w:val="1"/>
                <w:sz w:val="24"/>
                <w:szCs w:val="24"/>
                <w:vertAlign w:val="baseline"/>
                <w:lang w:val="en-US" w:eastAsia="zh-CN"/>
              </w:rPr>
              <w:t>，全部在活化工</w:t>
            </w:r>
            <w:r>
              <w:rPr>
                <w:rFonts w:hint="eastAsia" w:cs="Times New Roman"/>
                <w:spacing w:val="1"/>
                <w:sz w:val="24"/>
                <w:szCs w:val="24"/>
                <w:vertAlign w:val="baseline"/>
                <w:lang w:val="en-US" w:eastAsia="zh-CN"/>
              </w:rPr>
              <w:t>序蒸发损耗。</w:t>
            </w:r>
          </w:p>
          <w:p w14:paraId="11DB5A5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eastAsia="zh-CN"/>
              </w:rPr>
              <w:t>酸洗用水：项目酸洗用水为盐酸稀释用水，项目外购</w:t>
            </w:r>
            <w:r>
              <w:rPr>
                <w:rFonts w:hint="eastAsia"/>
                <w:color w:val="auto"/>
                <w:sz w:val="24"/>
                <w:lang w:val="en-US" w:eastAsia="zh-CN"/>
              </w:rPr>
              <w:t>36%盐酸200t/a，使用纯水稀释。</w:t>
            </w:r>
          </w:p>
          <w:p w14:paraId="6941AD7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一次酸洗：其中133t36%盐酸需稀释成4%盐酸进行第一次酸洗，需纯水量为1064t/a，133t36%盐酸带入水量85.12t/a，一次酸洗循环使用，仅补充损耗，不外排，经物料带走损耗按30%计，损耗量全部进入二次酸洗，则一次酸洗补充纯水量319.2t/a</w:t>
            </w:r>
            <w:r>
              <w:rPr>
                <w:rFonts w:hint="eastAsia"/>
                <w:color w:val="auto"/>
                <w:sz w:val="24"/>
              </w:rPr>
              <w:t>（</w:t>
            </w:r>
            <w:r>
              <w:rPr>
                <w:rFonts w:hint="eastAsia"/>
                <w:color w:val="auto"/>
                <w:sz w:val="24"/>
                <w:lang w:val="en-US" w:eastAsia="zh-CN"/>
              </w:rPr>
              <w:t>1.064</w:t>
            </w:r>
            <w:r>
              <w:rPr>
                <w:color w:val="auto"/>
                <w:sz w:val="24"/>
              </w:rPr>
              <w:t>t/d</w:t>
            </w:r>
            <w:r>
              <w:rPr>
                <w:rFonts w:hint="eastAsia"/>
                <w:color w:val="auto"/>
                <w:sz w:val="24"/>
              </w:rPr>
              <w:t>）</w:t>
            </w:r>
            <w:r>
              <w:rPr>
                <w:rFonts w:hint="eastAsia"/>
                <w:color w:val="auto"/>
                <w:sz w:val="24"/>
                <w:lang w:val="en-US" w:eastAsia="zh-CN"/>
              </w:rPr>
              <w:t>；</w:t>
            </w:r>
          </w:p>
          <w:p w14:paraId="044BD26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二次酸洗：67t36%盐酸稀释成2%盐酸进行第二次酸洗，需纯水量为1139t/a</w:t>
            </w:r>
            <w:r>
              <w:rPr>
                <w:rFonts w:hint="eastAsia"/>
                <w:color w:val="auto"/>
                <w:sz w:val="24"/>
              </w:rPr>
              <w:t>（</w:t>
            </w:r>
            <w:r>
              <w:rPr>
                <w:rFonts w:hint="eastAsia"/>
                <w:color w:val="auto"/>
                <w:sz w:val="24"/>
                <w:lang w:val="en-US" w:eastAsia="zh-CN"/>
              </w:rPr>
              <w:t>3.797</w:t>
            </w:r>
            <w:r>
              <w:rPr>
                <w:color w:val="auto"/>
                <w:sz w:val="24"/>
              </w:rPr>
              <w:t>t/d</w:t>
            </w:r>
            <w:r>
              <w:rPr>
                <w:rFonts w:hint="eastAsia"/>
                <w:color w:val="auto"/>
                <w:sz w:val="24"/>
              </w:rPr>
              <w:t>）</w:t>
            </w:r>
            <w:r>
              <w:rPr>
                <w:rFonts w:hint="eastAsia"/>
                <w:color w:val="auto"/>
                <w:sz w:val="24"/>
                <w:lang w:val="en-US" w:eastAsia="zh-CN"/>
              </w:rPr>
              <w:t>，另外67t36%盐酸带入水量42.88t/a，一次酸洗带入水量344.7t/a，二次酸洗后进中和罐中和后外排，经物料带走损耗按30%计，则二次酸洗废水为1068.606t/a</w:t>
            </w:r>
            <w:r>
              <w:rPr>
                <w:rFonts w:hint="eastAsia"/>
                <w:color w:val="auto"/>
                <w:sz w:val="24"/>
              </w:rPr>
              <w:t>（</w:t>
            </w:r>
            <w:r>
              <w:rPr>
                <w:rFonts w:hint="eastAsia"/>
                <w:color w:val="auto"/>
                <w:sz w:val="24"/>
                <w:lang w:val="en-US" w:eastAsia="zh-CN"/>
              </w:rPr>
              <w:t>3.562</w:t>
            </w:r>
            <w:r>
              <w:rPr>
                <w:color w:val="auto"/>
                <w:sz w:val="24"/>
              </w:rPr>
              <w:t>t/d</w:t>
            </w:r>
            <w:r>
              <w:rPr>
                <w:rFonts w:hint="eastAsia"/>
                <w:color w:val="auto"/>
                <w:sz w:val="24"/>
              </w:rPr>
              <w:t>）</w:t>
            </w:r>
            <w:r>
              <w:rPr>
                <w:rFonts w:hint="eastAsia"/>
                <w:color w:val="auto"/>
                <w:sz w:val="24"/>
                <w:lang w:val="en-US" w:eastAsia="zh-CN"/>
              </w:rPr>
              <w:t>。</w:t>
            </w:r>
          </w:p>
          <w:p w14:paraId="37BCBB4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eastAsia="zh-CN"/>
              </w:rPr>
              <w:t>水洗用水：</w:t>
            </w:r>
            <w:r>
              <w:rPr>
                <w:rFonts w:hint="eastAsia" w:ascii="Times New Roman" w:hAnsi="Times New Roman" w:eastAsia="宋体" w:cs="Times New Roman"/>
                <w:b w:val="0"/>
                <w:bCs/>
                <w:color w:val="auto"/>
                <w:sz w:val="24"/>
                <w:szCs w:val="24"/>
                <w:lang w:val="en-US" w:eastAsia="zh-CN"/>
              </w:rPr>
              <w:t>根据建设单位提供资料，</w:t>
            </w:r>
            <w:r>
              <w:rPr>
                <w:rFonts w:hint="eastAsia" w:cs="Times New Roman"/>
                <w:b w:val="0"/>
                <w:bCs/>
                <w:color w:val="auto"/>
                <w:sz w:val="24"/>
                <w:szCs w:val="24"/>
                <w:lang w:val="en-US" w:eastAsia="zh-CN"/>
              </w:rPr>
              <w:t>年产5000吨超级多孔碳，水洗</w:t>
            </w:r>
            <w:r>
              <w:rPr>
                <w:rFonts w:hint="eastAsia" w:eastAsia="宋体" w:cs="Times New Roman"/>
                <w:color w:val="auto"/>
                <w:spacing w:val="1"/>
                <w:sz w:val="24"/>
                <w:szCs w:val="24"/>
                <w:vertAlign w:val="baseline"/>
                <w:lang w:val="en-US" w:eastAsia="zh-CN"/>
              </w:rPr>
              <w:t>用纯水量</w:t>
            </w:r>
            <w:r>
              <w:rPr>
                <w:rFonts w:hint="eastAsia" w:cs="Times New Roman"/>
                <w:b w:val="0"/>
                <w:bCs/>
                <w:color w:val="auto"/>
                <w:sz w:val="24"/>
                <w:szCs w:val="24"/>
                <w:lang w:val="en-US" w:eastAsia="zh-CN"/>
              </w:rPr>
              <w:t>17万</w:t>
            </w:r>
            <w:r>
              <w:rPr>
                <w:rFonts w:hint="eastAsia" w:cs="Times New Roman"/>
                <w:color w:val="auto"/>
                <w:spacing w:val="1"/>
                <w:sz w:val="24"/>
                <w:szCs w:val="24"/>
                <w:lang w:val="en-US" w:eastAsia="zh-CN"/>
              </w:rPr>
              <w:t>t/a</w:t>
            </w:r>
            <w:r>
              <w:rPr>
                <w:rFonts w:hint="eastAsia"/>
                <w:color w:val="auto"/>
                <w:sz w:val="24"/>
              </w:rPr>
              <w:t>（</w:t>
            </w:r>
            <w:r>
              <w:rPr>
                <w:rFonts w:hint="eastAsia"/>
                <w:color w:val="auto"/>
                <w:sz w:val="24"/>
                <w:lang w:val="en-US" w:eastAsia="zh-CN"/>
              </w:rPr>
              <w:t>566.667</w:t>
            </w:r>
            <w:r>
              <w:rPr>
                <w:color w:val="auto"/>
                <w:sz w:val="24"/>
              </w:rPr>
              <w:t>t/d</w:t>
            </w:r>
            <w:r>
              <w:rPr>
                <w:rFonts w:hint="eastAsia"/>
                <w:color w:val="auto"/>
                <w:sz w:val="24"/>
              </w:rPr>
              <w:t>）</w:t>
            </w:r>
            <w:r>
              <w:rPr>
                <w:rFonts w:hint="eastAsia" w:eastAsia="宋体" w:cs="Times New Roman"/>
                <w:color w:val="auto"/>
                <w:spacing w:val="1"/>
                <w:sz w:val="24"/>
                <w:szCs w:val="24"/>
                <w:vertAlign w:val="baseline"/>
                <w:lang w:val="en-US" w:eastAsia="zh-CN"/>
              </w:rPr>
              <w:t>，</w:t>
            </w:r>
            <w:r>
              <w:rPr>
                <w:rFonts w:hint="eastAsia"/>
                <w:color w:val="auto"/>
                <w:sz w:val="24"/>
                <w:lang w:val="en-US" w:eastAsia="zh-CN"/>
              </w:rPr>
              <w:t>水洗用水经物料带走损耗按30%计，则</w:t>
            </w:r>
            <w:r>
              <w:rPr>
                <w:rFonts w:hint="eastAsia" w:cs="Times New Roman"/>
                <w:color w:val="auto"/>
                <w:spacing w:val="1"/>
                <w:sz w:val="24"/>
                <w:szCs w:val="24"/>
                <w:vertAlign w:val="baseline"/>
                <w:lang w:val="en-US" w:eastAsia="zh-CN"/>
              </w:rPr>
              <w:t>水洗、离心废水</w:t>
            </w:r>
            <w:r>
              <w:rPr>
                <w:rFonts w:hint="eastAsia"/>
                <w:color w:val="auto"/>
                <w:sz w:val="24"/>
                <w:lang w:val="en-US" w:eastAsia="zh-CN"/>
              </w:rPr>
              <w:t>为11.9万t/a</w:t>
            </w:r>
            <w:r>
              <w:rPr>
                <w:rFonts w:hint="eastAsia"/>
                <w:color w:val="auto"/>
                <w:sz w:val="24"/>
              </w:rPr>
              <w:t>（</w:t>
            </w:r>
            <w:r>
              <w:rPr>
                <w:rFonts w:hint="eastAsia"/>
                <w:color w:val="auto"/>
                <w:sz w:val="24"/>
                <w:lang w:val="en-US" w:eastAsia="zh-CN"/>
              </w:rPr>
              <w:t>396.667</w:t>
            </w:r>
            <w:r>
              <w:rPr>
                <w:color w:val="auto"/>
                <w:sz w:val="24"/>
              </w:rPr>
              <w:t>t/d</w:t>
            </w:r>
            <w:r>
              <w:rPr>
                <w:rFonts w:hint="eastAsia"/>
                <w:color w:val="auto"/>
                <w:sz w:val="24"/>
              </w:rPr>
              <w:t>）</w:t>
            </w:r>
            <w:r>
              <w:rPr>
                <w:rFonts w:hint="eastAsia"/>
                <w:color w:val="auto"/>
                <w:sz w:val="24"/>
                <w:lang w:val="en-US" w:eastAsia="zh-CN"/>
              </w:rPr>
              <w:t>。</w:t>
            </w:r>
          </w:p>
          <w:p w14:paraId="572BDBA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lang w:val="en-US" w:eastAsia="zh-CN"/>
              </w:rPr>
            </w:pPr>
            <w:r>
              <w:rPr>
                <w:rFonts w:hint="eastAsia"/>
                <w:color w:val="auto"/>
                <w:sz w:val="24"/>
                <w:lang w:eastAsia="zh-CN"/>
              </w:rPr>
              <w:t>中和后废水：项目二次酸洗废水为</w:t>
            </w:r>
            <w:r>
              <w:rPr>
                <w:rFonts w:hint="eastAsia"/>
                <w:color w:val="auto"/>
                <w:sz w:val="24"/>
                <w:lang w:val="en-US" w:eastAsia="zh-CN"/>
              </w:rPr>
              <w:t>1068.606t/a</w:t>
            </w:r>
            <w:r>
              <w:rPr>
                <w:rFonts w:hint="eastAsia"/>
                <w:color w:val="auto"/>
                <w:sz w:val="24"/>
              </w:rPr>
              <w:t>（</w:t>
            </w:r>
            <w:r>
              <w:rPr>
                <w:rFonts w:hint="eastAsia"/>
                <w:color w:val="auto"/>
                <w:sz w:val="24"/>
                <w:lang w:val="en-US" w:eastAsia="zh-CN"/>
              </w:rPr>
              <w:t>3.562</w:t>
            </w:r>
            <w:r>
              <w:rPr>
                <w:color w:val="auto"/>
                <w:sz w:val="24"/>
              </w:rPr>
              <w:t>t/d</w:t>
            </w:r>
            <w:r>
              <w:rPr>
                <w:rFonts w:hint="eastAsia"/>
                <w:color w:val="auto"/>
                <w:sz w:val="24"/>
              </w:rPr>
              <w:t>）</w:t>
            </w:r>
            <w:r>
              <w:rPr>
                <w:rFonts w:hint="eastAsia"/>
                <w:color w:val="auto"/>
                <w:sz w:val="24"/>
                <w:lang w:eastAsia="zh-CN"/>
              </w:rPr>
              <w:t>，</w:t>
            </w:r>
            <w:r>
              <w:rPr>
                <w:rFonts w:hint="eastAsia" w:cs="Times New Roman"/>
                <w:color w:val="auto"/>
                <w:spacing w:val="1"/>
                <w:sz w:val="24"/>
                <w:szCs w:val="24"/>
                <w:vertAlign w:val="baseline"/>
                <w:lang w:val="en-US" w:eastAsia="zh-CN"/>
              </w:rPr>
              <w:t>水洗、离心废水</w:t>
            </w:r>
            <w:r>
              <w:rPr>
                <w:rFonts w:hint="eastAsia"/>
                <w:color w:val="auto"/>
                <w:sz w:val="24"/>
                <w:lang w:val="en-US" w:eastAsia="zh-CN"/>
              </w:rPr>
              <w:t>为11.9万t/a</w:t>
            </w:r>
            <w:r>
              <w:rPr>
                <w:rFonts w:hint="eastAsia"/>
                <w:color w:val="auto"/>
                <w:sz w:val="24"/>
              </w:rPr>
              <w:t>（</w:t>
            </w:r>
            <w:r>
              <w:rPr>
                <w:rFonts w:hint="eastAsia"/>
                <w:color w:val="auto"/>
                <w:sz w:val="24"/>
                <w:lang w:val="en-US" w:eastAsia="zh-CN"/>
              </w:rPr>
              <w:t>396.667</w:t>
            </w:r>
            <w:r>
              <w:rPr>
                <w:color w:val="auto"/>
                <w:sz w:val="24"/>
              </w:rPr>
              <w:t>t/d</w:t>
            </w:r>
            <w:r>
              <w:rPr>
                <w:rFonts w:hint="eastAsia"/>
                <w:color w:val="auto"/>
                <w:sz w:val="24"/>
              </w:rPr>
              <w:t>）</w:t>
            </w:r>
            <w:r>
              <w:rPr>
                <w:rFonts w:hint="eastAsia"/>
                <w:color w:val="auto"/>
                <w:sz w:val="24"/>
                <w:lang w:eastAsia="zh-CN"/>
              </w:rPr>
              <w:t>，酸洗、水洗、离心废水</w:t>
            </w:r>
            <w:r>
              <w:rPr>
                <w:rFonts w:hint="eastAsia"/>
                <w:color w:val="auto"/>
                <w:sz w:val="24"/>
                <w:szCs w:val="24"/>
                <w:lang w:eastAsia="zh-CN"/>
              </w:rPr>
              <w:t>采用液碱在中和罐进行中和后外排，项目液碱年用量为</w:t>
            </w:r>
            <w:r>
              <w:rPr>
                <w:rFonts w:hint="eastAsia"/>
                <w:color w:val="auto"/>
                <w:sz w:val="24"/>
                <w:szCs w:val="24"/>
                <w:lang w:val="en-US" w:eastAsia="zh-CN"/>
              </w:rPr>
              <w:t>160t/a，则中和后废水量为</w:t>
            </w:r>
            <w:r>
              <w:rPr>
                <w:rFonts w:hint="eastAsia"/>
                <w:color w:val="auto"/>
                <w:sz w:val="24"/>
                <w:lang w:val="en-US" w:eastAsia="zh-CN"/>
              </w:rPr>
              <w:t>120229t/a</w:t>
            </w:r>
            <w:r>
              <w:rPr>
                <w:rFonts w:hint="eastAsia"/>
                <w:color w:val="auto"/>
                <w:sz w:val="24"/>
              </w:rPr>
              <w:t>（</w:t>
            </w:r>
            <w:r>
              <w:rPr>
                <w:rFonts w:hint="eastAsia"/>
                <w:color w:val="auto"/>
                <w:sz w:val="24"/>
                <w:lang w:val="en-US" w:eastAsia="zh-CN"/>
              </w:rPr>
              <w:t>400.76</w:t>
            </w:r>
            <w:r>
              <w:rPr>
                <w:color w:val="auto"/>
                <w:sz w:val="24"/>
              </w:rPr>
              <w:t>t/d</w:t>
            </w:r>
            <w:r>
              <w:rPr>
                <w:rFonts w:hint="eastAsia"/>
                <w:color w:val="auto"/>
                <w:sz w:val="24"/>
              </w:rPr>
              <w:t>）</w:t>
            </w:r>
            <w:r>
              <w:rPr>
                <w:rFonts w:hint="eastAsia"/>
                <w:color w:val="auto"/>
                <w:sz w:val="24"/>
                <w:lang w:eastAsia="zh-CN"/>
              </w:rPr>
              <w:t>。</w:t>
            </w:r>
          </w:p>
          <w:p w14:paraId="20F14F7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eastAsia="zh-CN"/>
              </w:rPr>
              <w:t>循环冷却用水：</w:t>
            </w:r>
            <w:r>
              <w:rPr>
                <w:rFonts w:hint="eastAsia"/>
                <w:color w:val="auto"/>
                <w:sz w:val="24"/>
                <w:lang w:val="en-US" w:eastAsia="zh-CN"/>
              </w:rPr>
              <w:t>项目活化炉、辊道炉采用间接冷却水进行冷却降温，项目设置5</w:t>
            </w:r>
            <w:r>
              <w:rPr>
                <w:rFonts w:hint="eastAsia"/>
                <w:color w:val="auto"/>
                <w:sz w:val="24"/>
                <w:szCs w:val="24"/>
                <w:lang w:val="en-US" w:eastAsia="zh-CN"/>
              </w:rPr>
              <w:t>座</w:t>
            </w:r>
            <w:r>
              <w:rPr>
                <w:rFonts w:hint="eastAsia" w:cs="Times New Roman"/>
                <w:b w:val="0"/>
                <w:bCs/>
                <w:color w:val="auto"/>
                <w:kern w:val="2"/>
                <w:sz w:val="24"/>
                <w:szCs w:val="24"/>
                <w:highlight w:val="none"/>
                <w:lang w:val="en-US" w:eastAsia="zh-CN" w:bidi="ar-SA"/>
              </w:rPr>
              <w:t>100</w:t>
            </w:r>
            <w:r>
              <w:rPr>
                <w:rFonts w:hint="default" w:ascii="Times New Roman" w:hAnsi="Times New Roman" w:eastAsia="宋体" w:cs="Times New Roman"/>
                <w:spacing w:val="1"/>
                <w:sz w:val="24"/>
                <w:szCs w:val="24"/>
              </w:rPr>
              <w:t>m</w:t>
            </w:r>
            <w:r>
              <w:rPr>
                <w:rFonts w:hint="eastAsia" w:ascii="Times New Roman" w:hAnsi="Times New Roman" w:eastAsia="宋体" w:cs="Times New Roman"/>
                <w:spacing w:val="1"/>
                <w:sz w:val="24"/>
                <w:szCs w:val="24"/>
                <w:vertAlign w:val="superscript"/>
                <w:lang w:val="en-US" w:eastAsia="zh-CN"/>
              </w:rPr>
              <w:t>3</w:t>
            </w:r>
            <w:r>
              <w:rPr>
                <w:rFonts w:hint="eastAsia" w:cs="Times New Roman"/>
                <w:spacing w:val="1"/>
                <w:sz w:val="24"/>
                <w:szCs w:val="24"/>
                <w:vertAlign w:val="baseline"/>
                <w:lang w:val="en-US" w:eastAsia="zh-CN"/>
              </w:rPr>
              <w:t>/h开式冷却塔，</w:t>
            </w:r>
            <w:r>
              <w:rPr>
                <w:rFonts w:hint="eastAsia"/>
                <w:color w:val="auto"/>
                <w:sz w:val="24"/>
                <w:szCs w:val="24"/>
                <w:lang w:val="en-US" w:eastAsia="zh-CN"/>
              </w:rPr>
              <w:t>使用纯</w:t>
            </w:r>
            <w:r>
              <w:rPr>
                <w:rFonts w:hint="eastAsia"/>
                <w:color w:val="auto"/>
                <w:sz w:val="24"/>
                <w:lang w:val="en-US" w:eastAsia="zh-CN"/>
              </w:rPr>
              <w:t>水间接冷却。</w:t>
            </w:r>
            <w:r>
              <w:rPr>
                <w:rFonts w:hint="eastAsia"/>
                <w:color w:val="auto"/>
                <w:sz w:val="24"/>
                <w:lang w:eastAsia="zh-CN"/>
              </w:rPr>
              <w:t>由于循环冷却系统蒸发损耗等，需定期补充，补充水量按照循环水量的</w:t>
            </w:r>
            <w:r>
              <w:rPr>
                <w:rFonts w:hint="eastAsia"/>
                <w:color w:val="auto"/>
                <w:sz w:val="24"/>
                <w:lang w:val="en-US" w:eastAsia="zh-CN"/>
              </w:rPr>
              <w:t>1%计，补充水量为36000</w:t>
            </w:r>
            <w:r>
              <w:rPr>
                <w:color w:val="auto"/>
                <w:sz w:val="24"/>
              </w:rPr>
              <w:t>t/a</w:t>
            </w:r>
            <w:r>
              <w:rPr>
                <w:rFonts w:hint="eastAsia"/>
                <w:color w:val="auto"/>
                <w:sz w:val="24"/>
              </w:rPr>
              <w:t>（</w:t>
            </w:r>
            <w:r>
              <w:rPr>
                <w:rFonts w:hint="eastAsia"/>
                <w:color w:val="auto"/>
                <w:sz w:val="24"/>
                <w:lang w:val="en-US" w:eastAsia="zh-CN"/>
              </w:rPr>
              <w:t>120</w:t>
            </w:r>
            <w:r>
              <w:rPr>
                <w:color w:val="auto"/>
                <w:sz w:val="24"/>
              </w:rPr>
              <w:t>t/d</w:t>
            </w:r>
            <w:r>
              <w:rPr>
                <w:rFonts w:hint="eastAsia"/>
                <w:color w:val="auto"/>
                <w:sz w:val="24"/>
              </w:rPr>
              <w:t>）</w:t>
            </w:r>
            <w:r>
              <w:rPr>
                <w:rFonts w:hint="eastAsia"/>
                <w:color w:val="auto"/>
                <w:sz w:val="24"/>
                <w:lang w:eastAsia="zh-CN"/>
              </w:rPr>
              <w:t>。</w:t>
            </w:r>
            <w:r>
              <w:rPr>
                <w:rFonts w:hint="eastAsia"/>
                <w:color w:val="auto"/>
                <w:sz w:val="24"/>
                <w:szCs w:val="24"/>
                <w:lang w:eastAsia="zh-CN"/>
              </w:rPr>
              <w:t>项目循环冷却水池总容积</w:t>
            </w:r>
            <w:r>
              <w:rPr>
                <w:rFonts w:hint="eastAsia"/>
                <w:sz w:val="24"/>
                <w:szCs w:val="24"/>
                <w:lang w:val="en-US" w:eastAsia="zh-CN"/>
              </w:rPr>
              <w:t>4</w:t>
            </w:r>
            <w:r>
              <w:rPr>
                <w:rFonts w:hint="eastAsia"/>
                <w:b w:val="0"/>
                <w:bCs w:val="0"/>
                <w:color w:val="auto"/>
                <w:sz w:val="24"/>
                <w:szCs w:val="24"/>
                <w:lang w:val="en-US" w:eastAsia="zh-CN"/>
              </w:rPr>
              <w:t>00m</w:t>
            </w:r>
            <w:r>
              <w:rPr>
                <w:rFonts w:hint="eastAsia"/>
                <w:b w:val="0"/>
                <w:bCs w:val="0"/>
                <w:color w:val="auto"/>
                <w:sz w:val="24"/>
                <w:szCs w:val="24"/>
                <w:vertAlign w:val="superscript"/>
                <w:lang w:val="en-US" w:eastAsia="zh-CN"/>
              </w:rPr>
              <w:t>3</w:t>
            </w:r>
            <w:r>
              <w:rPr>
                <w:rFonts w:hint="eastAsia"/>
                <w:b w:val="0"/>
                <w:bCs w:val="0"/>
                <w:color w:val="auto"/>
                <w:sz w:val="24"/>
                <w:szCs w:val="24"/>
                <w:vertAlign w:val="baseline"/>
                <w:lang w:val="en-US" w:eastAsia="zh-CN"/>
              </w:rPr>
              <w:t>，</w:t>
            </w:r>
            <w:r>
              <w:rPr>
                <w:rFonts w:hint="eastAsia"/>
                <w:color w:val="auto"/>
                <w:sz w:val="24"/>
                <w:szCs w:val="24"/>
                <w:lang w:eastAsia="zh-CN"/>
              </w:rPr>
              <w:t>循环冷却水一年更换一次，收集后排入园区管网，则</w:t>
            </w:r>
            <w:r>
              <w:rPr>
                <w:rFonts w:hint="eastAsia"/>
                <w:color w:val="auto"/>
                <w:sz w:val="24"/>
                <w:lang w:eastAsia="zh-CN"/>
              </w:rPr>
              <w:t>间接循环冷却</w:t>
            </w:r>
            <w:r>
              <w:rPr>
                <w:rFonts w:hint="eastAsia"/>
                <w:color w:val="auto"/>
                <w:sz w:val="24"/>
                <w:lang w:val="en-US" w:eastAsia="zh-CN"/>
              </w:rPr>
              <w:t>补充纯水量为36400</w:t>
            </w:r>
            <w:r>
              <w:rPr>
                <w:color w:val="auto"/>
                <w:sz w:val="24"/>
              </w:rPr>
              <w:t>t/a</w:t>
            </w:r>
            <w:r>
              <w:rPr>
                <w:rFonts w:hint="eastAsia"/>
                <w:color w:val="auto"/>
                <w:sz w:val="24"/>
              </w:rPr>
              <w:t>（</w:t>
            </w:r>
            <w:r>
              <w:rPr>
                <w:rFonts w:hint="eastAsia"/>
                <w:color w:val="auto"/>
                <w:sz w:val="24"/>
                <w:lang w:val="en-US" w:eastAsia="zh-CN"/>
              </w:rPr>
              <w:t>121.333</w:t>
            </w:r>
            <w:r>
              <w:rPr>
                <w:color w:val="auto"/>
                <w:sz w:val="24"/>
              </w:rPr>
              <w:t>t/d</w:t>
            </w:r>
            <w:r>
              <w:rPr>
                <w:rFonts w:hint="eastAsia"/>
                <w:color w:val="auto"/>
                <w:sz w:val="24"/>
              </w:rPr>
              <w:t>）</w:t>
            </w:r>
            <w:r>
              <w:rPr>
                <w:rFonts w:hint="eastAsia"/>
                <w:color w:val="auto"/>
                <w:sz w:val="24"/>
                <w:szCs w:val="24"/>
                <w:lang w:eastAsia="zh-CN"/>
              </w:rPr>
              <w:t>。</w:t>
            </w:r>
          </w:p>
          <w:p w14:paraId="3B1D9F9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hd w:val="clear" w:color="auto" w:fill="auto"/>
                <w:vertAlign w:val="baseline"/>
                <w:lang w:val="en-US" w:eastAsia="zh-CN"/>
              </w:rPr>
            </w:pPr>
            <w:r>
              <w:rPr>
                <w:rFonts w:hint="eastAsia"/>
                <w:color w:val="auto"/>
                <w:sz w:val="24"/>
                <w:lang w:eastAsia="zh-CN"/>
              </w:rPr>
              <w:t>纯水制备用水：项目制水蒸气用</w:t>
            </w:r>
            <w:r>
              <w:rPr>
                <w:rFonts w:hint="eastAsia"/>
                <w:color w:val="auto"/>
                <w:sz w:val="24"/>
                <w:lang w:val="en-US" w:eastAsia="zh-CN"/>
              </w:rPr>
              <w:t>纯水量10800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36</w:t>
            </w:r>
            <w:r>
              <w:rPr>
                <w:color w:val="auto"/>
                <w:sz w:val="24"/>
              </w:rPr>
              <w:t>t/d</w:t>
            </w:r>
            <w:r>
              <w:rPr>
                <w:rFonts w:hint="eastAsia"/>
                <w:color w:val="auto"/>
                <w:sz w:val="24"/>
              </w:rPr>
              <w:t>）</w:t>
            </w:r>
            <w:r>
              <w:rPr>
                <w:rFonts w:hint="eastAsia"/>
                <w:color w:val="auto"/>
                <w:sz w:val="24"/>
                <w:lang w:eastAsia="zh-CN"/>
              </w:rPr>
              <w:t>、</w:t>
            </w:r>
            <w:r>
              <w:rPr>
                <w:rFonts w:hint="eastAsia"/>
                <w:color w:val="auto"/>
                <w:sz w:val="24"/>
                <w:lang w:val="en-US" w:eastAsia="zh-CN"/>
              </w:rPr>
              <w:t>一次酸洗补充纯水量319.2t/a</w:t>
            </w:r>
            <w:r>
              <w:rPr>
                <w:rFonts w:hint="eastAsia"/>
                <w:color w:val="auto"/>
                <w:sz w:val="24"/>
              </w:rPr>
              <w:t>（</w:t>
            </w:r>
            <w:r>
              <w:rPr>
                <w:rFonts w:hint="eastAsia"/>
                <w:color w:val="auto"/>
                <w:sz w:val="24"/>
                <w:lang w:val="en-US" w:eastAsia="zh-CN"/>
              </w:rPr>
              <w:t>1.064</w:t>
            </w:r>
            <w:r>
              <w:rPr>
                <w:color w:val="auto"/>
                <w:sz w:val="24"/>
              </w:rPr>
              <w:t>t/d</w:t>
            </w:r>
            <w:r>
              <w:rPr>
                <w:rFonts w:hint="eastAsia"/>
                <w:color w:val="auto"/>
                <w:sz w:val="24"/>
              </w:rPr>
              <w:t>）</w:t>
            </w:r>
            <w:r>
              <w:rPr>
                <w:rFonts w:hint="eastAsia"/>
                <w:color w:val="auto"/>
                <w:sz w:val="24"/>
                <w:lang w:eastAsia="zh-CN"/>
              </w:rPr>
              <w:t>、</w:t>
            </w:r>
            <w:r>
              <w:rPr>
                <w:rFonts w:hint="eastAsia"/>
                <w:color w:val="auto"/>
                <w:sz w:val="24"/>
                <w:lang w:val="en-US" w:eastAsia="zh-CN"/>
              </w:rPr>
              <w:t>二次酸洗用纯水量1139t/a</w:t>
            </w:r>
            <w:r>
              <w:rPr>
                <w:rFonts w:hint="eastAsia"/>
                <w:color w:val="auto"/>
                <w:sz w:val="24"/>
              </w:rPr>
              <w:t>（</w:t>
            </w:r>
            <w:r>
              <w:rPr>
                <w:rFonts w:hint="eastAsia"/>
                <w:color w:val="auto"/>
                <w:sz w:val="24"/>
                <w:lang w:val="en-US" w:eastAsia="zh-CN"/>
              </w:rPr>
              <w:t>3.797</w:t>
            </w:r>
            <w:r>
              <w:rPr>
                <w:color w:val="auto"/>
                <w:sz w:val="24"/>
              </w:rPr>
              <w:t>t/d</w:t>
            </w:r>
            <w:r>
              <w:rPr>
                <w:rFonts w:hint="eastAsia"/>
                <w:color w:val="auto"/>
                <w:sz w:val="24"/>
              </w:rPr>
              <w:t>）</w:t>
            </w:r>
            <w:r>
              <w:rPr>
                <w:rFonts w:hint="eastAsia"/>
                <w:color w:val="auto"/>
                <w:sz w:val="24"/>
                <w:lang w:eastAsia="zh-CN"/>
              </w:rPr>
              <w:t>、水洗</w:t>
            </w:r>
            <w:r>
              <w:rPr>
                <w:rFonts w:hint="eastAsia" w:eastAsia="宋体" w:cs="Times New Roman"/>
                <w:color w:val="auto"/>
                <w:spacing w:val="1"/>
                <w:sz w:val="24"/>
                <w:szCs w:val="24"/>
                <w:vertAlign w:val="baseline"/>
                <w:lang w:val="en-US" w:eastAsia="zh-CN"/>
              </w:rPr>
              <w:t>用纯水量</w:t>
            </w:r>
            <w:r>
              <w:rPr>
                <w:rFonts w:hint="eastAsia" w:cs="Times New Roman"/>
                <w:b w:val="0"/>
                <w:bCs/>
                <w:color w:val="auto"/>
                <w:sz w:val="24"/>
                <w:szCs w:val="24"/>
                <w:lang w:val="en-US" w:eastAsia="zh-CN"/>
              </w:rPr>
              <w:t>17万</w:t>
            </w:r>
            <w:r>
              <w:rPr>
                <w:rFonts w:hint="eastAsia" w:cs="Times New Roman"/>
                <w:color w:val="auto"/>
                <w:spacing w:val="1"/>
                <w:sz w:val="24"/>
                <w:szCs w:val="24"/>
                <w:lang w:val="en-US" w:eastAsia="zh-CN"/>
              </w:rPr>
              <w:t>t/a</w:t>
            </w:r>
            <w:r>
              <w:rPr>
                <w:rFonts w:hint="eastAsia"/>
                <w:color w:val="auto"/>
                <w:sz w:val="24"/>
              </w:rPr>
              <w:t>（</w:t>
            </w:r>
            <w:r>
              <w:rPr>
                <w:rFonts w:hint="eastAsia"/>
                <w:color w:val="auto"/>
                <w:sz w:val="24"/>
                <w:lang w:val="en-US" w:eastAsia="zh-CN"/>
              </w:rPr>
              <w:t>566.667</w:t>
            </w:r>
            <w:r>
              <w:rPr>
                <w:color w:val="auto"/>
                <w:sz w:val="24"/>
              </w:rPr>
              <w:t>t/d</w:t>
            </w:r>
            <w:r>
              <w:rPr>
                <w:rFonts w:hint="eastAsia"/>
                <w:color w:val="auto"/>
                <w:sz w:val="24"/>
              </w:rPr>
              <w:t>）</w:t>
            </w:r>
            <w:r>
              <w:rPr>
                <w:rFonts w:hint="eastAsia"/>
                <w:color w:val="auto"/>
                <w:sz w:val="24"/>
                <w:lang w:eastAsia="zh-CN"/>
              </w:rPr>
              <w:t>、间接循环冷却</w:t>
            </w:r>
            <w:r>
              <w:rPr>
                <w:rFonts w:hint="eastAsia"/>
                <w:color w:val="auto"/>
                <w:sz w:val="24"/>
                <w:lang w:val="en-US" w:eastAsia="zh-CN"/>
              </w:rPr>
              <w:t>补充纯水量为36400</w:t>
            </w:r>
            <w:r>
              <w:rPr>
                <w:color w:val="auto"/>
                <w:sz w:val="24"/>
              </w:rPr>
              <w:t>t/a</w:t>
            </w:r>
            <w:r>
              <w:rPr>
                <w:rFonts w:hint="eastAsia"/>
                <w:color w:val="auto"/>
                <w:sz w:val="24"/>
              </w:rPr>
              <w:t>（</w:t>
            </w:r>
            <w:r>
              <w:rPr>
                <w:rFonts w:hint="eastAsia"/>
                <w:color w:val="auto"/>
                <w:sz w:val="24"/>
                <w:lang w:val="en-US" w:eastAsia="zh-CN"/>
              </w:rPr>
              <w:t>121.333</w:t>
            </w:r>
            <w:r>
              <w:rPr>
                <w:color w:val="auto"/>
                <w:sz w:val="24"/>
              </w:rPr>
              <w:t>t/d</w:t>
            </w:r>
            <w:r>
              <w:rPr>
                <w:rFonts w:hint="eastAsia"/>
                <w:color w:val="auto"/>
                <w:sz w:val="24"/>
              </w:rPr>
              <w:t>）</w:t>
            </w:r>
            <w:r>
              <w:rPr>
                <w:rFonts w:hint="eastAsia"/>
                <w:color w:val="auto"/>
                <w:sz w:val="24"/>
                <w:lang w:eastAsia="zh-CN"/>
              </w:rPr>
              <w:t>，</w:t>
            </w:r>
            <w:r>
              <w:rPr>
                <w:rFonts w:hint="eastAsia" w:cs="Times New Roman"/>
                <w:color w:val="auto"/>
                <w:spacing w:val="1"/>
                <w:sz w:val="24"/>
                <w:szCs w:val="24"/>
                <w:vertAlign w:val="baseline"/>
                <w:lang w:val="en-US" w:eastAsia="zh-CN"/>
              </w:rPr>
              <w:t>故总</w:t>
            </w:r>
            <w:r>
              <w:rPr>
                <w:rFonts w:hint="eastAsia"/>
                <w:color w:val="auto"/>
                <w:sz w:val="24"/>
                <w:lang w:eastAsia="zh-CN"/>
              </w:rPr>
              <w:t>纯水需水量</w:t>
            </w:r>
            <w:r>
              <w:rPr>
                <w:rFonts w:hint="eastAsia" w:ascii="Times New Roman" w:hAnsi="Times New Roman" w:eastAsia="宋体" w:cs="Times New Roman"/>
                <w:color w:val="auto"/>
                <w:sz w:val="24"/>
                <w:shd w:val="clear" w:color="auto" w:fill="auto"/>
                <w:lang w:eastAsia="zh-CN"/>
              </w:rPr>
              <w:t>为</w:t>
            </w:r>
            <w:r>
              <w:rPr>
                <w:rFonts w:hint="eastAsia"/>
                <w:color w:val="auto"/>
                <w:sz w:val="24"/>
                <w:lang w:val="en-US" w:eastAsia="zh-CN"/>
              </w:rPr>
              <w:t>218658</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728.86</w:t>
            </w:r>
            <w:r>
              <w:rPr>
                <w:color w:val="auto"/>
                <w:sz w:val="24"/>
              </w:rPr>
              <w:t>t/</w:t>
            </w:r>
            <w:r>
              <w:rPr>
                <w:rFonts w:hint="eastAsia"/>
                <w:color w:val="auto"/>
                <w:sz w:val="24"/>
                <w:lang w:val="en-US" w:eastAsia="zh-CN"/>
              </w:rPr>
              <w:t>d</w:t>
            </w:r>
            <w:r>
              <w:rPr>
                <w:rFonts w:hint="eastAsia"/>
                <w:color w:val="auto"/>
                <w:sz w:val="24"/>
              </w:rPr>
              <w:t>）</w:t>
            </w:r>
            <w:r>
              <w:rPr>
                <w:rFonts w:hint="eastAsia" w:ascii="Times New Roman" w:hAnsi="Times New Roman" w:eastAsia="宋体" w:cs="Times New Roman"/>
                <w:color w:val="auto"/>
                <w:sz w:val="24"/>
                <w:shd w:val="clear" w:color="auto" w:fill="auto"/>
                <w:lang w:val="en-US" w:eastAsia="zh-CN"/>
              </w:rPr>
              <w:t>，纯水制备</w:t>
            </w:r>
            <w:r>
              <w:rPr>
                <w:rFonts w:hint="eastAsia" w:cs="Times New Roman"/>
                <w:color w:val="auto"/>
                <w:sz w:val="24"/>
                <w:shd w:val="clear" w:color="auto" w:fill="auto"/>
                <w:lang w:val="en-US" w:eastAsia="zh-CN"/>
              </w:rPr>
              <w:t>产水</w:t>
            </w:r>
            <w:r>
              <w:rPr>
                <w:rFonts w:hint="eastAsia" w:ascii="Times New Roman" w:hAnsi="Times New Roman" w:eastAsia="宋体" w:cs="Times New Roman"/>
                <w:color w:val="auto"/>
                <w:sz w:val="24"/>
                <w:shd w:val="clear" w:color="auto" w:fill="auto"/>
                <w:lang w:val="en-US" w:eastAsia="zh-CN"/>
              </w:rPr>
              <w:t>率为75%，则自来水需水量为</w:t>
            </w:r>
            <w:r>
              <w:rPr>
                <w:rFonts w:hint="eastAsia" w:cs="Times New Roman"/>
                <w:color w:val="auto"/>
                <w:sz w:val="24"/>
                <w:shd w:val="clear" w:color="auto" w:fill="auto"/>
                <w:lang w:val="en-US" w:eastAsia="zh-CN"/>
              </w:rPr>
              <w:t>291544</w:t>
            </w:r>
            <w:r>
              <w:rPr>
                <w:rFonts w:hint="eastAsia" w:ascii="Times New Roman" w:hAnsi="Times New Roman" w:eastAsia="宋体" w:cs="Times New Roman"/>
                <w:color w:val="auto"/>
                <w:sz w:val="24"/>
                <w:shd w:val="clear" w:color="auto" w:fill="auto"/>
                <w:lang w:val="en-US" w:eastAsia="zh-CN"/>
              </w:rPr>
              <w:t>t/</w:t>
            </w:r>
            <w:r>
              <w:rPr>
                <w:rFonts w:hint="eastAsia" w:cs="Times New Roman"/>
                <w:color w:val="auto"/>
                <w:sz w:val="24"/>
                <w:shd w:val="clear" w:color="auto" w:fill="auto"/>
                <w:lang w:val="en-US" w:eastAsia="zh-CN"/>
              </w:rPr>
              <w:t>a</w:t>
            </w:r>
            <w:r>
              <w:rPr>
                <w:rFonts w:hint="eastAsia"/>
                <w:color w:val="auto"/>
                <w:sz w:val="24"/>
              </w:rPr>
              <w:t>（</w:t>
            </w:r>
            <w:r>
              <w:rPr>
                <w:rFonts w:hint="eastAsia"/>
                <w:color w:val="auto"/>
                <w:sz w:val="24"/>
                <w:lang w:val="en-US" w:eastAsia="zh-CN"/>
              </w:rPr>
              <w:t>971.813</w:t>
            </w:r>
            <w:r>
              <w:rPr>
                <w:color w:val="auto"/>
                <w:sz w:val="24"/>
              </w:rPr>
              <w:t>t/</w:t>
            </w:r>
            <w:r>
              <w:rPr>
                <w:rFonts w:hint="eastAsia"/>
                <w:color w:val="auto"/>
                <w:sz w:val="24"/>
                <w:lang w:val="en-US" w:eastAsia="zh-CN"/>
              </w:rPr>
              <w:t>d</w:t>
            </w:r>
            <w:r>
              <w:rPr>
                <w:rFonts w:hint="eastAsia"/>
                <w:color w:val="auto"/>
                <w:sz w:val="24"/>
              </w:rPr>
              <w:t>）</w:t>
            </w:r>
            <w:r>
              <w:rPr>
                <w:rFonts w:hint="eastAsia" w:ascii="Times New Roman" w:hAnsi="Times New Roman" w:eastAsia="宋体" w:cs="Times New Roman"/>
                <w:color w:val="auto"/>
                <w:sz w:val="24"/>
                <w:shd w:val="clear" w:color="auto" w:fill="auto"/>
                <w:lang w:val="en-US" w:eastAsia="zh-CN"/>
              </w:rPr>
              <w:t>，</w:t>
            </w:r>
            <w:r>
              <w:rPr>
                <w:rFonts w:hint="eastAsia" w:ascii="Times New Roman" w:hAnsi="Times New Roman" w:eastAsia="宋体" w:cs="Times New Roman"/>
                <w:b w:val="0"/>
                <w:bCs w:val="0"/>
                <w:color w:val="auto"/>
                <w:sz w:val="24"/>
                <w:shd w:val="clear" w:color="auto" w:fill="auto"/>
                <w:lang w:val="en-US" w:eastAsia="zh-CN"/>
              </w:rPr>
              <w:t>浓水产生量为</w:t>
            </w:r>
            <w:r>
              <w:rPr>
                <w:rFonts w:hint="eastAsia"/>
                <w:color w:val="auto"/>
                <w:sz w:val="24"/>
                <w:lang w:val="en-US" w:eastAsia="zh-CN"/>
              </w:rPr>
              <w:t>72886</w:t>
            </w:r>
            <w:r>
              <w:rPr>
                <w:color w:val="auto"/>
                <w:sz w:val="24"/>
              </w:rPr>
              <w:t>t/</w:t>
            </w:r>
            <w:r>
              <w:rPr>
                <w:rFonts w:hint="eastAsia"/>
                <w:color w:val="auto"/>
                <w:sz w:val="24"/>
                <w:lang w:val="en-US" w:eastAsia="zh-CN"/>
              </w:rPr>
              <w:t>a</w:t>
            </w:r>
            <w:r>
              <w:rPr>
                <w:rFonts w:hint="eastAsia"/>
                <w:color w:val="auto"/>
                <w:sz w:val="24"/>
              </w:rPr>
              <w:t>（</w:t>
            </w:r>
            <w:r>
              <w:rPr>
                <w:rFonts w:hint="eastAsia" w:cs="Times New Roman"/>
                <w:b w:val="0"/>
                <w:bCs w:val="0"/>
                <w:color w:val="auto"/>
                <w:sz w:val="24"/>
                <w:shd w:val="clear" w:color="auto" w:fill="auto"/>
                <w:lang w:val="en-US" w:eastAsia="zh-CN"/>
              </w:rPr>
              <w:t>242.953</w:t>
            </w:r>
            <w:r>
              <w:rPr>
                <w:rFonts w:hint="eastAsia" w:ascii="Times New Roman" w:hAnsi="Times New Roman" w:eastAsia="宋体" w:cs="Times New Roman"/>
                <w:b w:val="0"/>
                <w:bCs w:val="0"/>
                <w:color w:val="auto"/>
                <w:sz w:val="24"/>
                <w:shd w:val="clear" w:color="auto" w:fill="auto"/>
                <w:lang w:val="en-US" w:eastAsia="zh-CN"/>
              </w:rPr>
              <w:t>t/d</w:t>
            </w:r>
            <w:r>
              <w:rPr>
                <w:rFonts w:hint="eastAsia"/>
                <w:color w:val="auto"/>
                <w:sz w:val="24"/>
              </w:rPr>
              <w:t>）</w:t>
            </w:r>
            <w:r>
              <w:rPr>
                <w:rFonts w:hint="eastAsia" w:ascii="Times New Roman" w:hAnsi="Times New Roman" w:eastAsia="宋体" w:cs="Times New Roman"/>
                <w:b w:val="0"/>
                <w:bCs w:val="0"/>
                <w:color w:val="auto"/>
                <w:sz w:val="24"/>
                <w:shd w:val="clear" w:color="auto" w:fill="auto"/>
                <w:lang w:val="en-US" w:eastAsia="zh-CN"/>
              </w:rPr>
              <w:t>，浓水排入厂区沉淀池</w:t>
            </w:r>
            <w:r>
              <w:rPr>
                <w:rFonts w:hint="eastAsia" w:ascii="Times New Roman" w:hAnsi="Times New Roman" w:eastAsia="宋体" w:cs="Times New Roman"/>
                <w:b w:val="0"/>
                <w:bCs w:val="0"/>
                <w:color w:val="auto"/>
                <w:sz w:val="24"/>
                <w:shd w:val="clear" w:color="auto" w:fill="auto"/>
                <w:vertAlign w:val="baseline"/>
                <w:lang w:val="en-US" w:eastAsia="zh-CN"/>
              </w:rPr>
              <w:t>进行处理，处理后排入园区管网。</w:t>
            </w:r>
          </w:p>
          <w:p w14:paraId="6FBCD9B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反冲洗用水：</w:t>
            </w:r>
            <w:r>
              <w:rPr>
                <w:rFonts w:hint="eastAsia"/>
                <w:color w:val="auto"/>
                <w:sz w:val="24"/>
                <w:lang w:eastAsia="zh-CN"/>
              </w:rPr>
              <w:t>项目</w:t>
            </w:r>
            <w:r>
              <w:rPr>
                <w:rFonts w:hint="eastAsia"/>
                <w:color w:val="auto"/>
                <w:sz w:val="24"/>
                <w:lang w:val="en-US" w:eastAsia="zh-CN"/>
              </w:rPr>
              <w:t>5台纯水机</w:t>
            </w:r>
            <w:r>
              <w:rPr>
                <w:rFonts w:hint="eastAsia"/>
                <w:color w:val="auto"/>
                <w:sz w:val="24"/>
                <w:lang w:eastAsia="zh-CN"/>
              </w:rPr>
              <w:t>每次冲洗总用水量为</w:t>
            </w:r>
            <w:r>
              <w:rPr>
                <w:rFonts w:hint="eastAsia"/>
                <w:color w:val="auto"/>
                <w:sz w:val="24"/>
                <w:lang w:val="en-US" w:eastAsia="zh-CN"/>
              </w:rPr>
              <w:t>10m</w:t>
            </w:r>
            <w:r>
              <w:rPr>
                <w:rFonts w:hint="eastAsia"/>
                <w:color w:val="auto"/>
                <w:sz w:val="24"/>
                <w:vertAlign w:val="superscript"/>
                <w:lang w:val="en-US" w:eastAsia="zh-CN"/>
              </w:rPr>
              <w:t>3</w:t>
            </w:r>
            <w:r>
              <w:rPr>
                <w:rFonts w:hint="eastAsia"/>
                <w:color w:val="auto"/>
                <w:sz w:val="24"/>
                <w:vertAlign w:val="baseline"/>
                <w:lang w:val="en-US" w:eastAsia="zh-CN"/>
              </w:rPr>
              <w:t>，一年冲洗三次，则反冲洗废水量为</w:t>
            </w:r>
            <w:r>
              <w:rPr>
                <w:rFonts w:hint="eastAsia"/>
                <w:color w:val="auto"/>
                <w:sz w:val="24"/>
                <w:lang w:val="en-US" w:eastAsia="zh-CN"/>
              </w:rPr>
              <w:t>30m</w:t>
            </w:r>
            <w:r>
              <w:rPr>
                <w:rFonts w:hint="eastAsia"/>
                <w:color w:val="auto"/>
                <w:sz w:val="24"/>
                <w:vertAlign w:val="superscript"/>
                <w:lang w:val="en-US" w:eastAsia="zh-CN"/>
              </w:rPr>
              <w:t>3</w:t>
            </w:r>
            <w:r>
              <w:rPr>
                <w:rFonts w:hint="eastAsia"/>
                <w:color w:val="auto"/>
                <w:sz w:val="24"/>
                <w:vertAlign w:val="baseline"/>
                <w:lang w:val="en-US" w:eastAsia="zh-CN"/>
              </w:rPr>
              <w:t>/a</w:t>
            </w:r>
            <w:r>
              <w:rPr>
                <w:rFonts w:hint="eastAsia"/>
                <w:color w:val="auto"/>
                <w:sz w:val="24"/>
                <w:szCs w:val="24"/>
                <w:lang w:eastAsia="zh-CN"/>
              </w:rPr>
              <w:t>，收集后排入园区管网。</w:t>
            </w:r>
          </w:p>
          <w:p w14:paraId="7CFD370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vertAlign w:val="baseline"/>
                <w:lang w:val="en-US" w:eastAsia="zh-CN"/>
              </w:rPr>
            </w:pPr>
            <w:r>
              <w:rPr>
                <w:rFonts w:hint="eastAsia"/>
                <w:color w:val="auto"/>
                <w:sz w:val="24"/>
                <w:lang w:val="en-US" w:eastAsia="zh-CN"/>
              </w:rPr>
              <w:t>喷淋用水：本项目拟设置2套二级碱喷淋装置，喷淋塔循环量共50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/h，</w:t>
            </w:r>
            <w:r>
              <w:rPr>
                <w:rFonts w:hint="eastAsia"/>
                <w:color w:val="auto"/>
                <w:sz w:val="24"/>
                <w:lang w:eastAsia="zh-CN"/>
              </w:rPr>
              <w:t>由于循环过程中蒸发损耗等，需定期补充，补充水量按照循环水量的</w:t>
            </w:r>
            <w:r>
              <w:rPr>
                <w:rFonts w:hint="eastAsia"/>
                <w:color w:val="auto"/>
                <w:sz w:val="24"/>
                <w:lang w:val="en-US" w:eastAsia="zh-CN"/>
              </w:rPr>
              <w:t>0.5%计，补充水量为1800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/a</w:t>
            </w:r>
            <w:r>
              <w:rPr>
                <w:rFonts w:hint="eastAsia"/>
                <w:color w:val="auto"/>
                <w:sz w:val="24"/>
              </w:rPr>
              <w:t>（</w:t>
            </w:r>
            <w:r>
              <w:rPr>
                <w:rFonts w:hint="eastAsia"/>
                <w:color w:val="auto"/>
                <w:sz w:val="24"/>
                <w:lang w:val="en-US" w:eastAsia="zh-CN"/>
              </w:rPr>
              <w:t>6</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/d</w:t>
            </w:r>
            <w:r>
              <w:rPr>
                <w:rFonts w:hint="eastAsia"/>
                <w:color w:val="auto"/>
                <w:sz w:val="24"/>
              </w:rPr>
              <w:t>）</w:t>
            </w:r>
            <w:r>
              <w:rPr>
                <w:rFonts w:hint="eastAsia"/>
                <w:color w:val="auto"/>
                <w:sz w:val="24"/>
                <w:lang w:eastAsia="zh-CN"/>
              </w:rPr>
              <w:t>。</w:t>
            </w:r>
            <w:r>
              <w:rPr>
                <w:rFonts w:hint="eastAsia"/>
                <w:color w:val="auto"/>
                <w:sz w:val="24"/>
                <w:lang w:val="en-US" w:eastAsia="zh-CN"/>
              </w:rPr>
              <w:t>喷淋塔中吸收液循环使用，循环次数过多会导致污染物累积，需定期更换，吸收液池储存量共30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eastAsia="宋体" w:cs="Times New Roman"/>
                <w:color w:val="auto"/>
                <w:spacing w:val="1"/>
                <w:sz w:val="24"/>
                <w:szCs w:val="24"/>
                <w:vertAlign w:val="baseline"/>
                <w:lang w:val="en-US" w:eastAsia="zh-CN"/>
              </w:rPr>
              <w:t>，本项目拟10d更换1次吸收液，</w:t>
            </w:r>
            <w:r>
              <w:rPr>
                <w:rFonts w:hint="eastAsia"/>
                <w:color w:val="auto"/>
                <w:sz w:val="24"/>
                <w:lang w:val="en-US" w:eastAsia="zh-CN"/>
              </w:rPr>
              <w:t>2套二级碱喷淋装置</w:t>
            </w:r>
            <w:r>
              <w:rPr>
                <w:rFonts w:hint="eastAsia" w:eastAsia="宋体" w:cs="Times New Roman"/>
                <w:color w:val="auto"/>
                <w:spacing w:val="1"/>
                <w:sz w:val="24"/>
                <w:szCs w:val="24"/>
                <w:vertAlign w:val="baseline"/>
                <w:lang w:val="en-US" w:eastAsia="zh-CN"/>
              </w:rPr>
              <w:t>每次更换量</w:t>
            </w:r>
            <w:r>
              <w:rPr>
                <w:rFonts w:hint="eastAsia" w:cs="Times New Roman"/>
                <w:color w:val="auto"/>
                <w:spacing w:val="1"/>
                <w:sz w:val="24"/>
                <w:szCs w:val="24"/>
                <w:vertAlign w:val="baseline"/>
                <w:lang w:val="en-US" w:eastAsia="zh-CN"/>
              </w:rPr>
              <w:t>共</w:t>
            </w:r>
            <w:r>
              <w:rPr>
                <w:rFonts w:hint="eastAsia"/>
                <w:color w:val="auto"/>
                <w:sz w:val="24"/>
                <w:lang w:val="en-US" w:eastAsia="zh-CN"/>
              </w:rPr>
              <w:t>30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eastAsia="宋体" w:cs="Times New Roman"/>
                <w:color w:val="auto"/>
                <w:spacing w:val="1"/>
                <w:sz w:val="24"/>
                <w:szCs w:val="24"/>
                <w:vertAlign w:val="baseline"/>
                <w:lang w:val="en-US" w:eastAsia="zh-CN"/>
              </w:rPr>
              <w:t>，更换次数为30次，则喷淋废水为900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/a（3</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/d），喷淋塔补充水量为9</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w:t>
            </w:r>
            <w:r>
              <w:rPr>
                <w:rFonts w:hint="eastAsia"/>
                <w:color w:val="auto"/>
                <w:sz w:val="24"/>
                <w:lang w:val="en-US" w:eastAsia="zh-CN"/>
              </w:rPr>
              <w:t>d</w:t>
            </w:r>
            <w:r>
              <w:rPr>
                <w:rFonts w:hint="eastAsia"/>
                <w:color w:val="auto"/>
                <w:sz w:val="24"/>
              </w:rPr>
              <w:t>（</w:t>
            </w:r>
            <w:r>
              <w:rPr>
                <w:rFonts w:hint="eastAsia"/>
                <w:color w:val="auto"/>
                <w:sz w:val="24"/>
                <w:lang w:val="en-US" w:eastAsia="zh-CN"/>
              </w:rPr>
              <w:t>2700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w:t>
            </w:r>
            <w:r>
              <w:rPr>
                <w:rFonts w:hint="eastAsia"/>
                <w:color w:val="auto"/>
                <w:sz w:val="24"/>
                <w:lang w:val="en-US" w:eastAsia="zh-CN"/>
              </w:rPr>
              <w:t>a</w:t>
            </w:r>
            <w:r>
              <w:rPr>
                <w:rFonts w:hint="eastAsia"/>
                <w:color w:val="auto"/>
                <w:sz w:val="24"/>
              </w:rPr>
              <w:t>）</w:t>
            </w:r>
            <w:r>
              <w:rPr>
                <w:rFonts w:hint="eastAsia"/>
                <w:color w:val="auto"/>
                <w:sz w:val="24"/>
                <w:lang w:eastAsia="zh-CN"/>
              </w:rPr>
              <w:t>。</w:t>
            </w:r>
          </w:p>
          <w:p w14:paraId="73A941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olor w:val="auto"/>
                <w:sz w:val="24"/>
                <w:lang w:val="en-US" w:eastAsia="zh-CN"/>
              </w:rPr>
              <w:t>初期雨水：</w:t>
            </w:r>
            <w:r>
              <w:rPr>
                <w:rFonts w:hint="default" w:ascii="Times New Roman" w:hAnsi="Times New Roman" w:eastAsia="宋体" w:cs="Times New Roman"/>
                <w:color w:val="auto"/>
                <w:kern w:val="0"/>
                <w:sz w:val="24"/>
                <w:szCs w:val="24"/>
                <w:lang w:val="en-US" w:eastAsia="zh-CN" w:bidi="ar"/>
              </w:rPr>
              <w:t>根据</w:t>
            </w:r>
            <w:r>
              <w:rPr>
                <w:rFonts w:hint="default" w:ascii="Times New Roman" w:hAnsi="Times New Roman" w:eastAsia="宋体" w:cs="Times New Roman"/>
                <w:color w:val="000000"/>
                <w:kern w:val="0"/>
                <w:sz w:val="24"/>
                <w:szCs w:val="24"/>
                <w:lang w:val="en-US" w:eastAsia="zh-CN" w:bidi="ar"/>
              </w:rPr>
              <w:t>《关于发布蚌埠市暴雨强度修订公式的通知》设计暴雨强度q计算公式：q=2957.275（1+0.399lgP）/（t+12.892）</w:t>
            </w:r>
            <w:r>
              <w:rPr>
                <w:rFonts w:hint="default" w:ascii="Times New Roman" w:hAnsi="Times New Roman" w:eastAsia="宋体" w:cs="Times New Roman"/>
                <w:color w:val="000000"/>
                <w:kern w:val="0"/>
                <w:sz w:val="24"/>
                <w:szCs w:val="24"/>
                <w:vertAlign w:val="superscript"/>
                <w:lang w:val="en-US" w:eastAsia="zh-CN" w:bidi="ar"/>
              </w:rPr>
              <w:t>0.747</w:t>
            </w:r>
          </w:p>
          <w:p w14:paraId="2880542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q－设计暴雨强度[L/(s·hm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 )]；t－降雨历时（min），取</w:t>
            </w:r>
            <w:r>
              <w:rPr>
                <w:rFonts w:hint="eastAsia" w:ascii="Times New Roman" w:hAnsi="Times New Roman" w:eastAsia="宋体"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min；</w:t>
            </w:r>
          </w:p>
          <w:p w14:paraId="68EBFF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P－设计重现期（a），本项目取</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a；</w:t>
            </w:r>
          </w:p>
          <w:p w14:paraId="1E4AFC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经计算 q=</w:t>
            </w:r>
            <w:r>
              <w:rPr>
                <w:rFonts w:hint="eastAsia" w:ascii="Times New Roman" w:hAnsi="Times New Roman" w:eastAsia="宋体" w:cs="Times New Roman"/>
                <w:color w:val="auto"/>
                <w:kern w:val="0"/>
                <w:sz w:val="24"/>
                <w:szCs w:val="24"/>
                <w:lang w:val="en-US" w:eastAsia="zh-CN" w:bidi="ar"/>
              </w:rPr>
              <w:t>142.939</w:t>
            </w:r>
            <w:r>
              <w:rPr>
                <w:rFonts w:hint="default" w:ascii="Times New Roman" w:hAnsi="Times New Roman" w:eastAsia="宋体" w:cs="Times New Roman"/>
                <w:color w:val="auto"/>
                <w:kern w:val="0"/>
                <w:sz w:val="24"/>
                <w:szCs w:val="24"/>
                <w:lang w:val="en-US" w:eastAsia="zh-CN" w:bidi="ar"/>
              </w:rPr>
              <w:t>L/(s·hm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5369BA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lang w:val="en-US" w:eastAsia="zh-CN" w:bidi="ar"/>
              </w:rPr>
              <w:t>根据《室外排水设计</w:t>
            </w:r>
            <w:r>
              <w:rPr>
                <w:rFonts w:hint="eastAsia" w:cs="Times New Roman"/>
                <w:color w:val="auto"/>
                <w:kern w:val="0"/>
                <w:sz w:val="24"/>
                <w:szCs w:val="24"/>
                <w:lang w:val="en-US" w:eastAsia="zh-CN" w:bidi="ar"/>
              </w:rPr>
              <w:t>标准</w:t>
            </w:r>
            <w:r>
              <w:rPr>
                <w:rFonts w:hint="default" w:ascii="Times New Roman" w:hAnsi="Times New Roman" w:eastAsia="宋体" w:cs="Times New Roman"/>
                <w:color w:val="000000"/>
                <w:kern w:val="0"/>
                <w:sz w:val="24"/>
                <w:szCs w:val="24"/>
                <w:lang w:val="en-US" w:eastAsia="zh-CN" w:bidi="ar"/>
              </w:rPr>
              <w:t>》（GB50014-20</w:t>
            </w:r>
            <w:r>
              <w:rPr>
                <w:rFonts w:hint="eastAsia" w:cs="Times New Roman"/>
                <w:color w:val="000000"/>
                <w:kern w:val="0"/>
                <w:sz w:val="24"/>
                <w:szCs w:val="24"/>
                <w:lang w:val="en-US" w:eastAsia="zh-CN" w:bidi="ar"/>
              </w:rPr>
              <w:t>21</w:t>
            </w:r>
            <w:r>
              <w:rPr>
                <w:rFonts w:hint="default" w:ascii="Times New Roman" w:hAnsi="Times New Roman" w:eastAsia="宋体" w:cs="Times New Roman"/>
                <w:color w:val="000000"/>
                <w:kern w:val="0"/>
                <w:sz w:val="24"/>
                <w:szCs w:val="24"/>
                <w:lang w:val="en-US" w:eastAsia="zh-CN" w:bidi="ar"/>
              </w:rPr>
              <w:t>）可知，厂区初期雨水收集量应按下列公式计算：Q=qΨFt</w:t>
            </w:r>
          </w:p>
          <w:p w14:paraId="510159E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式中：Q－雨水</w:t>
            </w:r>
            <w:r>
              <w:rPr>
                <w:rFonts w:hint="eastAsia" w:eastAsia="宋体" w:cs="Times New Roman"/>
                <w:color w:val="000000"/>
                <w:kern w:val="0"/>
                <w:sz w:val="24"/>
                <w:szCs w:val="24"/>
                <w:lang w:val="en-US" w:eastAsia="zh-CN" w:bidi="ar"/>
              </w:rPr>
              <w:t>收集</w:t>
            </w:r>
            <w:r>
              <w:rPr>
                <w:rFonts w:hint="default" w:ascii="Times New Roman" w:hAnsi="Times New Roman" w:eastAsia="宋体" w:cs="Times New Roman"/>
                <w:color w:val="000000"/>
                <w:kern w:val="0"/>
                <w:sz w:val="24"/>
                <w:szCs w:val="24"/>
                <w:lang w:val="en-US" w:eastAsia="zh-CN" w:bidi="ar"/>
              </w:rPr>
              <w:t>量（L）；</w:t>
            </w:r>
          </w:p>
          <w:p w14:paraId="7C96C8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q－设计暴雨强度[L/(s·hm</w:t>
            </w:r>
            <w:r>
              <w:rPr>
                <w:rFonts w:hint="default" w:ascii="Times New Roman" w:hAnsi="Times New Roman" w:eastAsia="宋体" w:cs="Times New Roman"/>
                <w:color w:val="000000"/>
                <w:kern w:val="0"/>
                <w:sz w:val="24"/>
                <w:szCs w:val="24"/>
                <w:vertAlign w:val="superscript"/>
                <w:lang w:val="en-US" w:eastAsia="zh-CN" w:bidi="ar"/>
              </w:rPr>
              <w:t xml:space="preserve">2 </w:t>
            </w:r>
            <w:r>
              <w:rPr>
                <w:rFonts w:hint="default" w:ascii="Times New Roman" w:hAnsi="Times New Roman" w:eastAsia="宋体" w:cs="Times New Roman"/>
                <w:color w:val="000000"/>
                <w:kern w:val="0"/>
                <w:sz w:val="24"/>
                <w:szCs w:val="24"/>
                <w:lang w:val="en-US" w:eastAsia="zh-CN" w:bidi="ar"/>
              </w:rPr>
              <w:t>)]；</w:t>
            </w:r>
          </w:p>
          <w:p w14:paraId="112236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Ψ</w:t>
            </w:r>
            <w:r>
              <w:rPr>
                <w:rFonts w:hint="default" w:ascii="Times New Roman" w:hAnsi="Times New Roman" w:eastAsia="宋体" w:cs="Times New Roman"/>
                <w:color w:val="auto"/>
                <w:kern w:val="0"/>
                <w:sz w:val="24"/>
                <w:szCs w:val="24"/>
                <w:lang w:val="en-US" w:eastAsia="zh-CN" w:bidi="ar"/>
              </w:rPr>
              <w:t>－径流系数，</w:t>
            </w:r>
            <w:r>
              <w:rPr>
                <w:rFonts w:hint="eastAsia" w:cs="Times New Roman"/>
                <w:color w:val="auto"/>
                <w:kern w:val="0"/>
                <w:sz w:val="24"/>
                <w:szCs w:val="24"/>
                <w:lang w:val="en-US" w:eastAsia="zh-CN" w:bidi="ar"/>
              </w:rPr>
              <w:t>根据综合径流系数表，</w:t>
            </w:r>
            <w:r>
              <w:rPr>
                <w:rFonts w:hint="default" w:ascii="Times New Roman" w:hAnsi="Times New Roman" w:eastAsia="宋体" w:cs="Times New Roman"/>
                <w:color w:val="auto"/>
                <w:kern w:val="0"/>
                <w:sz w:val="24"/>
                <w:szCs w:val="24"/>
                <w:lang w:val="en-US" w:eastAsia="zh-CN" w:bidi="ar"/>
              </w:rPr>
              <w:t>蚌埠地区</w:t>
            </w:r>
            <w:r>
              <w:rPr>
                <w:rFonts w:hint="eastAsia" w:cs="Times New Roman"/>
                <w:color w:val="auto"/>
                <w:kern w:val="0"/>
                <w:sz w:val="24"/>
                <w:szCs w:val="24"/>
                <w:lang w:val="en-US" w:eastAsia="zh-CN" w:bidi="ar"/>
              </w:rPr>
              <w:t>属于城镇建筑密集区，综合径流系数为</w:t>
            </w:r>
            <w:r>
              <w:rPr>
                <w:rFonts w:hint="default" w:ascii="Times New Roman" w:hAnsi="Times New Roman" w:cs="Times New Roman"/>
                <w:color w:val="auto"/>
                <w:kern w:val="0"/>
                <w:sz w:val="24"/>
                <w:szCs w:val="24"/>
                <w:lang w:val="en-US" w:eastAsia="zh-CN" w:bidi="ar"/>
              </w:rPr>
              <w:t>0.60~0.70，</w:t>
            </w:r>
            <w:r>
              <w:rPr>
                <w:rFonts w:hint="eastAsia" w:cs="Times New Roman"/>
                <w:color w:val="auto"/>
                <w:kern w:val="0"/>
                <w:sz w:val="24"/>
                <w:szCs w:val="24"/>
                <w:lang w:val="en-US" w:eastAsia="zh-CN" w:bidi="ar"/>
              </w:rPr>
              <w:t>本项目取</w:t>
            </w:r>
            <w:r>
              <w:rPr>
                <w:rFonts w:hint="default"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w:t>
            </w:r>
          </w:p>
          <w:p w14:paraId="036BD11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F－汇水面积（hm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取生产车间面积2.982</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p>
          <w:p w14:paraId="7D9131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t—降雨历时（s），取15min=900s；</w:t>
            </w:r>
          </w:p>
          <w:p w14:paraId="752D3F7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FF0000"/>
                <w:sz w:val="24"/>
                <w:vertAlign w:val="baseline"/>
                <w:lang w:val="en-US" w:eastAsia="zh-CN"/>
              </w:rPr>
            </w:pPr>
            <w:r>
              <w:rPr>
                <w:rFonts w:hint="eastAsia" w:eastAsia="宋体" w:cs="Times New Roman"/>
                <w:color w:val="auto"/>
                <w:kern w:val="0"/>
                <w:sz w:val="24"/>
                <w:szCs w:val="24"/>
                <w:lang w:val="en-US" w:eastAsia="zh-CN" w:bidi="ar"/>
              </w:rPr>
              <w:t>经计算，项目初期雨水量</w:t>
            </w:r>
            <w:r>
              <w:rPr>
                <w:rFonts w:hint="eastAsia" w:cs="Times New Roman"/>
                <w:color w:val="auto"/>
                <w:kern w:val="0"/>
                <w:sz w:val="24"/>
                <w:szCs w:val="24"/>
                <w:lang w:val="en-US" w:eastAsia="zh-CN" w:bidi="ar"/>
              </w:rPr>
              <w:t>230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vertAlign w:val="baseline"/>
                <w:lang w:val="en-US" w:eastAsia="zh-CN" w:bidi="ar"/>
              </w:rPr>
              <w:t>/次</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本项目拟设置一座</w:t>
            </w:r>
            <w:r>
              <w:rPr>
                <w:rFonts w:hint="eastAsia"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w:t>
            </w:r>
            <w:r>
              <w:rPr>
                <w:rFonts w:hint="eastAsia" w:cs="Times New Roman"/>
                <w:color w:val="auto"/>
                <w:kern w:val="0"/>
                <w:sz w:val="24"/>
                <w:szCs w:val="24"/>
                <w:lang w:val="en-US" w:eastAsia="zh-CN" w:bidi="ar"/>
              </w:rPr>
              <w:t>事故应急</w:t>
            </w:r>
            <w:r>
              <w:rPr>
                <w:rFonts w:hint="default" w:ascii="Times New Roman" w:hAnsi="Times New Roman" w:eastAsia="宋体" w:cs="Times New Roman"/>
                <w:color w:val="auto"/>
                <w:kern w:val="0"/>
                <w:sz w:val="24"/>
                <w:szCs w:val="24"/>
                <w:lang w:val="en-US" w:eastAsia="zh-CN" w:bidi="ar"/>
              </w:rPr>
              <w:t>池</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项目事故应急池兼做初期雨水池，可</w:t>
            </w:r>
            <w:r>
              <w:rPr>
                <w:rFonts w:hint="eastAsia" w:ascii="Times New Roman" w:hAnsi="Times New Roman" w:eastAsia="宋体" w:cs="Times New Roman"/>
                <w:color w:val="auto"/>
                <w:kern w:val="0"/>
                <w:sz w:val="24"/>
                <w:szCs w:val="24"/>
                <w:lang w:val="en-US" w:eastAsia="zh-CN" w:bidi="ar"/>
              </w:rPr>
              <w:t>收纳初期雨水满足需求。</w:t>
            </w:r>
            <w:r>
              <w:rPr>
                <w:rFonts w:hint="eastAsia" w:cs="Times New Roman"/>
                <w:color w:val="auto"/>
                <w:kern w:val="0"/>
                <w:sz w:val="24"/>
                <w:szCs w:val="24"/>
                <w:lang w:val="en-US" w:eastAsia="zh-CN" w:bidi="ar"/>
              </w:rPr>
              <w:t>降雨</w:t>
            </w:r>
            <w:r>
              <w:rPr>
                <w:rFonts w:hint="default" w:ascii="Times New Roman" w:hAnsi="Times New Roman" w:eastAsia="宋体" w:cs="Times New Roman"/>
                <w:color w:val="auto"/>
                <w:kern w:val="0"/>
                <w:sz w:val="24"/>
                <w:szCs w:val="24"/>
                <w:lang w:val="en-US" w:eastAsia="zh-CN" w:bidi="ar"/>
              </w:rPr>
              <w:t>次数按一年15次计，则初期雨水产生量约</w:t>
            </w:r>
            <w:r>
              <w:rPr>
                <w:rFonts w:hint="eastAsia" w:ascii="Times New Roman" w:hAnsi="Times New Roman" w:eastAsia="宋体" w:cs="Times New Roman"/>
                <w:color w:val="auto"/>
                <w:kern w:val="0"/>
                <w:sz w:val="24"/>
                <w:szCs w:val="24"/>
                <w:lang w:val="en-US" w:eastAsia="zh-CN" w:bidi="ar"/>
              </w:rPr>
              <w:t>为</w:t>
            </w:r>
            <w:r>
              <w:rPr>
                <w:rFonts w:hint="eastAsia" w:cs="Times New Roman"/>
                <w:color w:val="auto"/>
                <w:kern w:val="0"/>
                <w:sz w:val="24"/>
                <w:szCs w:val="24"/>
                <w:lang w:val="en-US" w:eastAsia="zh-CN" w:bidi="ar"/>
              </w:rPr>
              <w:t>3450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，厂区初期雨水经</w:t>
            </w:r>
            <w:r>
              <w:rPr>
                <w:rFonts w:hint="eastAsia" w:cs="Times New Roman"/>
                <w:color w:val="auto"/>
                <w:kern w:val="0"/>
                <w:sz w:val="24"/>
                <w:szCs w:val="24"/>
                <w:lang w:val="en-US" w:eastAsia="zh-CN" w:bidi="ar"/>
              </w:rPr>
              <w:t>收集后排入固镇经济开发区污水处理厂</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b w:val="0"/>
                <w:bCs w:val="0"/>
                <w:color w:val="FF0000"/>
                <w:sz w:val="24"/>
                <w:shd w:val="clear" w:color="auto" w:fill="auto"/>
                <w:vertAlign w:val="baseline"/>
                <w:lang w:val="en-US" w:eastAsia="zh-CN"/>
              </w:rPr>
              <w:t xml:space="preserve"> </w:t>
            </w:r>
            <w:r>
              <w:rPr>
                <w:rFonts w:hint="eastAsia" w:cs="Times New Roman"/>
                <w:b w:val="0"/>
                <w:bCs w:val="0"/>
                <w:color w:val="FF0000"/>
                <w:sz w:val="24"/>
                <w:shd w:val="clear" w:color="auto" w:fill="auto"/>
                <w:vertAlign w:val="baseline"/>
                <w:lang w:val="en-US" w:eastAsia="zh-CN"/>
              </w:rPr>
              <w:t xml:space="preserve"> </w:t>
            </w:r>
          </w:p>
          <w:p w14:paraId="0FB8ABCC">
            <w:pPr>
              <w:spacing w:line="240" w:lineRule="auto"/>
              <w:ind w:firstLine="78" w:firstLineChars="37"/>
              <w:jc w:val="center"/>
              <w:rPr>
                <w:b/>
                <w:bCs/>
                <w:color w:val="auto"/>
                <w:sz w:val="21"/>
                <w:szCs w:val="21"/>
              </w:rPr>
            </w:pPr>
            <w:r>
              <w:rPr>
                <w:b/>
                <w:bCs/>
                <w:color w:val="auto"/>
                <w:sz w:val="21"/>
                <w:szCs w:val="21"/>
              </w:rPr>
              <w:t>表</w:t>
            </w:r>
            <w:r>
              <w:rPr>
                <w:rFonts w:hint="eastAsia"/>
                <w:b/>
                <w:bCs/>
                <w:color w:val="auto"/>
                <w:sz w:val="21"/>
                <w:szCs w:val="21"/>
                <w:lang w:val="en-US" w:eastAsia="zh-CN"/>
              </w:rPr>
              <w:t>2</w:t>
            </w:r>
            <w:r>
              <w:rPr>
                <w:b/>
                <w:bCs/>
                <w:color w:val="auto"/>
                <w:sz w:val="21"/>
                <w:szCs w:val="21"/>
              </w:rPr>
              <w:t>-</w:t>
            </w:r>
            <w:r>
              <w:rPr>
                <w:rFonts w:hint="eastAsia"/>
                <w:b/>
                <w:bCs/>
                <w:color w:val="auto"/>
                <w:sz w:val="21"/>
                <w:szCs w:val="21"/>
                <w:lang w:val="en-US" w:eastAsia="zh-CN"/>
              </w:rPr>
              <w:t xml:space="preserve">8 </w:t>
            </w:r>
            <w:r>
              <w:rPr>
                <w:b/>
                <w:bCs/>
                <w:color w:val="auto"/>
                <w:sz w:val="21"/>
                <w:szCs w:val="21"/>
              </w:rPr>
              <w:t>项目用</w:t>
            </w:r>
            <w:r>
              <w:rPr>
                <w:rFonts w:hint="eastAsia"/>
                <w:b/>
                <w:bCs/>
                <w:color w:val="auto"/>
                <w:sz w:val="21"/>
                <w:szCs w:val="21"/>
                <w:lang w:eastAsia="zh-CN"/>
              </w:rPr>
              <w:t>水</w:t>
            </w:r>
            <w:r>
              <w:rPr>
                <w:b/>
                <w:bCs/>
                <w:color w:val="auto"/>
                <w:sz w:val="21"/>
                <w:szCs w:val="21"/>
              </w:rPr>
              <w:t>及排水量</w:t>
            </w:r>
            <w:r>
              <w:rPr>
                <w:rFonts w:hint="eastAsia"/>
                <w:b/>
                <w:bCs/>
                <w:color w:val="auto"/>
                <w:sz w:val="21"/>
                <w:szCs w:val="21"/>
                <w:lang w:eastAsia="zh-CN"/>
              </w:rPr>
              <w:t>一览</w:t>
            </w:r>
            <w:r>
              <w:rPr>
                <w:b/>
                <w:bCs/>
                <w:color w:val="auto"/>
                <w:sz w:val="21"/>
                <w:szCs w:val="21"/>
              </w:rPr>
              <w:t>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276"/>
              <w:gridCol w:w="1695"/>
              <w:gridCol w:w="945"/>
              <w:gridCol w:w="1005"/>
              <w:gridCol w:w="1485"/>
              <w:gridCol w:w="956"/>
              <w:gridCol w:w="1026"/>
            </w:tblGrid>
            <w:tr w14:paraId="0438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79" w:type="pct"/>
                  <w:vMerge w:val="restart"/>
                  <w:noWrap w:val="0"/>
                  <w:vAlign w:val="center"/>
                </w:tcPr>
                <w:p w14:paraId="4BC5D8C5">
                  <w:pPr>
                    <w:spacing w:line="240" w:lineRule="auto"/>
                    <w:jc w:val="center"/>
                    <w:rPr>
                      <w:color w:val="auto"/>
                      <w:sz w:val="21"/>
                      <w:szCs w:val="21"/>
                    </w:rPr>
                  </w:pPr>
                  <w:r>
                    <w:rPr>
                      <w:color w:val="auto"/>
                      <w:sz w:val="21"/>
                      <w:szCs w:val="21"/>
                    </w:rPr>
                    <w:t>序号</w:t>
                  </w:r>
                </w:p>
              </w:tc>
              <w:tc>
                <w:tcPr>
                  <w:tcW w:w="718" w:type="pct"/>
                  <w:vMerge w:val="restart"/>
                  <w:noWrap w:val="0"/>
                  <w:vAlign w:val="center"/>
                </w:tcPr>
                <w:p w14:paraId="7C3996E7">
                  <w:pPr>
                    <w:spacing w:line="240" w:lineRule="auto"/>
                    <w:jc w:val="center"/>
                    <w:rPr>
                      <w:color w:val="auto"/>
                      <w:sz w:val="21"/>
                      <w:szCs w:val="21"/>
                    </w:rPr>
                  </w:pPr>
                  <w:r>
                    <w:rPr>
                      <w:color w:val="auto"/>
                      <w:sz w:val="21"/>
                      <w:szCs w:val="21"/>
                    </w:rPr>
                    <w:t>名称</w:t>
                  </w:r>
                </w:p>
              </w:tc>
              <w:tc>
                <w:tcPr>
                  <w:tcW w:w="2051" w:type="pct"/>
                  <w:gridSpan w:val="3"/>
                  <w:noWrap w:val="0"/>
                  <w:vAlign w:val="center"/>
                </w:tcPr>
                <w:p w14:paraId="5BD9968F">
                  <w:pPr>
                    <w:spacing w:line="240" w:lineRule="auto"/>
                    <w:jc w:val="center"/>
                    <w:rPr>
                      <w:color w:val="auto"/>
                      <w:sz w:val="21"/>
                      <w:szCs w:val="21"/>
                    </w:rPr>
                  </w:pPr>
                  <w:r>
                    <w:rPr>
                      <w:color w:val="auto"/>
                      <w:sz w:val="21"/>
                      <w:szCs w:val="21"/>
                    </w:rPr>
                    <w:t>用水量（t）</w:t>
                  </w:r>
                </w:p>
              </w:tc>
              <w:tc>
                <w:tcPr>
                  <w:tcW w:w="1951" w:type="pct"/>
                  <w:gridSpan w:val="3"/>
                  <w:noWrap w:val="0"/>
                  <w:vAlign w:val="center"/>
                </w:tcPr>
                <w:p w14:paraId="615F5FB4">
                  <w:pPr>
                    <w:spacing w:line="240" w:lineRule="auto"/>
                    <w:jc w:val="center"/>
                    <w:rPr>
                      <w:color w:val="auto"/>
                      <w:sz w:val="21"/>
                      <w:szCs w:val="21"/>
                    </w:rPr>
                  </w:pPr>
                  <w:r>
                    <w:rPr>
                      <w:color w:val="auto"/>
                      <w:sz w:val="21"/>
                      <w:szCs w:val="21"/>
                    </w:rPr>
                    <w:t>排水量（t）</w:t>
                  </w:r>
                </w:p>
              </w:tc>
            </w:tr>
            <w:tr w14:paraId="374B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79" w:type="pct"/>
                  <w:vMerge w:val="continue"/>
                  <w:noWrap w:val="0"/>
                  <w:vAlign w:val="center"/>
                </w:tcPr>
                <w:p w14:paraId="27131B2B">
                  <w:pPr>
                    <w:spacing w:line="240" w:lineRule="auto"/>
                    <w:jc w:val="center"/>
                    <w:rPr>
                      <w:sz w:val="21"/>
                      <w:szCs w:val="21"/>
                    </w:rPr>
                  </w:pPr>
                </w:p>
              </w:tc>
              <w:tc>
                <w:tcPr>
                  <w:tcW w:w="718" w:type="pct"/>
                  <w:vMerge w:val="continue"/>
                  <w:noWrap w:val="0"/>
                  <w:vAlign w:val="center"/>
                </w:tcPr>
                <w:p w14:paraId="4ED54CEE">
                  <w:pPr>
                    <w:spacing w:line="240" w:lineRule="auto"/>
                    <w:jc w:val="center"/>
                    <w:rPr>
                      <w:sz w:val="21"/>
                      <w:szCs w:val="21"/>
                    </w:rPr>
                  </w:pPr>
                </w:p>
              </w:tc>
              <w:tc>
                <w:tcPr>
                  <w:tcW w:w="1485" w:type="pct"/>
                  <w:gridSpan w:val="2"/>
                  <w:noWrap w:val="0"/>
                  <w:vAlign w:val="center"/>
                </w:tcPr>
                <w:p w14:paraId="1781A2AA">
                  <w:pPr>
                    <w:spacing w:line="240" w:lineRule="auto"/>
                    <w:jc w:val="center"/>
                    <w:rPr>
                      <w:sz w:val="21"/>
                      <w:szCs w:val="21"/>
                    </w:rPr>
                  </w:pPr>
                  <w:r>
                    <w:rPr>
                      <w:sz w:val="21"/>
                      <w:szCs w:val="21"/>
                    </w:rPr>
                    <w:t>日用水</w:t>
                  </w:r>
                </w:p>
              </w:tc>
              <w:tc>
                <w:tcPr>
                  <w:tcW w:w="565" w:type="pct"/>
                  <w:noWrap w:val="0"/>
                  <w:vAlign w:val="center"/>
                </w:tcPr>
                <w:p w14:paraId="45B2EB99">
                  <w:pPr>
                    <w:spacing w:line="240" w:lineRule="auto"/>
                    <w:jc w:val="center"/>
                    <w:rPr>
                      <w:sz w:val="21"/>
                      <w:szCs w:val="21"/>
                    </w:rPr>
                  </w:pPr>
                  <w:r>
                    <w:rPr>
                      <w:sz w:val="21"/>
                      <w:szCs w:val="21"/>
                    </w:rPr>
                    <w:t>年用水</w:t>
                  </w:r>
                </w:p>
              </w:tc>
              <w:tc>
                <w:tcPr>
                  <w:tcW w:w="1373" w:type="pct"/>
                  <w:gridSpan w:val="2"/>
                  <w:noWrap w:val="0"/>
                  <w:vAlign w:val="center"/>
                </w:tcPr>
                <w:p w14:paraId="14C9E5F6">
                  <w:pPr>
                    <w:spacing w:line="240" w:lineRule="auto"/>
                    <w:jc w:val="center"/>
                    <w:rPr>
                      <w:sz w:val="21"/>
                      <w:szCs w:val="21"/>
                    </w:rPr>
                  </w:pPr>
                  <w:r>
                    <w:rPr>
                      <w:sz w:val="21"/>
                      <w:szCs w:val="21"/>
                    </w:rPr>
                    <w:t>日排水</w:t>
                  </w:r>
                </w:p>
              </w:tc>
              <w:tc>
                <w:tcPr>
                  <w:tcW w:w="577" w:type="pct"/>
                  <w:noWrap w:val="0"/>
                  <w:vAlign w:val="center"/>
                </w:tcPr>
                <w:p w14:paraId="672C434F">
                  <w:pPr>
                    <w:spacing w:line="240" w:lineRule="auto"/>
                    <w:jc w:val="center"/>
                    <w:rPr>
                      <w:sz w:val="21"/>
                      <w:szCs w:val="21"/>
                    </w:rPr>
                  </w:pPr>
                  <w:r>
                    <w:rPr>
                      <w:sz w:val="21"/>
                      <w:szCs w:val="21"/>
                    </w:rPr>
                    <w:t>年排水</w:t>
                  </w:r>
                </w:p>
              </w:tc>
            </w:tr>
            <w:tr w14:paraId="7696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686EC8AA">
                  <w:pPr>
                    <w:spacing w:line="240" w:lineRule="auto"/>
                    <w:jc w:val="center"/>
                    <w:rPr>
                      <w:sz w:val="21"/>
                      <w:szCs w:val="21"/>
                    </w:rPr>
                  </w:pPr>
                  <w:r>
                    <w:rPr>
                      <w:sz w:val="21"/>
                      <w:szCs w:val="21"/>
                    </w:rPr>
                    <w:t>1</w:t>
                  </w:r>
                </w:p>
              </w:tc>
              <w:tc>
                <w:tcPr>
                  <w:tcW w:w="718" w:type="pct"/>
                  <w:noWrap w:val="0"/>
                  <w:vAlign w:val="center"/>
                </w:tcPr>
                <w:p w14:paraId="7124AEC1">
                  <w:pPr>
                    <w:spacing w:line="240" w:lineRule="auto"/>
                    <w:jc w:val="center"/>
                    <w:rPr>
                      <w:rFonts w:hint="eastAsia" w:eastAsia="宋体"/>
                      <w:sz w:val="21"/>
                      <w:szCs w:val="21"/>
                      <w:lang w:eastAsia="zh-CN"/>
                    </w:rPr>
                  </w:pPr>
                  <w:r>
                    <w:rPr>
                      <w:sz w:val="21"/>
                      <w:szCs w:val="21"/>
                    </w:rPr>
                    <w:t>生活</w:t>
                  </w:r>
                  <w:r>
                    <w:rPr>
                      <w:rFonts w:hint="eastAsia"/>
                      <w:sz w:val="21"/>
                      <w:szCs w:val="21"/>
                      <w:lang w:eastAsia="zh-CN"/>
                    </w:rPr>
                    <w:t>用水</w:t>
                  </w:r>
                </w:p>
              </w:tc>
              <w:tc>
                <w:tcPr>
                  <w:tcW w:w="2640" w:type="dxa"/>
                  <w:gridSpan w:val="2"/>
                  <w:noWrap w:val="0"/>
                  <w:vAlign w:val="center"/>
                </w:tcPr>
                <w:p w14:paraId="0FE3F85B">
                  <w:pPr>
                    <w:spacing w:line="240" w:lineRule="auto"/>
                    <w:jc w:val="center"/>
                    <w:rPr>
                      <w:rFonts w:hint="default" w:eastAsia="宋体"/>
                      <w:sz w:val="21"/>
                      <w:szCs w:val="21"/>
                      <w:lang w:val="en-US" w:eastAsia="zh-CN"/>
                    </w:rPr>
                  </w:pPr>
                  <w:r>
                    <w:rPr>
                      <w:rFonts w:hint="eastAsia"/>
                      <w:sz w:val="21"/>
                      <w:szCs w:val="21"/>
                      <w:lang w:val="en-US" w:eastAsia="zh-CN"/>
                    </w:rPr>
                    <w:t>14.4</w:t>
                  </w:r>
                </w:p>
              </w:tc>
              <w:tc>
                <w:tcPr>
                  <w:tcW w:w="1005" w:type="dxa"/>
                  <w:noWrap w:val="0"/>
                  <w:vAlign w:val="center"/>
                </w:tcPr>
                <w:p w14:paraId="623C9A86">
                  <w:pPr>
                    <w:spacing w:line="240" w:lineRule="auto"/>
                    <w:jc w:val="center"/>
                    <w:rPr>
                      <w:rFonts w:hint="default" w:eastAsia="宋体"/>
                      <w:sz w:val="21"/>
                      <w:szCs w:val="21"/>
                      <w:lang w:val="en-US" w:eastAsia="zh-CN"/>
                    </w:rPr>
                  </w:pPr>
                  <w:r>
                    <w:rPr>
                      <w:rFonts w:hint="eastAsia"/>
                      <w:sz w:val="21"/>
                      <w:szCs w:val="21"/>
                      <w:lang w:val="en-US" w:eastAsia="zh-CN"/>
                    </w:rPr>
                    <w:t>4320</w:t>
                  </w:r>
                </w:p>
              </w:tc>
              <w:tc>
                <w:tcPr>
                  <w:tcW w:w="2441" w:type="dxa"/>
                  <w:gridSpan w:val="2"/>
                  <w:noWrap w:val="0"/>
                  <w:vAlign w:val="center"/>
                </w:tcPr>
                <w:p w14:paraId="71DB0EB3">
                  <w:pPr>
                    <w:spacing w:line="240" w:lineRule="auto"/>
                    <w:jc w:val="center"/>
                    <w:rPr>
                      <w:rFonts w:hint="default" w:eastAsia="宋体"/>
                      <w:sz w:val="21"/>
                      <w:szCs w:val="21"/>
                      <w:lang w:val="en-US" w:eastAsia="zh-CN"/>
                    </w:rPr>
                  </w:pPr>
                  <w:r>
                    <w:rPr>
                      <w:rFonts w:hint="eastAsia"/>
                      <w:sz w:val="21"/>
                      <w:szCs w:val="21"/>
                      <w:lang w:val="en-US" w:eastAsia="zh-CN"/>
                    </w:rPr>
                    <w:t>11.52</w:t>
                  </w:r>
                </w:p>
              </w:tc>
              <w:tc>
                <w:tcPr>
                  <w:tcW w:w="1026" w:type="dxa"/>
                  <w:noWrap w:val="0"/>
                  <w:vAlign w:val="center"/>
                </w:tcPr>
                <w:p w14:paraId="675BE6E4">
                  <w:pPr>
                    <w:spacing w:line="240" w:lineRule="auto"/>
                    <w:jc w:val="center"/>
                    <w:rPr>
                      <w:rFonts w:hint="default" w:eastAsia="宋体"/>
                      <w:sz w:val="21"/>
                      <w:szCs w:val="21"/>
                      <w:lang w:val="en-US" w:eastAsia="zh-CN"/>
                    </w:rPr>
                  </w:pPr>
                  <w:r>
                    <w:rPr>
                      <w:rFonts w:hint="eastAsia"/>
                      <w:sz w:val="21"/>
                      <w:szCs w:val="21"/>
                      <w:lang w:val="en-US" w:eastAsia="zh-CN"/>
                    </w:rPr>
                    <w:t>3456</w:t>
                  </w:r>
                </w:p>
              </w:tc>
            </w:tr>
            <w:tr w14:paraId="7558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2C1E8228">
                  <w:pPr>
                    <w:spacing w:line="240" w:lineRule="auto"/>
                    <w:jc w:val="center"/>
                    <w:rPr>
                      <w:sz w:val="21"/>
                      <w:szCs w:val="21"/>
                    </w:rPr>
                  </w:pPr>
                  <w:r>
                    <w:rPr>
                      <w:rFonts w:hint="eastAsia"/>
                      <w:sz w:val="21"/>
                      <w:szCs w:val="21"/>
                      <w:lang w:val="en-US" w:eastAsia="zh-CN"/>
                    </w:rPr>
                    <w:t>2</w:t>
                  </w:r>
                </w:p>
              </w:tc>
              <w:tc>
                <w:tcPr>
                  <w:tcW w:w="718" w:type="pct"/>
                  <w:vMerge w:val="restart"/>
                  <w:noWrap w:val="0"/>
                  <w:vAlign w:val="center"/>
                </w:tcPr>
                <w:p w14:paraId="0996FC12">
                  <w:pPr>
                    <w:spacing w:line="240" w:lineRule="auto"/>
                    <w:jc w:val="center"/>
                    <w:rPr>
                      <w:rFonts w:hint="eastAsia"/>
                      <w:sz w:val="21"/>
                      <w:szCs w:val="21"/>
                      <w:lang w:eastAsia="zh-CN"/>
                    </w:rPr>
                  </w:pPr>
                  <w:r>
                    <w:rPr>
                      <w:rFonts w:hint="eastAsia"/>
                      <w:sz w:val="21"/>
                      <w:szCs w:val="21"/>
                      <w:lang w:eastAsia="zh-CN"/>
                    </w:rPr>
                    <w:t>纯水制备用水</w:t>
                  </w:r>
                </w:p>
              </w:tc>
              <w:tc>
                <w:tcPr>
                  <w:tcW w:w="2640" w:type="dxa"/>
                  <w:gridSpan w:val="2"/>
                  <w:noWrap w:val="0"/>
                  <w:vAlign w:val="center"/>
                </w:tcPr>
                <w:p w14:paraId="37FFA9FE">
                  <w:pPr>
                    <w:spacing w:line="240" w:lineRule="auto"/>
                    <w:jc w:val="center"/>
                    <w:rPr>
                      <w:rFonts w:hint="default"/>
                      <w:color w:val="auto"/>
                      <w:sz w:val="21"/>
                      <w:szCs w:val="21"/>
                      <w:lang w:val="en-US" w:eastAsia="zh-CN"/>
                    </w:rPr>
                  </w:pPr>
                  <w:r>
                    <w:rPr>
                      <w:rFonts w:hint="eastAsia"/>
                      <w:color w:val="auto"/>
                      <w:sz w:val="21"/>
                      <w:szCs w:val="21"/>
                      <w:lang w:val="en-US" w:eastAsia="zh-CN"/>
                    </w:rPr>
                    <w:t>971.813</w:t>
                  </w:r>
                </w:p>
              </w:tc>
              <w:tc>
                <w:tcPr>
                  <w:tcW w:w="1005" w:type="dxa"/>
                  <w:noWrap w:val="0"/>
                  <w:vAlign w:val="center"/>
                </w:tcPr>
                <w:p w14:paraId="4B5DCCA6">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291544</w:t>
                  </w:r>
                </w:p>
              </w:tc>
              <w:tc>
                <w:tcPr>
                  <w:tcW w:w="1485" w:type="dxa"/>
                  <w:noWrap w:val="0"/>
                  <w:vAlign w:val="center"/>
                </w:tcPr>
                <w:p w14:paraId="3BE9799B">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纯水制备浓水</w:t>
                  </w:r>
                </w:p>
              </w:tc>
              <w:tc>
                <w:tcPr>
                  <w:tcW w:w="956" w:type="dxa"/>
                  <w:noWrap w:val="0"/>
                  <w:vAlign w:val="center"/>
                </w:tcPr>
                <w:p w14:paraId="20E237AF">
                  <w:pPr>
                    <w:spacing w:line="240" w:lineRule="auto"/>
                    <w:jc w:val="center"/>
                    <w:rPr>
                      <w:rFonts w:hint="default"/>
                      <w:color w:val="auto"/>
                      <w:sz w:val="21"/>
                      <w:szCs w:val="21"/>
                      <w:lang w:val="en-US" w:eastAsia="zh-CN"/>
                    </w:rPr>
                  </w:pPr>
                  <w:r>
                    <w:rPr>
                      <w:rFonts w:hint="eastAsia"/>
                      <w:color w:val="auto"/>
                      <w:sz w:val="21"/>
                      <w:szCs w:val="21"/>
                      <w:lang w:val="en-US" w:eastAsia="zh-CN"/>
                    </w:rPr>
                    <w:t>242.953</w:t>
                  </w:r>
                </w:p>
              </w:tc>
              <w:tc>
                <w:tcPr>
                  <w:tcW w:w="1026" w:type="dxa"/>
                  <w:noWrap w:val="0"/>
                  <w:vAlign w:val="center"/>
                </w:tcPr>
                <w:p w14:paraId="2496B1EE">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72886</w:t>
                  </w:r>
                </w:p>
              </w:tc>
            </w:tr>
            <w:tr w14:paraId="04B9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74CB57A">
                  <w:pPr>
                    <w:spacing w:line="240" w:lineRule="auto"/>
                    <w:jc w:val="center"/>
                    <w:rPr>
                      <w:rFonts w:hint="eastAsia" w:eastAsia="宋体"/>
                      <w:sz w:val="21"/>
                      <w:szCs w:val="21"/>
                      <w:lang w:val="en-US" w:eastAsia="zh-CN"/>
                    </w:rPr>
                  </w:pPr>
                  <w:r>
                    <w:rPr>
                      <w:rFonts w:hint="eastAsia"/>
                      <w:lang w:val="en-US" w:eastAsia="zh-CN"/>
                    </w:rPr>
                    <w:t>3</w:t>
                  </w:r>
                </w:p>
              </w:tc>
              <w:tc>
                <w:tcPr>
                  <w:tcW w:w="718" w:type="pct"/>
                  <w:vMerge w:val="continue"/>
                  <w:noWrap w:val="0"/>
                  <w:vAlign w:val="center"/>
                </w:tcPr>
                <w:p w14:paraId="3E59D528">
                  <w:pPr>
                    <w:spacing w:line="240" w:lineRule="auto"/>
                    <w:jc w:val="center"/>
                    <w:rPr>
                      <w:rFonts w:hint="eastAsia"/>
                      <w:sz w:val="21"/>
                      <w:szCs w:val="21"/>
                      <w:lang w:eastAsia="zh-CN"/>
                    </w:rPr>
                  </w:pPr>
                </w:p>
              </w:tc>
              <w:tc>
                <w:tcPr>
                  <w:tcW w:w="1695" w:type="dxa"/>
                  <w:noWrap w:val="0"/>
                  <w:vAlign w:val="center"/>
                </w:tcPr>
                <w:p w14:paraId="202EFA99">
                  <w:pPr>
                    <w:spacing w:line="240" w:lineRule="auto"/>
                    <w:jc w:val="center"/>
                    <w:rPr>
                      <w:rFonts w:hint="default"/>
                      <w:color w:val="auto"/>
                      <w:sz w:val="21"/>
                      <w:szCs w:val="21"/>
                      <w:lang w:val="en-US" w:eastAsia="zh-CN"/>
                    </w:rPr>
                  </w:pPr>
                  <w:r>
                    <w:rPr>
                      <w:rFonts w:hint="eastAsia"/>
                      <w:color w:val="auto"/>
                      <w:sz w:val="21"/>
                      <w:szCs w:val="21"/>
                      <w:lang w:val="en-US" w:eastAsia="zh-CN"/>
                    </w:rPr>
                    <w:t>制水蒸气用纯水</w:t>
                  </w:r>
                </w:p>
              </w:tc>
              <w:tc>
                <w:tcPr>
                  <w:tcW w:w="945" w:type="dxa"/>
                  <w:noWrap w:val="0"/>
                  <w:vAlign w:val="center"/>
                </w:tcPr>
                <w:p w14:paraId="2A09FB55">
                  <w:pPr>
                    <w:spacing w:line="240" w:lineRule="auto"/>
                    <w:jc w:val="center"/>
                    <w:rPr>
                      <w:rFonts w:hint="eastAsia"/>
                      <w:color w:val="auto"/>
                      <w:sz w:val="21"/>
                      <w:szCs w:val="21"/>
                      <w:lang w:val="en-US" w:eastAsia="zh-CN"/>
                    </w:rPr>
                  </w:pPr>
                  <w:r>
                    <w:rPr>
                      <w:rFonts w:hint="eastAsia"/>
                      <w:color w:val="auto"/>
                      <w:sz w:val="21"/>
                      <w:szCs w:val="21"/>
                      <w:lang w:val="en-US" w:eastAsia="zh-CN"/>
                    </w:rPr>
                    <w:t>36</w:t>
                  </w:r>
                </w:p>
              </w:tc>
              <w:tc>
                <w:tcPr>
                  <w:tcW w:w="1005" w:type="dxa"/>
                  <w:noWrap w:val="0"/>
                  <w:vAlign w:val="center"/>
                </w:tcPr>
                <w:p w14:paraId="579BB463">
                  <w:pPr>
                    <w:spacing w:line="240" w:lineRule="auto"/>
                    <w:jc w:val="center"/>
                    <w:rPr>
                      <w:rFonts w:hint="default"/>
                      <w:color w:val="auto"/>
                      <w:sz w:val="21"/>
                      <w:szCs w:val="21"/>
                      <w:lang w:val="en-US" w:eastAsia="zh-CN"/>
                    </w:rPr>
                  </w:pPr>
                  <w:r>
                    <w:rPr>
                      <w:rFonts w:hint="eastAsia"/>
                      <w:color w:val="auto"/>
                      <w:sz w:val="21"/>
                      <w:szCs w:val="21"/>
                      <w:lang w:val="en-US" w:eastAsia="zh-CN"/>
                    </w:rPr>
                    <w:t>10800</w:t>
                  </w:r>
                </w:p>
              </w:tc>
              <w:tc>
                <w:tcPr>
                  <w:tcW w:w="1485" w:type="dxa"/>
                  <w:noWrap w:val="0"/>
                  <w:vAlign w:val="center"/>
                </w:tcPr>
                <w:p w14:paraId="54BDC306">
                  <w:pPr>
                    <w:spacing w:line="240" w:lineRule="auto"/>
                    <w:jc w:val="center"/>
                    <w:rPr>
                      <w:rFonts w:hint="default"/>
                      <w:color w:val="auto"/>
                      <w:sz w:val="21"/>
                      <w:szCs w:val="21"/>
                      <w:lang w:val="en-US" w:eastAsia="zh-CN"/>
                    </w:rPr>
                  </w:pPr>
                  <w:r>
                    <w:rPr>
                      <w:rFonts w:hint="eastAsia"/>
                      <w:color w:val="auto"/>
                      <w:sz w:val="21"/>
                      <w:szCs w:val="21"/>
                      <w:lang w:val="en-US" w:eastAsia="zh-CN"/>
                    </w:rPr>
                    <w:t>制水蒸气废水</w:t>
                  </w:r>
                </w:p>
              </w:tc>
              <w:tc>
                <w:tcPr>
                  <w:tcW w:w="956" w:type="dxa"/>
                  <w:noWrap w:val="0"/>
                  <w:vAlign w:val="center"/>
                </w:tcPr>
                <w:p w14:paraId="23455689">
                  <w:pPr>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1026" w:type="dxa"/>
                  <w:noWrap w:val="0"/>
                  <w:vAlign w:val="center"/>
                </w:tcPr>
                <w:p w14:paraId="4926B13A">
                  <w:pPr>
                    <w:spacing w:line="240" w:lineRule="auto"/>
                    <w:jc w:val="center"/>
                    <w:rPr>
                      <w:rFonts w:hint="default"/>
                      <w:color w:val="auto"/>
                      <w:sz w:val="21"/>
                      <w:szCs w:val="21"/>
                      <w:lang w:val="en-US" w:eastAsia="zh-CN"/>
                    </w:rPr>
                  </w:pPr>
                  <w:r>
                    <w:rPr>
                      <w:rFonts w:hint="eastAsia"/>
                      <w:color w:val="auto"/>
                      <w:sz w:val="21"/>
                      <w:szCs w:val="21"/>
                      <w:lang w:val="en-US" w:eastAsia="zh-CN"/>
                    </w:rPr>
                    <w:t>/</w:t>
                  </w:r>
                </w:p>
              </w:tc>
            </w:tr>
            <w:tr w14:paraId="45DE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3960A8A9">
                  <w:pPr>
                    <w:spacing w:line="240" w:lineRule="auto"/>
                    <w:jc w:val="center"/>
                    <w:rPr>
                      <w:rFonts w:hint="default"/>
                      <w:sz w:val="21"/>
                      <w:szCs w:val="21"/>
                      <w:lang w:val="en-US" w:eastAsia="zh-CN"/>
                    </w:rPr>
                  </w:pPr>
                  <w:r>
                    <w:rPr>
                      <w:rFonts w:hint="eastAsia"/>
                      <w:sz w:val="21"/>
                      <w:szCs w:val="21"/>
                      <w:lang w:val="en-US" w:eastAsia="zh-CN"/>
                    </w:rPr>
                    <w:t>4</w:t>
                  </w:r>
                </w:p>
              </w:tc>
              <w:tc>
                <w:tcPr>
                  <w:tcW w:w="718" w:type="pct"/>
                  <w:vMerge w:val="continue"/>
                  <w:noWrap w:val="0"/>
                  <w:vAlign w:val="center"/>
                </w:tcPr>
                <w:p w14:paraId="77553B54">
                  <w:pPr>
                    <w:spacing w:line="240" w:lineRule="auto"/>
                    <w:jc w:val="center"/>
                    <w:rPr>
                      <w:rFonts w:hint="eastAsia"/>
                      <w:sz w:val="21"/>
                      <w:szCs w:val="21"/>
                      <w:lang w:eastAsia="zh-CN"/>
                    </w:rPr>
                  </w:pPr>
                </w:p>
              </w:tc>
              <w:tc>
                <w:tcPr>
                  <w:tcW w:w="1695" w:type="dxa"/>
                  <w:noWrap w:val="0"/>
                  <w:vAlign w:val="center"/>
                </w:tcPr>
                <w:p w14:paraId="3977B185">
                  <w:pPr>
                    <w:spacing w:line="240" w:lineRule="auto"/>
                    <w:jc w:val="center"/>
                    <w:rPr>
                      <w:rFonts w:hint="default"/>
                      <w:color w:val="auto"/>
                      <w:sz w:val="21"/>
                      <w:szCs w:val="21"/>
                      <w:lang w:val="en-US" w:eastAsia="zh-CN"/>
                    </w:rPr>
                  </w:pPr>
                  <w:r>
                    <w:rPr>
                      <w:rFonts w:hint="eastAsia"/>
                      <w:color w:val="auto"/>
                      <w:sz w:val="21"/>
                      <w:szCs w:val="21"/>
                      <w:lang w:val="en-US" w:eastAsia="zh-CN"/>
                    </w:rPr>
                    <w:t>一次酸洗用纯水</w:t>
                  </w:r>
                </w:p>
              </w:tc>
              <w:tc>
                <w:tcPr>
                  <w:tcW w:w="945" w:type="dxa"/>
                  <w:noWrap w:val="0"/>
                  <w:vAlign w:val="center"/>
                </w:tcPr>
                <w:p w14:paraId="19811E9B">
                  <w:pPr>
                    <w:spacing w:line="240" w:lineRule="auto"/>
                    <w:jc w:val="center"/>
                    <w:rPr>
                      <w:rFonts w:hint="default"/>
                      <w:color w:val="auto"/>
                      <w:sz w:val="21"/>
                      <w:szCs w:val="21"/>
                      <w:lang w:val="en-US" w:eastAsia="zh-CN"/>
                    </w:rPr>
                  </w:pPr>
                  <w:r>
                    <w:rPr>
                      <w:rFonts w:hint="eastAsia"/>
                      <w:color w:val="auto"/>
                      <w:sz w:val="21"/>
                      <w:szCs w:val="21"/>
                      <w:lang w:val="en-US" w:eastAsia="zh-CN"/>
                    </w:rPr>
                    <w:t>1.064</w:t>
                  </w:r>
                </w:p>
              </w:tc>
              <w:tc>
                <w:tcPr>
                  <w:tcW w:w="1005" w:type="dxa"/>
                  <w:noWrap w:val="0"/>
                  <w:vAlign w:val="center"/>
                </w:tcPr>
                <w:p w14:paraId="712C7061">
                  <w:pPr>
                    <w:spacing w:line="240" w:lineRule="auto"/>
                    <w:jc w:val="center"/>
                    <w:rPr>
                      <w:rFonts w:hint="default"/>
                      <w:color w:val="auto"/>
                      <w:sz w:val="21"/>
                      <w:szCs w:val="21"/>
                      <w:lang w:val="en-US" w:eastAsia="zh-CN"/>
                    </w:rPr>
                  </w:pPr>
                  <w:r>
                    <w:rPr>
                      <w:rFonts w:hint="eastAsia"/>
                      <w:color w:val="auto"/>
                      <w:sz w:val="21"/>
                      <w:szCs w:val="21"/>
                      <w:lang w:val="en-US" w:eastAsia="zh-CN"/>
                    </w:rPr>
                    <w:t>319.2</w:t>
                  </w:r>
                </w:p>
              </w:tc>
              <w:tc>
                <w:tcPr>
                  <w:tcW w:w="1485" w:type="dxa"/>
                  <w:noWrap w:val="0"/>
                  <w:vAlign w:val="center"/>
                </w:tcPr>
                <w:p w14:paraId="7EB47170">
                  <w:pPr>
                    <w:spacing w:line="240" w:lineRule="auto"/>
                    <w:jc w:val="center"/>
                    <w:rPr>
                      <w:rFonts w:hint="default"/>
                      <w:color w:val="auto"/>
                      <w:sz w:val="21"/>
                      <w:szCs w:val="21"/>
                      <w:lang w:val="en-US" w:eastAsia="zh-CN"/>
                    </w:rPr>
                  </w:pPr>
                  <w:r>
                    <w:rPr>
                      <w:rFonts w:hint="eastAsia"/>
                      <w:color w:val="auto"/>
                      <w:sz w:val="21"/>
                      <w:szCs w:val="21"/>
                      <w:lang w:val="en-US" w:eastAsia="zh-CN"/>
                    </w:rPr>
                    <w:t>一次酸洗废水</w:t>
                  </w:r>
                </w:p>
              </w:tc>
              <w:tc>
                <w:tcPr>
                  <w:tcW w:w="956" w:type="dxa"/>
                  <w:noWrap w:val="0"/>
                  <w:vAlign w:val="center"/>
                </w:tcPr>
                <w:p w14:paraId="29EDF211">
                  <w:pPr>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1026" w:type="dxa"/>
                  <w:noWrap w:val="0"/>
                  <w:vAlign w:val="center"/>
                </w:tcPr>
                <w:p w14:paraId="6D2BD781">
                  <w:pPr>
                    <w:spacing w:line="240" w:lineRule="auto"/>
                    <w:jc w:val="center"/>
                    <w:rPr>
                      <w:rFonts w:hint="default"/>
                      <w:color w:val="auto"/>
                      <w:sz w:val="21"/>
                      <w:szCs w:val="21"/>
                      <w:lang w:val="en-US" w:eastAsia="zh-CN"/>
                    </w:rPr>
                  </w:pPr>
                  <w:r>
                    <w:rPr>
                      <w:rFonts w:hint="eastAsia"/>
                      <w:color w:val="auto"/>
                      <w:sz w:val="21"/>
                      <w:szCs w:val="21"/>
                      <w:lang w:val="en-US" w:eastAsia="zh-CN"/>
                    </w:rPr>
                    <w:t>/</w:t>
                  </w:r>
                </w:p>
              </w:tc>
            </w:tr>
            <w:tr w14:paraId="6437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77B548D5">
                  <w:pPr>
                    <w:spacing w:line="240" w:lineRule="auto"/>
                    <w:jc w:val="center"/>
                    <w:rPr>
                      <w:rFonts w:hint="default"/>
                      <w:sz w:val="21"/>
                      <w:szCs w:val="21"/>
                      <w:lang w:val="en-US" w:eastAsia="zh-CN"/>
                    </w:rPr>
                  </w:pPr>
                  <w:r>
                    <w:rPr>
                      <w:rFonts w:hint="eastAsia"/>
                      <w:sz w:val="21"/>
                      <w:szCs w:val="21"/>
                      <w:lang w:val="en-US" w:eastAsia="zh-CN"/>
                    </w:rPr>
                    <w:t>5</w:t>
                  </w:r>
                </w:p>
              </w:tc>
              <w:tc>
                <w:tcPr>
                  <w:tcW w:w="718" w:type="pct"/>
                  <w:vMerge w:val="continue"/>
                  <w:noWrap w:val="0"/>
                  <w:vAlign w:val="center"/>
                </w:tcPr>
                <w:p w14:paraId="35DB7AA9">
                  <w:pPr>
                    <w:spacing w:line="240" w:lineRule="auto"/>
                    <w:jc w:val="center"/>
                    <w:rPr>
                      <w:rFonts w:hint="eastAsia"/>
                      <w:sz w:val="21"/>
                      <w:szCs w:val="21"/>
                      <w:lang w:eastAsia="zh-CN"/>
                    </w:rPr>
                  </w:pPr>
                </w:p>
              </w:tc>
              <w:tc>
                <w:tcPr>
                  <w:tcW w:w="1695" w:type="dxa"/>
                  <w:noWrap w:val="0"/>
                  <w:vAlign w:val="center"/>
                </w:tcPr>
                <w:p w14:paraId="12FF1E6E">
                  <w:pPr>
                    <w:spacing w:line="240" w:lineRule="auto"/>
                    <w:jc w:val="center"/>
                    <w:rPr>
                      <w:rFonts w:hint="default"/>
                      <w:color w:val="auto"/>
                      <w:sz w:val="21"/>
                      <w:szCs w:val="21"/>
                      <w:lang w:val="en-US" w:eastAsia="zh-CN"/>
                    </w:rPr>
                  </w:pPr>
                  <w:r>
                    <w:rPr>
                      <w:rFonts w:hint="eastAsia"/>
                      <w:color w:val="auto"/>
                      <w:sz w:val="21"/>
                      <w:szCs w:val="21"/>
                      <w:lang w:val="en-US" w:eastAsia="zh-CN"/>
                    </w:rPr>
                    <w:t>二次酸洗用纯水</w:t>
                  </w:r>
                </w:p>
              </w:tc>
              <w:tc>
                <w:tcPr>
                  <w:tcW w:w="945" w:type="dxa"/>
                  <w:noWrap w:val="0"/>
                  <w:vAlign w:val="center"/>
                </w:tcPr>
                <w:p w14:paraId="3ED86C76">
                  <w:pPr>
                    <w:spacing w:line="240" w:lineRule="auto"/>
                    <w:jc w:val="center"/>
                    <w:rPr>
                      <w:rFonts w:hint="default"/>
                      <w:color w:val="auto"/>
                      <w:sz w:val="21"/>
                      <w:szCs w:val="21"/>
                      <w:lang w:val="en-US" w:eastAsia="zh-CN"/>
                    </w:rPr>
                  </w:pPr>
                  <w:r>
                    <w:rPr>
                      <w:rFonts w:hint="eastAsia"/>
                      <w:color w:val="auto"/>
                      <w:sz w:val="21"/>
                      <w:szCs w:val="21"/>
                      <w:lang w:val="en-US" w:eastAsia="zh-CN"/>
                    </w:rPr>
                    <w:t>3.797</w:t>
                  </w:r>
                </w:p>
              </w:tc>
              <w:tc>
                <w:tcPr>
                  <w:tcW w:w="1005" w:type="dxa"/>
                  <w:noWrap w:val="0"/>
                  <w:vAlign w:val="center"/>
                </w:tcPr>
                <w:p w14:paraId="2C6F7E2A">
                  <w:pPr>
                    <w:spacing w:line="240" w:lineRule="auto"/>
                    <w:jc w:val="center"/>
                    <w:rPr>
                      <w:rFonts w:hint="default"/>
                      <w:color w:val="auto"/>
                      <w:sz w:val="21"/>
                      <w:szCs w:val="21"/>
                      <w:lang w:val="en-US" w:eastAsia="zh-CN"/>
                    </w:rPr>
                  </w:pPr>
                  <w:r>
                    <w:rPr>
                      <w:rFonts w:hint="eastAsia"/>
                      <w:color w:val="auto"/>
                      <w:sz w:val="21"/>
                      <w:szCs w:val="21"/>
                      <w:lang w:val="en-US" w:eastAsia="zh-CN"/>
                    </w:rPr>
                    <w:t>1139</w:t>
                  </w:r>
                </w:p>
              </w:tc>
              <w:tc>
                <w:tcPr>
                  <w:tcW w:w="1485" w:type="dxa"/>
                  <w:vMerge w:val="restart"/>
                  <w:noWrap w:val="0"/>
                  <w:vAlign w:val="center"/>
                </w:tcPr>
                <w:p w14:paraId="2728F04D">
                  <w:pPr>
                    <w:spacing w:line="240" w:lineRule="auto"/>
                    <w:jc w:val="center"/>
                    <w:rPr>
                      <w:rFonts w:hint="default"/>
                      <w:color w:val="auto"/>
                      <w:sz w:val="21"/>
                      <w:szCs w:val="21"/>
                      <w:lang w:val="en-US" w:eastAsia="zh-CN"/>
                    </w:rPr>
                  </w:pPr>
                  <w:r>
                    <w:rPr>
                      <w:rFonts w:hint="eastAsia"/>
                      <w:color w:val="auto"/>
                      <w:sz w:val="21"/>
                      <w:szCs w:val="21"/>
                      <w:lang w:val="en-US" w:eastAsia="zh-CN"/>
                    </w:rPr>
                    <w:t>酸性废水中和后废水</w:t>
                  </w:r>
                </w:p>
              </w:tc>
              <w:tc>
                <w:tcPr>
                  <w:tcW w:w="956" w:type="dxa"/>
                  <w:vMerge w:val="restart"/>
                  <w:noWrap w:val="0"/>
                  <w:vAlign w:val="center"/>
                </w:tcPr>
                <w:p w14:paraId="3C491513">
                  <w:pPr>
                    <w:spacing w:line="240" w:lineRule="auto"/>
                    <w:jc w:val="center"/>
                    <w:rPr>
                      <w:rFonts w:hint="default"/>
                      <w:color w:val="auto"/>
                      <w:sz w:val="21"/>
                      <w:szCs w:val="21"/>
                      <w:lang w:val="en-US" w:eastAsia="zh-CN"/>
                    </w:rPr>
                  </w:pPr>
                  <w:r>
                    <w:rPr>
                      <w:rFonts w:hint="eastAsia"/>
                      <w:color w:val="auto"/>
                      <w:sz w:val="21"/>
                      <w:szCs w:val="21"/>
                      <w:lang w:val="en-US" w:eastAsia="zh-CN"/>
                    </w:rPr>
                    <w:t>400.76</w:t>
                  </w:r>
                </w:p>
              </w:tc>
              <w:tc>
                <w:tcPr>
                  <w:tcW w:w="1026" w:type="dxa"/>
                  <w:vMerge w:val="restart"/>
                  <w:noWrap w:val="0"/>
                  <w:vAlign w:val="center"/>
                </w:tcPr>
                <w:p w14:paraId="0BC36EAA">
                  <w:pPr>
                    <w:spacing w:line="240" w:lineRule="auto"/>
                    <w:jc w:val="center"/>
                    <w:rPr>
                      <w:rFonts w:hint="default"/>
                      <w:color w:val="auto"/>
                      <w:sz w:val="21"/>
                      <w:szCs w:val="21"/>
                      <w:lang w:val="en-US" w:eastAsia="zh-CN"/>
                    </w:rPr>
                  </w:pPr>
                  <w:r>
                    <w:rPr>
                      <w:rFonts w:hint="eastAsia"/>
                      <w:color w:val="auto"/>
                      <w:sz w:val="21"/>
                      <w:szCs w:val="21"/>
                      <w:lang w:val="en-US" w:eastAsia="zh-CN"/>
                    </w:rPr>
                    <w:t>120229</w:t>
                  </w:r>
                </w:p>
              </w:tc>
            </w:tr>
            <w:tr w14:paraId="72D1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15C16D02">
                  <w:pPr>
                    <w:spacing w:line="240" w:lineRule="auto"/>
                    <w:jc w:val="center"/>
                    <w:rPr>
                      <w:rFonts w:hint="default"/>
                      <w:sz w:val="21"/>
                      <w:szCs w:val="21"/>
                      <w:lang w:val="en-US" w:eastAsia="zh-CN"/>
                    </w:rPr>
                  </w:pPr>
                  <w:r>
                    <w:rPr>
                      <w:rFonts w:hint="eastAsia"/>
                      <w:sz w:val="21"/>
                      <w:szCs w:val="21"/>
                      <w:lang w:val="en-US" w:eastAsia="zh-CN"/>
                    </w:rPr>
                    <w:t>6</w:t>
                  </w:r>
                </w:p>
              </w:tc>
              <w:tc>
                <w:tcPr>
                  <w:tcW w:w="718" w:type="pct"/>
                  <w:vMerge w:val="continue"/>
                  <w:noWrap w:val="0"/>
                  <w:vAlign w:val="center"/>
                </w:tcPr>
                <w:p w14:paraId="24071EB1">
                  <w:pPr>
                    <w:spacing w:line="240" w:lineRule="auto"/>
                    <w:jc w:val="center"/>
                    <w:rPr>
                      <w:rFonts w:hint="eastAsia"/>
                      <w:sz w:val="21"/>
                      <w:szCs w:val="21"/>
                      <w:lang w:eastAsia="zh-CN"/>
                    </w:rPr>
                  </w:pPr>
                </w:p>
              </w:tc>
              <w:tc>
                <w:tcPr>
                  <w:tcW w:w="1695" w:type="dxa"/>
                  <w:noWrap w:val="0"/>
                  <w:vAlign w:val="center"/>
                </w:tcPr>
                <w:p w14:paraId="63E4FF0C">
                  <w:pPr>
                    <w:spacing w:line="240" w:lineRule="auto"/>
                    <w:jc w:val="center"/>
                    <w:rPr>
                      <w:rFonts w:hint="default"/>
                      <w:color w:val="auto"/>
                      <w:sz w:val="21"/>
                      <w:szCs w:val="21"/>
                      <w:lang w:val="en-US" w:eastAsia="zh-CN"/>
                    </w:rPr>
                  </w:pPr>
                  <w:r>
                    <w:rPr>
                      <w:rFonts w:hint="eastAsia"/>
                      <w:color w:val="auto"/>
                      <w:sz w:val="21"/>
                      <w:szCs w:val="21"/>
                      <w:lang w:val="en-US" w:eastAsia="zh-CN"/>
                    </w:rPr>
                    <w:t>水洗用纯水</w:t>
                  </w:r>
                </w:p>
              </w:tc>
              <w:tc>
                <w:tcPr>
                  <w:tcW w:w="945" w:type="dxa"/>
                  <w:noWrap w:val="0"/>
                  <w:vAlign w:val="center"/>
                </w:tcPr>
                <w:p w14:paraId="0AA698D8">
                  <w:pPr>
                    <w:spacing w:line="240" w:lineRule="auto"/>
                    <w:jc w:val="center"/>
                    <w:rPr>
                      <w:rFonts w:hint="default"/>
                      <w:color w:val="auto"/>
                      <w:sz w:val="21"/>
                      <w:szCs w:val="21"/>
                      <w:lang w:val="en-US" w:eastAsia="zh-CN"/>
                    </w:rPr>
                  </w:pPr>
                  <w:r>
                    <w:rPr>
                      <w:rFonts w:hint="eastAsia"/>
                      <w:color w:val="auto"/>
                      <w:sz w:val="21"/>
                      <w:szCs w:val="21"/>
                      <w:lang w:val="en-US" w:eastAsia="zh-CN"/>
                    </w:rPr>
                    <w:t>566.667</w:t>
                  </w:r>
                </w:p>
              </w:tc>
              <w:tc>
                <w:tcPr>
                  <w:tcW w:w="1005" w:type="dxa"/>
                  <w:noWrap w:val="0"/>
                  <w:vAlign w:val="center"/>
                </w:tcPr>
                <w:p w14:paraId="2A4D375B">
                  <w:pPr>
                    <w:spacing w:line="240" w:lineRule="auto"/>
                    <w:jc w:val="center"/>
                    <w:rPr>
                      <w:rFonts w:hint="default"/>
                      <w:color w:val="auto"/>
                      <w:sz w:val="21"/>
                      <w:szCs w:val="21"/>
                      <w:lang w:val="en-US" w:eastAsia="zh-CN"/>
                    </w:rPr>
                  </w:pPr>
                  <w:r>
                    <w:rPr>
                      <w:rFonts w:hint="eastAsia"/>
                      <w:color w:val="auto"/>
                      <w:sz w:val="21"/>
                      <w:szCs w:val="21"/>
                      <w:lang w:val="en-US" w:eastAsia="zh-CN"/>
                    </w:rPr>
                    <w:t>170000</w:t>
                  </w:r>
                </w:p>
              </w:tc>
              <w:tc>
                <w:tcPr>
                  <w:tcW w:w="1485" w:type="dxa"/>
                  <w:vMerge w:val="continue"/>
                  <w:noWrap w:val="0"/>
                  <w:vAlign w:val="center"/>
                </w:tcPr>
                <w:p w14:paraId="0C3EAD14">
                  <w:pPr>
                    <w:spacing w:line="240" w:lineRule="auto"/>
                    <w:jc w:val="center"/>
                    <w:rPr>
                      <w:rFonts w:hint="default"/>
                      <w:sz w:val="21"/>
                      <w:szCs w:val="21"/>
                      <w:lang w:val="en-US" w:eastAsia="zh-CN"/>
                    </w:rPr>
                  </w:pPr>
                </w:p>
              </w:tc>
              <w:tc>
                <w:tcPr>
                  <w:tcW w:w="956" w:type="dxa"/>
                  <w:vMerge w:val="continue"/>
                  <w:noWrap w:val="0"/>
                  <w:vAlign w:val="center"/>
                </w:tcPr>
                <w:p w14:paraId="7248D08D">
                  <w:pPr>
                    <w:spacing w:line="240" w:lineRule="auto"/>
                    <w:jc w:val="center"/>
                    <w:rPr>
                      <w:rFonts w:hint="eastAsia"/>
                      <w:sz w:val="21"/>
                      <w:szCs w:val="21"/>
                      <w:lang w:val="en-US" w:eastAsia="zh-CN"/>
                    </w:rPr>
                  </w:pPr>
                </w:p>
              </w:tc>
              <w:tc>
                <w:tcPr>
                  <w:tcW w:w="1026" w:type="dxa"/>
                  <w:vMerge w:val="continue"/>
                  <w:noWrap w:val="0"/>
                  <w:vAlign w:val="center"/>
                </w:tcPr>
                <w:p w14:paraId="6DCE9C36">
                  <w:pPr>
                    <w:spacing w:line="240" w:lineRule="auto"/>
                    <w:jc w:val="center"/>
                    <w:rPr>
                      <w:rFonts w:hint="default"/>
                      <w:sz w:val="21"/>
                      <w:szCs w:val="21"/>
                      <w:lang w:val="en-US" w:eastAsia="zh-CN"/>
                    </w:rPr>
                  </w:pPr>
                </w:p>
              </w:tc>
            </w:tr>
            <w:tr w14:paraId="230D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1F7B14A2">
                  <w:pPr>
                    <w:spacing w:line="240" w:lineRule="auto"/>
                    <w:jc w:val="center"/>
                    <w:rPr>
                      <w:rFonts w:hint="default"/>
                      <w:sz w:val="21"/>
                      <w:szCs w:val="21"/>
                      <w:lang w:val="en-US" w:eastAsia="zh-CN"/>
                    </w:rPr>
                  </w:pPr>
                  <w:r>
                    <w:rPr>
                      <w:rFonts w:hint="eastAsia"/>
                      <w:sz w:val="21"/>
                      <w:szCs w:val="21"/>
                      <w:lang w:val="en-US" w:eastAsia="zh-CN"/>
                    </w:rPr>
                    <w:t>7</w:t>
                  </w:r>
                </w:p>
              </w:tc>
              <w:tc>
                <w:tcPr>
                  <w:tcW w:w="718" w:type="pct"/>
                  <w:vMerge w:val="continue"/>
                  <w:noWrap w:val="0"/>
                  <w:vAlign w:val="center"/>
                </w:tcPr>
                <w:p w14:paraId="55878825">
                  <w:pPr>
                    <w:spacing w:line="240" w:lineRule="auto"/>
                    <w:jc w:val="center"/>
                    <w:rPr>
                      <w:rFonts w:hint="eastAsia"/>
                      <w:sz w:val="21"/>
                      <w:szCs w:val="21"/>
                      <w:lang w:eastAsia="zh-CN"/>
                    </w:rPr>
                  </w:pPr>
                </w:p>
              </w:tc>
              <w:tc>
                <w:tcPr>
                  <w:tcW w:w="1695" w:type="dxa"/>
                  <w:noWrap w:val="0"/>
                  <w:vAlign w:val="center"/>
                </w:tcPr>
                <w:p w14:paraId="75696C61">
                  <w:pPr>
                    <w:spacing w:line="240" w:lineRule="auto"/>
                    <w:jc w:val="center"/>
                    <w:rPr>
                      <w:rFonts w:hint="default"/>
                      <w:sz w:val="21"/>
                      <w:szCs w:val="21"/>
                      <w:lang w:val="en-US" w:eastAsia="zh-CN"/>
                    </w:rPr>
                  </w:pPr>
                  <w:r>
                    <w:rPr>
                      <w:rFonts w:hint="eastAsia"/>
                      <w:sz w:val="21"/>
                      <w:szCs w:val="21"/>
                      <w:lang w:val="en-US" w:eastAsia="zh-CN"/>
                    </w:rPr>
                    <w:t>循环冷却用纯水</w:t>
                  </w:r>
                </w:p>
              </w:tc>
              <w:tc>
                <w:tcPr>
                  <w:tcW w:w="945" w:type="dxa"/>
                  <w:noWrap w:val="0"/>
                  <w:vAlign w:val="center"/>
                </w:tcPr>
                <w:p w14:paraId="1BA73188">
                  <w:pPr>
                    <w:spacing w:line="240" w:lineRule="auto"/>
                    <w:jc w:val="center"/>
                    <w:rPr>
                      <w:rFonts w:hint="default"/>
                      <w:sz w:val="21"/>
                      <w:szCs w:val="21"/>
                      <w:lang w:val="en-US" w:eastAsia="zh-CN"/>
                    </w:rPr>
                  </w:pPr>
                  <w:r>
                    <w:rPr>
                      <w:rFonts w:hint="eastAsia"/>
                      <w:sz w:val="21"/>
                      <w:szCs w:val="21"/>
                      <w:lang w:val="en-US" w:eastAsia="zh-CN"/>
                    </w:rPr>
                    <w:t>121.333</w:t>
                  </w:r>
                </w:p>
              </w:tc>
              <w:tc>
                <w:tcPr>
                  <w:tcW w:w="1005" w:type="dxa"/>
                  <w:noWrap w:val="0"/>
                  <w:vAlign w:val="center"/>
                </w:tcPr>
                <w:p w14:paraId="2AB543F3">
                  <w:pPr>
                    <w:spacing w:line="240" w:lineRule="auto"/>
                    <w:jc w:val="center"/>
                    <w:rPr>
                      <w:rFonts w:hint="default"/>
                      <w:sz w:val="21"/>
                      <w:szCs w:val="21"/>
                      <w:lang w:val="en-US" w:eastAsia="zh-CN"/>
                    </w:rPr>
                  </w:pPr>
                  <w:r>
                    <w:rPr>
                      <w:rFonts w:hint="eastAsia"/>
                      <w:sz w:val="21"/>
                      <w:szCs w:val="21"/>
                      <w:lang w:val="en-US" w:eastAsia="zh-CN"/>
                    </w:rPr>
                    <w:t>36400</w:t>
                  </w:r>
                </w:p>
              </w:tc>
              <w:tc>
                <w:tcPr>
                  <w:tcW w:w="1485" w:type="dxa"/>
                  <w:noWrap w:val="0"/>
                  <w:vAlign w:val="center"/>
                </w:tcPr>
                <w:p w14:paraId="012E4A6A">
                  <w:pPr>
                    <w:spacing w:line="240" w:lineRule="auto"/>
                    <w:jc w:val="center"/>
                    <w:rPr>
                      <w:rFonts w:hint="default"/>
                      <w:sz w:val="21"/>
                      <w:szCs w:val="21"/>
                      <w:lang w:val="en-US" w:eastAsia="zh-CN"/>
                    </w:rPr>
                  </w:pPr>
                  <w:r>
                    <w:rPr>
                      <w:rFonts w:hint="eastAsia"/>
                      <w:sz w:val="21"/>
                      <w:szCs w:val="21"/>
                      <w:lang w:val="en-US" w:eastAsia="zh-CN"/>
                    </w:rPr>
                    <w:t>循环冷却排水</w:t>
                  </w:r>
                </w:p>
              </w:tc>
              <w:tc>
                <w:tcPr>
                  <w:tcW w:w="956" w:type="dxa"/>
                  <w:noWrap w:val="0"/>
                  <w:vAlign w:val="center"/>
                </w:tcPr>
                <w:p w14:paraId="3B064AFA">
                  <w:pPr>
                    <w:spacing w:line="240" w:lineRule="auto"/>
                    <w:jc w:val="center"/>
                    <w:rPr>
                      <w:rFonts w:hint="default"/>
                      <w:sz w:val="21"/>
                      <w:szCs w:val="21"/>
                      <w:lang w:val="en-US" w:eastAsia="zh-CN"/>
                    </w:rPr>
                  </w:pPr>
                  <w:r>
                    <w:rPr>
                      <w:rFonts w:hint="eastAsia"/>
                      <w:sz w:val="21"/>
                      <w:szCs w:val="21"/>
                      <w:lang w:val="en-US" w:eastAsia="zh-CN"/>
                    </w:rPr>
                    <w:t>1.333</w:t>
                  </w:r>
                </w:p>
              </w:tc>
              <w:tc>
                <w:tcPr>
                  <w:tcW w:w="1026" w:type="dxa"/>
                  <w:noWrap w:val="0"/>
                  <w:vAlign w:val="center"/>
                </w:tcPr>
                <w:p w14:paraId="1BD56BF0">
                  <w:pPr>
                    <w:spacing w:line="240" w:lineRule="auto"/>
                    <w:jc w:val="center"/>
                    <w:rPr>
                      <w:rFonts w:hint="default"/>
                      <w:sz w:val="21"/>
                      <w:szCs w:val="21"/>
                      <w:lang w:val="en-US" w:eastAsia="zh-CN"/>
                    </w:rPr>
                  </w:pPr>
                  <w:r>
                    <w:rPr>
                      <w:rFonts w:hint="eastAsia"/>
                      <w:sz w:val="21"/>
                      <w:szCs w:val="21"/>
                      <w:lang w:val="en-US" w:eastAsia="zh-CN"/>
                    </w:rPr>
                    <w:t>400</w:t>
                  </w:r>
                </w:p>
              </w:tc>
            </w:tr>
            <w:tr w14:paraId="6D11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23D8666E">
                  <w:pPr>
                    <w:spacing w:line="240" w:lineRule="auto"/>
                    <w:jc w:val="center"/>
                    <w:rPr>
                      <w:rFonts w:hint="default"/>
                      <w:sz w:val="21"/>
                      <w:szCs w:val="21"/>
                      <w:lang w:val="en-US" w:eastAsia="zh-CN"/>
                    </w:rPr>
                  </w:pPr>
                  <w:r>
                    <w:rPr>
                      <w:rFonts w:hint="eastAsia"/>
                      <w:sz w:val="21"/>
                      <w:szCs w:val="21"/>
                      <w:lang w:val="en-US" w:eastAsia="zh-CN"/>
                    </w:rPr>
                    <w:t>8</w:t>
                  </w:r>
                </w:p>
              </w:tc>
              <w:tc>
                <w:tcPr>
                  <w:tcW w:w="718" w:type="pct"/>
                  <w:noWrap w:val="0"/>
                  <w:vAlign w:val="center"/>
                </w:tcPr>
                <w:p w14:paraId="43255DE9">
                  <w:pPr>
                    <w:spacing w:line="240" w:lineRule="auto"/>
                    <w:jc w:val="center"/>
                    <w:rPr>
                      <w:rFonts w:hint="eastAsia"/>
                      <w:sz w:val="21"/>
                      <w:szCs w:val="21"/>
                      <w:lang w:eastAsia="zh-CN"/>
                    </w:rPr>
                  </w:pPr>
                  <w:r>
                    <w:rPr>
                      <w:rFonts w:hint="eastAsia"/>
                      <w:sz w:val="21"/>
                      <w:szCs w:val="21"/>
                      <w:lang w:eastAsia="zh-CN"/>
                    </w:rPr>
                    <w:t>反冲洗用水</w:t>
                  </w:r>
                </w:p>
              </w:tc>
              <w:tc>
                <w:tcPr>
                  <w:tcW w:w="2640" w:type="dxa"/>
                  <w:gridSpan w:val="2"/>
                  <w:noWrap w:val="0"/>
                  <w:vAlign w:val="center"/>
                </w:tcPr>
                <w:p w14:paraId="5B2314A7">
                  <w:pPr>
                    <w:spacing w:line="240" w:lineRule="auto"/>
                    <w:jc w:val="center"/>
                    <w:rPr>
                      <w:rFonts w:hint="default"/>
                      <w:sz w:val="21"/>
                      <w:szCs w:val="21"/>
                      <w:lang w:val="en-US" w:eastAsia="zh-CN"/>
                    </w:rPr>
                  </w:pPr>
                  <w:r>
                    <w:rPr>
                      <w:rFonts w:hint="eastAsia"/>
                      <w:sz w:val="21"/>
                      <w:szCs w:val="21"/>
                      <w:lang w:val="en-US" w:eastAsia="zh-CN"/>
                    </w:rPr>
                    <w:t>0.1</w:t>
                  </w:r>
                </w:p>
              </w:tc>
              <w:tc>
                <w:tcPr>
                  <w:tcW w:w="1005" w:type="dxa"/>
                  <w:noWrap w:val="0"/>
                  <w:vAlign w:val="center"/>
                </w:tcPr>
                <w:p w14:paraId="0FD4841C">
                  <w:pPr>
                    <w:spacing w:line="240" w:lineRule="auto"/>
                    <w:jc w:val="center"/>
                    <w:rPr>
                      <w:rFonts w:hint="default"/>
                      <w:sz w:val="21"/>
                      <w:szCs w:val="21"/>
                      <w:lang w:val="en-US" w:eastAsia="zh-CN"/>
                    </w:rPr>
                  </w:pPr>
                  <w:r>
                    <w:rPr>
                      <w:rFonts w:hint="eastAsia"/>
                      <w:sz w:val="21"/>
                      <w:szCs w:val="21"/>
                      <w:lang w:val="en-US" w:eastAsia="zh-CN"/>
                    </w:rPr>
                    <w:t>30</w:t>
                  </w:r>
                </w:p>
              </w:tc>
              <w:tc>
                <w:tcPr>
                  <w:tcW w:w="2441" w:type="dxa"/>
                  <w:gridSpan w:val="2"/>
                  <w:noWrap w:val="0"/>
                  <w:vAlign w:val="center"/>
                </w:tcPr>
                <w:p w14:paraId="686BE45D">
                  <w:pPr>
                    <w:spacing w:line="240" w:lineRule="auto"/>
                    <w:jc w:val="center"/>
                    <w:rPr>
                      <w:rFonts w:hint="default"/>
                      <w:sz w:val="21"/>
                      <w:szCs w:val="21"/>
                      <w:lang w:val="en-US" w:eastAsia="zh-CN"/>
                    </w:rPr>
                  </w:pPr>
                  <w:r>
                    <w:rPr>
                      <w:rFonts w:hint="eastAsia"/>
                      <w:sz w:val="21"/>
                      <w:szCs w:val="21"/>
                      <w:lang w:val="en-US" w:eastAsia="zh-CN"/>
                    </w:rPr>
                    <w:t>0.1</w:t>
                  </w:r>
                </w:p>
              </w:tc>
              <w:tc>
                <w:tcPr>
                  <w:tcW w:w="1026" w:type="dxa"/>
                  <w:noWrap w:val="0"/>
                  <w:vAlign w:val="center"/>
                </w:tcPr>
                <w:p w14:paraId="301D60A2">
                  <w:pPr>
                    <w:spacing w:line="240" w:lineRule="auto"/>
                    <w:jc w:val="center"/>
                    <w:rPr>
                      <w:rFonts w:hint="default"/>
                      <w:sz w:val="21"/>
                      <w:szCs w:val="21"/>
                      <w:lang w:val="en-US" w:eastAsia="zh-CN"/>
                    </w:rPr>
                  </w:pPr>
                  <w:r>
                    <w:rPr>
                      <w:rFonts w:hint="eastAsia"/>
                      <w:sz w:val="21"/>
                      <w:szCs w:val="21"/>
                      <w:lang w:val="en-US" w:eastAsia="zh-CN"/>
                    </w:rPr>
                    <w:t>30</w:t>
                  </w:r>
                </w:p>
              </w:tc>
            </w:tr>
            <w:tr w14:paraId="3931F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7FECD32A">
                  <w:pPr>
                    <w:spacing w:line="240" w:lineRule="auto"/>
                    <w:jc w:val="center"/>
                    <w:rPr>
                      <w:rFonts w:hint="default"/>
                      <w:sz w:val="21"/>
                      <w:szCs w:val="21"/>
                      <w:lang w:val="en-US" w:eastAsia="zh-CN"/>
                    </w:rPr>
                  </w:pPr>
                  <w:r>
                    <w:rPr>
                      <w:rFonts w:hint="eastAsia"/>
                      <w:sz w:val="21"/>
                      <w:szCs w:val="21"/>
                      <w:lang w:val="en-US" w:eastAsia="zh-CN"/>
                    </w:rPr>
                    <w:t>9</w:t>
                  </w:r>
                </w:p>
              </w:tc>
              <w:tc>
                <w:tcPr>
                  <w:tcW w:w="718" w:type="pct"/>
                  <w:noWrap w:val="0"/>
                  <w:vAlign w:val="center"/>
                </w:tcPr>
                <w:p w14:paraId="459223FD">
                  <w:pPr>
                    <w:spacing w:line="240" w:lineRule="auto"/>
                    <w:jc w:val="center"/>
                    <w:rPr>
                      <w:rFonts w:hint="eastAsia"/>
                      <w:sz w:val="21"/>
                      <w:szCs w:val="21"/>
                      <w:lang w:eastAsia="zh-CN"/>
                    </w:rPr>
                  </w:pPr>
                  <w:r>
                    <w:rPr>
                      <w:rFonts w:hint="eastAsia"/>
                      <w:sz w:val="21"/>
                      <w:szCs w:val="21"/>
                      <w:lang w:eastAsia="zh-CN"/>
                    </w:rPr>
                    <w:t>喷淋用水</w:t>
                  </w:r>
                </w:p>
              </w:tc>
              <w:tc>
                <w:tcPr>
                  <w:tcW w:w="2640" w:type="dxa"/>
                  <w:gridSpan w:val="2"/>
                  <w:noWrap w:val="0"/>
                  <w:vAlign w:val="center"/>
                </w:tcPr>
                <w:p w14:paraId="64562FAC">
                  <w:pPr>
                    <w:spacing w:line="240" w:lineRule="auto"/>
                    <w:jc w:val="center"/>
                    <w:rPr>
                      <w:rFonts w:hint="default"/>
                      <w:sz w:val="21"/>
                      <w:szCs w:val="21"/>
                      <w:lang w:val="en-US" w:eastAsia="zh-CN"/>
                    </w:rPr>
                  </w:pPr>
                  <w:r>
                    <w:rPr>
                      <w:rFonts w:hint="eastAsia"/>
                      <w:sz w:val="21"/>
                      <w:szCs w:val="21"/>
                      <w:lang w:val="en-US" w:eastAsia="zh-CN"/>
                    </w:rPr>
                    <w:t>9</w:t>
                  </w:r>
                </w:p>
              </w:tc>
              <w:tc>
                <w:tcPr>
                  <w:tcW w:w="1005" w:type="dxa"/>
                  <w:noWrap w:val="0"/>
                  <w:vAlign w:val="center"/>
                </w:tcPr>
                <w:p w14:paraId="64562ECF">
                  <w:pPr>
                    <w:spacing w:line="240" w:lineRule="auto"/>
                    <w:jc w:val="center"/>
                    <w:rPr>
                      <w:rFonts w:hint="default"/>
                      <w:sz w:val="21"/>
                      <w:szCs w:val="21"/>
                      <w:lang w:val="en-US" w:eastAsia="zh-CN"/>
                    </w:rPr>
                  </w:pPr>
                  <w:r>
                    <w:rPr>
                      <w:rFonts w:hint="eastAsia"/>
                      <w:sz w:val="21"/>
                      <w:szCs w:val="21"/>
                      <w:lang w:val="en-US" w:eastAsia="zh-CN"/>
                    </w:rPr>
                    <w:t>2700</w:t>
                  </w:r>
                </w:p>
              </w:tc>
              <w:tc>
                <w:tcPr>
                  <w:tcW w:w="2441" w:type="dxa"/>
                  <w:gridSpan w:val="2"/>
                  <w:noWrap w:val="0"/>
                  <w:vAlign w:val="center"/>
                </w:tcPr>
                <w:p w14:paraId="3EF050A1">
                  <w:pPr>
                    <w:spacing w:line="240" w:lineRule="auto"/>
                    <w:jc w:val="center"/>
                    <w:rPr>
                      <w:rFonts w:hint="default"/>
                      <w:sz w:val="21"/>
                      <w:szCs w:val="21"/>
                      <w:lang w:val="en-US" w:eastAsia="zh-CN"/>
                    </w:rPr>
                  </w:pPr>
                  <w:r>
                    <w:rPr>
                      <w:rFonts w:hint="eastAsia"/>
                      <w:sz w:val="21"/>
                      <w:szCs w:val="21"/>
                      <w:lang w:val="en-US" w:eastAsia="zh-CN"/>
                    </w:rPr>
                    <w:t>3</w:t>
                  </w:r>
                </w:p>
              </w:tc>
              <w:tc>
                <w:tcPr>
                  <w:tcW w:w="1026" w:type="dxa"/>
                  <w:noWrap w:val="0"/>
                  <w:vAlign w:val="center"/>
                </w:tcPr>
                <w:p w14:paraId="7909F6F3">
                  <w:pPr>
                    <w:spacing w:line="240" w:lineRule="auto"/>
                    <w:jc w:val="center"/>
                    <w:rPr>
                      <w:rFonts w:hint="default"/>
                      <w:sz w:val="21"/>
                      <w:szCs w:val="21"/>
                      <w:lang w:val="en-US" w:eastAsia="zh-CN"/>
                    </w:rPr>
                  </w:pPr>
                  <w:r>
                    <w:rPr>
                      <w:rFonts w:hint="eastAsia"/>
                      <w:sz w:val="21"/>
                      <w:szCs w:val="21"/>
                      <w:lang w:val="en-US" w:eastAsia="zh-CN"/>
                    </w:rPr>
                    <w:t>900</w:t>
                  </w:r>
                </w:p>
              </w:tc>
            </w:tr>
            <w:tr w14:paraId="556F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303B6D4">
                  <w:pPr>
                    <w:spacing w:line="240" w:lineRule="auto"/>
                    <w:jc w:val="center"/>
                    <w:rPr>
                      <w:rFonts w:hint="default"/>
                      <w:sz w:val="21"/>
                      <w:szCs w:val="21"/>
                      <w:lang w:val="en-US" w:eastAsia="zh-CN"/>
                    </w:rPr>
                  </w:pPr>
                  <w:r>
                    <w:rPr>
                      <w:rFonts w:hint="eastAsia"/>
                      <w:sz w:val="21"/>
                      <w:szCs w:val="21"/>
                      <w:lang w:val="en-US" w:eastAsia="zh-CN"/>
                    </w:rPr>
                    <w:t>10</w:t>
                  </w:r>
                </w:p>
              </w:tc>
              <w:tc>
                <w:tcPr>
                  <w:tcW w:w="718" w:type="pct"/>
                  <w:noWrap w:val="0"/>
                  <w:vAlign w:val="center"/>
                </w:tcPr>
                <w:p w14:paraId="0C2BBC7C">
                  <w:pPr>
                    <w:spacing w:line="240" w:lineRule="auto"/>
                    <w:jc w:val="center"/>
                    <w:rPr>
                      <w:rFonts w:hint="eastAsia"/>
                      <w:sz w:val="21"/>
                      <w:szCs w:val="21"/>
                      <w:lang w:eastAsia="zh-CN"/>
                    </w:rPr>
                  </w:pPr>
                  <w:r>
                    <w:rPr>
                      <w:rFonts w:hint="eastAsia"/>
                      <w:sz w:val="21"/>
                      <w:szCs w:val="21"/>
                      <w:lang w:eastAsia="zh-CN"/>
                    </w:rPr>
                    <w:t>初期雨水</w:t>
                  </w:r>
                </w:p>
              </w:tc>
              <w:tc>
                <w:tcPr>
                  <w:tcW w:w="2640" w:type="dxa"/>
                  <w:gridSpan w:val="2"/>
                  <w:noWrap w:val="0"/>
                  <w:vAlign w:val="center"/>
                </w:tcPr>
                <w:p w14:paraId="0E7875C6">
                  <w:pPr>
                    <w:spacing w:line="240" w:lineRule="auto"/>
                    <w:jc w:val="center"/>
                    <w:rPr>
                      <w:rFonts w:hint="default"/>
                      <w:sz w:val="21"/>
                      <w:szCs w:val="21"/>
                      <w:lang w:val="en-US" w:eastAsia="zh-CN"/>
                    </w:rPr>
                  </w:pPr>
                  <w:r>
                    <w:rPr>
                      <w:rFonts w:hint="eastAsia"/>
                      <w:sz w:val="21"/>
                      <w:szCs w:val="21"/>
                      <w:lang w:val="en-US" w:eastAsia="zh-CN"/>
                    </w:rPr>
                    <w:t>/</w:t>
                  </w:r>
                </w:p>
              </w:tc>
              <w:tc>
                <w:tcPr>
                  <w:tcW w:w="1005" w:type="dxa"/>
                  <w:noWrap w:val="0"/>
                  <w:vAlign w:val="center"/>
                </w:tcPr>
                <w:p w14:paraId="1FBC17E7">
                  <w:pPr>
                    <w:spacing w:line="240" w:lineRule="auto"/>
                    <w:jc w:val="center"/>
                    <w:rPr>
                      <w:rFonts w:hint="default"/>
                      <w:sz w:val="21"/>
                      <w:szCs w:val="21"/>
                      <w:lang w:val="en-US" w:eastAsia="zh-CN"/>
                    </w:rPr>
                  </w:pPr>
                  <w:r>
                    <w:rPr>
                      <w:rFonts w:hint="eastAsia"/>
                      <w:sz w:val="21"/>
                      <w:szCs w:val="21"/>
                      <w:lang w:val="en-US" w:eastAsia="zh-CN"/>
                    </w:rPr>
                    <w:t>/</w:t>
                  </w:r>
                </w:p>
              </w:tc>
              <w:tc>
                <w:tcPr>
                  <w:tcW w:w="2441" w:type="dxa"/>
                  <w:gridSpan w:val="2"/>
                  <w:noWrap w:val="0"/>
                  <w:vAlign w:val="center"/>
                </w:tcPr>
                <w:p w14:paraId="4E1ED4BC">
                  <w:pPr>
                    <w:spacing w:line="240" w:lineRule="auto"/>
                    <w:jc w:val="center"/>
                    <w:rPr>
                      <w:rFonts w:hint="default"/>
                      <w:sz w:val="21"/>
                      <w:szCs w:val="21"/>
                      <w:lang w:val="en-US" w:eastAsia="zh-CN"/>
                    </w:rPr>
                  </w:pPr>
                  <w:r>
                    <w:rPr>
                      <w:rFonts w:hint="eastAsia"/>
                      <w:sz w:val="21"/>
                      <w:szCs w:val="21"/>
                      <w:lang w:val="en-US" w:eastAsia="zh-CN"/>
                    </w:rPr>
                    <w:t>11.5</w:t>
                  </w:r>
                </w:p>
              </w:tc>
              <w:tc>
                <w:tcPr>
                  <w:tcW w:w="1026" w:type="dxa"/>
                  <w:noWrap w:val="0"/>
                  <w:vAlign w:val="center"/>
                </w:tcPr>
                <w:p w14:paraId="18AF12B8">
                  <w:pPr>
                    <w:spacing w:line="240" w:lineRule="auto"/>
                    <w:jc w:val="center"/>
                    <w:rPr>
                      <w:rFonts w:hint="default"/>
                      <w:sz w:val="21"/>
                      <w:szCs w:val="21"/>
                      <w:lang w:val="en-US" w:eastAsia="zh-CN"/>
                    </w:rPr>
                  </w:pPr>
                  <w:r>
                    <w:rPr>
                      <w:rFonts w:hint="eastAsia"/>
                      <w:sz w:val="21"/>
                      <w:szCs w:val="21"/>
                      <w:lang w:val="en-US" w:eastAsia="zh-CN"/>
                    </w:rPr>
                    <w:t>3450</w:t>
                  </w:r>
                </w:p>
              </w:tc>
            </w:tr>
            <w:tr w14:paraId="1BD3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97" w:type="pct"/>
                  <w:gridSpan w:val="2"/>
                  <w:noWrap w:val="0"/>
                  <w:vAlign w:val="center"/>
                </w:tcPr>
                <w:p w14:paraId="24FAC098">
                  <w:pPr>
                    <w:spacing w:line="240" w:lineRule="auto"/>
                    <w:jc w:val="center"/>
                    <w:rPr>
                      <w:sz w:val="21"/>
                      <w:szCs w:val="21"/>
                    </w:rPr>
                  </w:pPr>
                  <w:r>
                    <w:rPr>
                      <w:sz w:val="21"/>
                      <w:szCs w:val="21"/>
                    </w:rPr>
                    <w:t>合计</w:t>
                  </w:r>
                </w:p>
              </w:tc>
              <w:tc>
                <w:tcPr>
                  <w:tcW w:w="2640" w:type="dxa"/>
                  <w:gridSpan w:val="2"/>
                  <w:noWrap w:val="0"/>
                  <w:vAlign w:val="center"/>
                </w:tcPr>
                <w:p w14:paraId="092B215A">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995.313</w:t>
                  </w:r>
                </w:p>
              </w:tc>
              <w:tc>
                <w:tcPr>
                  <w:tcW w:w="1005" w:type="dxa"/>
                  <w:noWrap w:val="0"/>
                  <w:vAlign w:val="center"/>
                </w:tcPr>
                <w:p w14:paraId="1CA325BE">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298594</w:t>
                  </w:r>
                </w:p>
              </w:tc>
              <w:tc>
                <w:tcPr>
                  <w:tcW w:w="2441" w:type="dxa"/>
                  <w:gridSpan w:val="2"/>
                  <w:noWrap w:val="0"/>
                  <w:vAlign w:val="center"/>
                </w:tcPr>
                <w:p w14:paraId="238B9FE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671.17</w:t>
                  </w:r>
                </w:p>
              </w:tc>
              <w:tc>
                <w:tcPr>
                  <w:tcW w:w="1026" w:type="dxa"/>
                  <w:noWrap w:val="0"/>
                  <w:vAlign w:val="center"/>
                </w:tcPr>
                <w:p w14:paraId="13CF8448">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201351</w:t>
                  </w:r>
                </w:p>
              </w:tc>
            </w:tr>
          </w:tbl>
          <w:p w14:paraId="706FE53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sz w:val="24"/>
              </w:rPr>
            </w:pPr>
            <w:r>
              <w:rPr>
                <w:sz w:val="24"/>
              </w:rPr>
              <w:t>本项目水平衡如下图所示：</w:t>
            </w:r>
          </w:p>
          <w:p w14:paraId="5059A2A6">
            <w:pPr>
              <w:keepNext w:val="0"/>
              <w:keepLines w:val="0"/>
              <w:pageBreakBefore w:val="0"/>
              <w:kinsoku/>
              <w:wordWrap/>
              <w:overflowPunct/>
              <w:topLinePunct w:val="0"/>
              <w:autoSpaceDE/>
              <w:autoSpaceDN/>
              <w:bidi w:val="0"/>
              <w:adjustRightInd/>
              <w:snapToGrid/>
              <w:spacing w:line="240" w:lineRule="auto"/>
              <w:jc w:val="center"/>
              <w:textAlignment w:val="auto"/>
              <w:rPr>
                <w:b/>
                <w:bCs/>
                <w:color w:val="auto"/>
                <w:kern w:val="0"/>
                <w:sz w:val="21"/>
                <w:szCs w:val="21"/>
              </w:rPr>
            </w:pPr>
            <w:r>
              <w:rPr>
                <w:rFonts w:hint="default" w:eastAsia="宋体"/>
                <w:sz w:val="24"/>
                <w:lang w:val="en-US" w:eastAsia="zh-CN"/>
              </w:rPr>
              <w:object>
                <v:shape id="_x0000_i1025" o:spt="75" type="#_x0000_t75" style="height:519.6pt;width:450.2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00C0C576">
            <w:pPr>
              <w:keepNext w:val="0"/>
              <w:keepLines w:val="0"/>
              <w:pageBreakBefore w:val="0"/>
              <w:kinsoku/>
              <w:wordWrap/>
              <w:overflowPunct/>
              <w:topLinePunct w:val="0"/>
              <w:autoSpaceDE/>
              <w:autoSpaceDN/>
              <w:bidi w:val="0"/>
              <w:adjustRightInd/>
              <w:snapToGrid/>
              <w:spacing w:line="360" w:lineRule="auto"/>
              <w:jc w:val="center"/>
              <w:textAlignment w:val="auto"/>
              <w:rPr>
                <w:color w:val="auto"/>
                <w:sz w:val="24"/>
                <w:szCs w:val="24"/>
              </w:rPr>
            </w:pPr>
            <w:r>
              <w:rPr>
                <w:b/>
                <w:bCs/>
                <w:color w:val="auto"/>
                <w:kern w:val="0"/>
                <w:sz w:val="21"/>
                <w:szCs w:val="21"/>
              </w:rPr>
              <w:t>图</w:t>
            </w:r>
            <w:r>
              <w:rPr>
                <w:rFonts w:hint="eastAsia"/>
                <w:b/>
                <w:bCs/>
                <w:color w:val="auto"/>
                <w:kern w:val="0"/>
                <w:sz w:val="21"/>
                <w:szCs w:val="21"/>
                <w:lang w:val="en-US" w:eastAsia="zh-CN"/>
              </w:rPr>
              <w:t>2</w:t>
            </w:r>
            <w:r>
              <w:rPr>
                <w:rFonts w:hint="eastAsia"/>
                <w:b/>
                <w:bCs/>
                <w:color w:val="auto"/>
                <w:kern w:val="0"/>
                <w:sz w:val="21"/>
                <w:szCs w:val="21"/>
              </w:rPr>
              <w:t>-1</w:t>
            </w:r>
            <w:r>
              <w:rPr>
                <w:b/>
                <w:bCs/>
                <w:color w:val="auto"/>
                <w:kern w:val="0"/>
                <w:sz w:val="21"/>
                <w:szCs w:val="21"/>
              </w:rPr>
              <w:t xml:space="preserve"> 本项目水平衡图（单位：</w:t>
            </w:r>
            <w:r>
              <w:rPr>
                <w:b/>
                <w:color w:val="auto"/>
                <w:sz w:val="21"/>
                <w:szCs w:val="21"/>
              </w:rPr>
              <w:t>m</w:t>
            </w:r>
            <w:r>
              <w:rPr>
                <w:b/>
                <w:color w:val="auto"/>
                <w:sz w:val="21"/>
                <w:szCs w:val="21"/>
                <w:vertAlign w:val="superscript"/>
              </w:rPr>
              <w:t>3</w:t>
            </w:r>
            <w:r>
              <w:rPr>
                <w:b/>
                <w:bCs/>
                <w:color w:val="auto"/>
                <w:kern w:val="0"/>
                <w:sz w:val="21"/>
                <w:szCs w:val="21"/>
              </w:rPr>
              <w:t>/</w:t>
            </w:r>
            <w:r>
              <w:rPr>
                <w:rFonts w:hint="eastAsia"/>
                <w:b/>
                <w:bCs/>
                <w:color w:val="auto"/>
                <w:kern w:val="0"/>
                <w:sz w:val="21"/>
                <w:szCs w:val="21"/>
                <w:lang w:val="en-US" w:eastAsia="zh-CN"/>
              </w:rPr>
              <w:t>d</w:t>
            </w:r>
            <w:r>
              <w:rPr>
                <w:b/>
                <w:bCs/>
                <w:color w:val="auto"/>
                <w:kern w:val="0"/>
                <w:sz w:val="21"/>
                <w:szCs w:val="21"/>
              </w:rPr>
              <w:t>）</w:t>
            </w:r>
          </w:p>
          <w:p w14:paraId="0680072A">
            <w:pPr>
              <w:spacing w:line="360" w:lineRule="auto"/>
              <w:rPr>
                <w:b/>
                <w:color w:val="auto"/>
                <w:sz w:val="24"/>
              </w:rPr>
            </w:pPr>
            <w:r>
              <w:rPr>
                <w:rFonts w:hint="eastAsia"/>
                <w:b/>
                <w:color w:val="auto"/>
                <w:sz w:val="24"/>
                <w:lang w:val="en-US" w:eastAsia="zh-CN"/>
              </w:rPr>
              <w:t>8</w:t>
            </w:r>
            <w:r>
              <w:rPr>
                <w:rFonts w:hint="eastAsia"/>
                <w:b/>
                <w:color w:val="auto"/>
                <w:sz w:val="24"/>
              </w:rPr>
              <w:t>、</w:t>
            </w:r>
            <w:r>
              <w:rPr>
                <w:b/>
                <w:iCs/>
                <w:color w:val="auto"/>
                <w:sz w:val="24"/>
                <w:szCs w:val="24"/>
              </w:rPr>
              <w:t>工作制度</w:t>
            </w:r>
            <w:r>
              <w:rPr>
                <w:b/>
                <w:color w:val="auto"/>
                <w:sz w:val="24"/>
              </w:rPr>
              <w:t>及劳动定员</w:t>
            </w:r>
          </w:p>
          <w:p w14:paraId="0B88FD1F">
            <w:pPr>
              <w:spacing w:line="360" w:lineRule="auto"/>
              <w:ind w:firstLine="480" w:firstLineChars="200"/>
              <w:rPr>
                <w:rFonts w:hint="eastAsia" w:cs="Times New Roman"/>
                <w:bCs/>
                <w:color w:val="auto"/>
                <w:sz w:val="24"/>
                <w:szCs w:val="24"/>
                <w:highlight w:val="none"/>
                <w:lang w:eastAsia="zh-CN"/>
              </w:rPr>
            </w:pPr>
            <w:r>
              <w:rPr>
                <w:rFonts w:hint="eastAsia"/>
                <w:color w:val="auto"/>
                <w:sz w:val="24"/>
                <w:szCs w:val="24"/>
                <w:lang w:eastAsia="zh-CN"/>
              </w:rPr>
              <w:t>工</w:t>
            </w:r>
            <w:r>
              <w:rPr>
                <w:rFonts w:hint="default" w:ascii="Times New Roman" w:hAnsi="Times New Roman" w:eastAsia="宋体" w:cs="Times New Roman"/>
                <w:color w:val="auto"/>
                <w:sz w:val="24"/>
                <w:szCs w:val="24"/>
                <w:lang w:eastAsia="zh-CN"/>
              </w:rPr>
              <w:t>作制度：</w:t>
            </w:r>
            <w:r>
              <w:rPr>
                <w:rFonts w:hint="default" w:ascii="Times New Roman" w:hAnsi="Times New Roman" w:eastAsia="宋体" w:cs="Times New Roman"/>
                <w:bCs/>
                <w:color w:val="auto"/>
                <w:sz w:val="24"/>
                <w:szCs w:val="24"/>
                <w:highlight w:val="none"/>
              </w:rPr>
              <w:t>年工作日为</w:t>
            </w:r>
            <w:r>
              <w:rPr>
                <w:rFonts w:hint="eastAsia" w:cs="Times New Roman"/>
                <w:bCs/>
                <w:color w:val="auto"/>
                <w:sz w:val="24"/>
                <w:szCs w:val="24"/>
                <w:highlight w:val="none"/>
                <w:lang w:val="en-US" w:eastAsia="zh-CN"/>
              </w:rPr>
              <w:t>300</w:t>
            </w:r>
            <w:r>
              <w:rPr>
                <w:rFonts w:hint="default" w:ascii="Times New Roman" w:hAnsi="Times New Roman" w:eastAsia="宋体" w:cs="Times New Roman"/>
                <w:bCs/>
                <w:color w:val="auto"/>
                <w:sz w:val="24"/>
                <w:szCs w:val="24"/>
                <w:highlight w:val="none"/>
              </w:rPr>
              <w:t>天，</w:t>
            </w:r>
            <w:r>
              <w:rPr>
                <w:rFonts w:hint="eastAsia" w:cs="Times New Roman"/>
                <w:bCs/>
                <w:color w:val="auto"/>
                <w:sz w:val="24"/>
                <w:szCs w:val="24"/>
                <w:highlight w:val="none"/>
                <w:lang w:eastAsia="zh-CN"/>
              </w:rPr>
              <w:t>两</w:t>
            </w:r>
            <w:r>
              <w:rPr>
                <w:rFonts w:hint="default" w:ascii="Times New Roman" w:hAnsi="Times New Roman" w:eastAsia="宋体" w:cs="Times New Roman"/>
                <w:bCs/>
                <w:color w:val="auto"/>
                <w:sz w:val="24"/>
                <w:szCs w:val="24"/>
                <w:highlight w:val="none"/>
              </w:rPr>
              <w:t>班制生产，每班</w:t>
            </w:r>
            <w:r>
              <w:rPr>
                <w:rFonts w:hint="eastAsia" w:cs="Times New Roman"/>
                <w:bCs/>
                <w:color w:val="auto"/>
                <w:sz w:val="24"/>
                <w:szCs w:val="24"/>
                <w:highlight w:val="none"/>
                <w:lang w:val="en-US" w:eastAsia="zh-CN"/>
              </w:rPr>
              <w:t>12</w:t>
            </w:r>
            <w:r>
              <w:rPr>
                <w:rFonts w:hint="default" w:ascii="Times New Roman" w:hAnsi="Times New Roman" w:eastAsia="宋体" w:cs="Times New Roman"/>
                <w:bCs/>
                <w:color w:val="auto"/>
                <w:sz w:val="24"/>
                <w:szCs w:val="24"/>
                <w:highlight w:val="none"/>
              </w:rPr>
              <w:t>小时</w:t>
            </w:r>
            <w:r>
              <w:rPr>
                <w:rFonts w:hint="eastAsia" w:cs="Times New Roman"/>
                <w:bCs/>
                <w:color w:val="auto"/>
                <w:sz w:val="24"/>
                <w:szCs w:val="24"/>
                <w:highlight w:val="none"/>
                <w:lang w:eastAsia="zh-CN"/>
              </w:rPr>
              <w:t>。</w:t>
            </w:r>
          </w:p>
          <w:p w14:paraId="38EC18AE">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eastAsia="zh-CN"/>
              </w:rPr>
              <w:t>劳动定员：劳动定员</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lang w:val="en-US" w:eastAsia="zh-CN"/>
              </w:rPr>
              <w:t>人，</w:t>
            </w:r>
            <w:r>
              <w:rPr>
                <w:rFonts w:hint="eastAsia" w:cs="Times New Roman"/>
                <w:color w:val="auto"/>
                <w:sz w:val="24"/>
                <w:szCs w:val="24"/>
                <w:lang w:val="en-US" w:eastAsia="zh-CN"/>
              </w:rPr>
              <w:t>设食宿</w:t>
            </w:r>
            <w:r>
              <w:rPr>
                <w:rFonts w:hint="default" w:ascii="Times New Roman" w:hAnsi="Times New Roman" w:eastAsia="宋体" w:cs="Times New Roman"/>
                <w:color w:val="auto"/>
                <w:sz w:val="24"/>
                <w:szCs w:val="24"/>
                <w:lang w:val="en-US" w:eastAsia="zh-CN"/>
              </w:rPr>
              <w:t>。</w:t>
            </w:r>
          </w:p>
          <w:p w14:paraId="6B009BDD">
            <w:pPr>
              <w:spacing w:line="360" w:lineRule="auto"/>
              <w:rPr>
                <w:b/>
                <w:color w:val="auto"/>
                <w:sz w:val="24"/>
                <w:szCs w:val="24"/>
              </w:rPr>
            </w:pPr>
            <w:r>
              <w:rPr>
                <w:rFonts w:hint="eastAsia"/>
                <w:b/>
                <w:color w:val="auto"/>
                <w:sz w:val="24"/>
                <w:szCs w:val="24"/>
                <w:lang w:val="en-US" w:eastAsia="zh-CN"/>
              </w:rPr>
              <w:t>9</w:t>
            </w:r>
            <w:r>
              <w:rPr>
                <w:b/>
                <w:color w:val="auto"/>
                <w:sz w:val="24"/>
                <w:szCs w:val="24"/>
              </w:rPr>
              <w:t>、厂区平面布置</w:t>
            </w:r>
          </w:p>
          <w:p w14:paraId="580E269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本项目位于</w:t>
            </w:r>
            <w:r>
              <w:rPr>
                <w:rFonts w:hint="default" w:ascii="Times New Roman" w:hAnsi="Times New Roman" w:eastAsia="宋体" w:cs="Times New Roman"/>
                <w:color w:val="auto"/>
                <w:sz w:val="24"/>
                <w:szCs w:val="24"/>
                <w:lang w:val="en-US" w:eastAsia="zh-CN"/>
              </w:rPr>
              <w:t>安徽省蚌埠市</w:t>
            </w:r>
            <w:r>
              <w:rPr>
                <w:rFonts w:hint="eastAsia" w:cs="Times New Roman"/>
                <w:color w:val="auto"/>
                <w:spacing w:val="-2"/>
                <w:sz w:val="24"/>
                <w:szCs w:val="24"/>
                <w:lang w:val="en-US" w:eastAsia="zh-CN"/>
              </w:rPr>
              <w:t>固镇经济开发区门东路南侧、经二路西侧</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项目总</w:t>
            </w:r>
            <w:r>
              <w:rPr>
                <w:rFonts w:hint="default" w:ascii="Times New Roman" w:hAnsi="Times New Roman" w:eastAsia="宋体" w:cs="Times New Roman"/>
                <w:color w:val="auto"/>
                <w:sz w:val="24"/>
                <w:szCs w:val="24"/>
              </w:rPr>
              <w:t>占地</w:t>
            </w:r>
            <w:r>
              <w:rPr>
                <w:rFonts w:hint="eastAsia" w:cs="Times New Roman"/>
                <w:color w:val="auto"/>
                <w:sz w:val="24"/>
                <w:szCs w:val="24"/>
                <w:lang w:val="en-US" w:eastAsia="zh-CN"/>
              </w:rPr>
              <w:t>90.33亩</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eastAsia="zh-CN"/>
              </w:rPr>
              <w:t>主要为</w:t>
            </w:r>
            <w:r>
              <w:rPr>
                <w:rFonts w:hint="eastAsia"/>
                <w:b w:val="0"/>
                <w:bCs/>
                <w:color w:val="auto"/>
                <w:sz w:val="24"/>
                <w:szCs w:val="24"/>
                <w:lang w:val="en-US" w:eastAsia="zh-CN"/>
              </w:rPr>
              <w:t>1#车间</w:t>
            </w:r>
            <w:r>
              <w:rPr>
                <w:rFonts w:hint="eastAsia"/>
                <w:b w:val="0"/>
                <w:bCs/>
                <w:color w:val="auto"/>
                <w:sz w:val="24"/>
                <w:szCs w:val="24"/>
                <w:lang w:eastAsia="zh-CN"/>
              </w:rPr>
              <w:t>、</w:t>
            </w:r>
            <w:r>
              <w:rPr>
                <w:rFonts w:hint="eastAsia"/>
                <w:b w:val="0"/>
                <w:bCs/>
                <w:color w:val="auto"/>
                <w:sz w:val="24"/>
                <w:szCs w:val="24"/>
                <w:lang w:val="en-US" w:eastAsia="zh-CN"/>
              </w:rPr>
              <w:t>2#车间、办公区、</w:t>
            </w:r>
            <w:r>
              <w:rPr>
                <w:rFonts w:hint="eastAsia"/>
                <w:b w:val="0"/>
                <w:bCs/>
                <w:color w:val="auto"/>
                <w:sz w:val="24"/>
                <w:szCs w:val="24"/>
                <w:lang w:eastAsia="zh-CN"/>
              </w:rPr>
              <w:t>宿舍</w:t>
            </w:r>
            <w:r>
              <w:rPr>
                <w:rFonts w:hint="eastAsia"/>
                <w:color w:val="auto"/>
                <w:sz w:val="24"/>
                <w:szCs w:val="24"/>
                <w:lang w:eastAsia="zh-CN"/>
              </w:rPr>
              <w:t>、食堂、一般固废暂存间、危废暂存间、环保设备等</w:t>
            </w:r>
            <w:r>
              <w:rPr>
                <w:rFonts w:hint="eastAsia"/>
                <w:b w:val="0"/>
                <w:bCs/>
                <w:color w:val="auto"/>
                <w:sz w:val="24"/>
                <w:szCs w:val="24"/>
                <w:lang w:eastAsia="zh-CN"/>
              </w:rPr>
              <w:t>，</w:t>
            </w:r>
            <w:r>
              <w:rPr>
                <w:rFonts w:hint="eastAsia"/>
                <w:b w:val="0"/>
                <w:bCs/>
                <w:color w:val="auto"/>
                <w:sz w:val="24"/>
                <w:szCs w:val="24"/>
                <w:lang w:val="en-US" w:eastAsia="zh-CN"/>
              </w:rPr>
              <w:t>1#车间主要是年产1000吨超级多孔碳生产线4条、原料区、成品区等</w:t>
            </w:r>
            <w:r>
              <w:rPr>
                <w:rFonts w:hint="eastAsia" w:cs="Times New Roman"/>
                <w:color w:val="auto"/>
                <w:kern w:val="0"/>
                <w:sz w:val="24"/>
                <w:szCs w:val="24"/>
                <w:vertAlign w:val="baseline"/>
                <w:lang w:eastAsia="zh-CN"/>
              </w:rPr>
              <w:t>；</w:t>
            </w:r>
            <w:r>
              <w:rPr>
                <w:rFonts w:hint="eastAsia"/>
                <w:b w:val="0"/>
                <w:bCs/>
                <w:color w:val="auto"/>
                <w:sz w:val="24"/>
                <w:szCs w:val="24"/>
                <w:lang w:val="en-US" w:eastAsia="zh-CN"/>
              </w:rPr>
              <w:t>2#车间主要是年产1000吨超级多孔碳生产线1条、原料区、成品区等</w:t>
            </w:r>
            <w:r>
              <w:rPr>
                <w:rFonts w:hint="eastAsia" w:ascii="Times New Roman" w:hAnsi="Times New Roman" w:eastAsia="宋体" w:cs="Times New Roman"/>
                <w:color w:val="auto"/>
                <w:kern w:val="0"/>
                <w:sz w:val="24"/>
                <w:szCs w:val="24"/>
                <w:vertAlign w:val="baseline"/>
                <w:lang w:val="en-US" w:eastAsia="zh-CN"/>
              </w:rPr>
              <w:t>。</w:t>
            </w:r>
            <w:r>
              <w:rPr>
                <w:rFonts w:hint="eastAsia" w:cs="Times New Roman"/>
                <w:color w:val="auto"/>
                <w:kern w:val="0"/>
                <w:sz w:val="24"/>
                <w:szCs w:val="24"/>
                <w:vertAlign w:val="baseline"/>
                <w:lang w:val="en-US" w:eastAsia="zh-CN"/>
              </w:rPr>
              <w:t>危废暂存间位于2#车间内，事故应急池位于厂区南侧。本</w:t>
            </w:r>
            <w:r>
              <w:rPr>
                <w:rFonts w:hint="default" w:ascii="Times New Roman" w:hAnsi="Times New Roman" w:cs="Times New Roman"/>
                <w:color w:val="auto"/>
                <w:sz w:val="24"/>
                <w:szCs w:val="24"/>
                <w:lang w:val="en-US" w:eastAsia="zh-CN"/>
              </w:rPr>
              <w:t>项目在各个产污节点均设有废气收集系统收集产生的废气进行治理。</w:t>
            </w:r>
          </w:p>
          <w:p w14:paraId="0DA08FF1">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eastAsia="宋体" w:cs="Times New Roman"/>
                <w:bCs/>
                <w:color w:val="auto"/>
                <w:sz w:val="24"/>
                <w:szCs w:val="24"/>
                <w:lang w:val="en-US" w:eastAsia="zh-CN"/>
              </w:rPr>
              <w:t>生产车间内</w:t>
            </w:r>
            <w:r>
              <w:rPr>
                <w:rFonts w:hint="default" w:ascii="Times New Roman" w:hAnsi="Times New Roman" w:eastAsia="宋体" w:cs="Times New Roman"/>
                <w:bCs/>
                <w:color w:val="auto"/>
                <w:sz w:val="24"/>
                <w:szCs w:val="24"/>
              </w:rPr>
              <w:t>已进行明确的功能区划分，项目厂区分块合理；生产车间</w:t>
            </w:r>
            <w:r>
              <w:rPr>
                <w:rFonts w:hint="default" w:ascii="Times New Roman" w:hAnsi="Times New Roman" w:cs="Times New Roman"/>
                <w:bCs/>
                <w:color w:val="auto"/>
                <w:sz w:val="24"/>
                <w:szCs w:val="24"/>
              </w:rPr>
              <w:t>内的生产设备按照生产流程合理布置，各种设备之间保持有一定的安全距离，预留足够的废气治理场地空间。项目在满足生产工艺流程的前提下，</w:t>
            </w:r>
            <w:r>
              <w:rPr>
                <w:rFonts w:hint="default" w:ascii="Times New Roman" w:hAnsi="Times New Roman" w:cs="Times New Roman"/>
                <w:bCs/>
                <w:color w:val="auto"/>
                <w:sz w:val="24"/>
              </w:rPr>
              <w:t>考虑运输、安全、卫生等要求，结合项目用地的自然地形条件，按各种设施不同功能进行分区和组合，力求平面布置紧凑合理，节省用地，有利生产，方便管理。</w:t>
            </w:r>
          </w:p>
          <w:p w14:paraId="055C9D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厂区按照 “合理分区、工艺流程、物流短接”的原则，并结合生成工艺，综合考虑环保、安全等要求对厂区进行了合理布置。企业在功能单元方面，做到了功能完整、分区合理明确，有利于提高企业生产效率和环境管理可操作性。在生产、办公、仓储区分明显，避免相互干扰影响。从环境影响角度而言，项目总平面布置可行。</w:t>
            </w:r>
          </w:p>
          <w:p w14:paraId="3A509C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p>
          <w:p w14:paraId="7C36FD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p>
          <w:p w14:paraId="364F87B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p>
          <w:p w14:paraId="4B913A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bookmarkStart w:id="7" w:name="_GoBack"/>
            <w:bookmarkEnd w:id="7"/>
            <w:r>
              <w:rPr>
                <w:rFonts w:hint="eastAsia" w:cs="Times New Roman"/>
                <w:color w:val="auto"/>
                <w:sz w:val="24"/>
                <w:szCs w:val="24"/>
                <w:lang w:val="en-US" w:eastAsia="zh-CN"/>
              </w:rPr>
              <w:t xml:space="preserve"> </w:t>
            </w:r>
          </w:p>
          <w:p w14:paraId="3CBD0C9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5F34DC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6E7829D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6E992A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0641A7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150904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665B41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0B09EC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7B37AE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7EE6AA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p>
          <w:p w14:paraId="2A1F848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 xml:space="preserve"> </w:t>
            </w:r>
          </w:p>
          <w:p w14:paraId="20E6D48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hAnsi="Times New Roman" w:eastAsia="宋体"/>
                <w:spacing w:val="4"/>
                <w:szCs w:val="24"/>
                <w:lang w:val="en-US" w:eastAsia="zh-CN"/>
              </w:rPr>
            </w:pPr>
          </w:p>
        </w:tc>
      </w:tr>
      <w:tr w14:paraId="6A28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6" w:hRule="atLeast"/>
          <w:jc w:val="center"/>
        </w:trPr>
        <w:tc>
          <w:tcPr>
            <w:tcW w:w="456" w:type="dxa"/>
            <w:vAlign w:val="center"/>
          </w:tcPr>
          <w:p w14:paraId="2BDDA762">
            <w:pPr>
              <w:autoSpaceDE w:val="0"/>
              <w:autoSpaceDN w:val="0"/>
              <w:adjustRightInd w:val="0"/>
              <w:snapToGrid w:val="0"/>
              <w:jc w:val="center"/>
              <w:rPr>
                <w:sz w:val="24"/>
                <w:szCs w:val="24"/>
              </w:rPr>
            </w:pPr>
            <w:r>
              <w:rPr>
                <w:rFonts w:hint="eastAsia" w:cs="宋体"/>
                <w:color w:val="auto"/>
                <w:szCs w:val="21"/>
              </w:rPr>
              <w:t>工艺流程和产排污环节</w:t>
            </w:r>
          </w:p>
        </w:tc>
        <w:tc>
          <w:tcPr>
            <w:tcW w:w="9115" w:type="dxa"/>
            <w:vAlign w:val="center"/>
          </w:tcPr>
          <w:p w14:paraId="66B729C8">
            <w:pPr>
              <w:spacing w:line="240" w:lineRule="auto"/>
              <w:rPr>
                <w:rStyle w:val="30"/>
                <w:rFonts w:hint="default" w:ascii="Times New Roman" w:hAnsi="Times New Roman" w:cs="Times New Roman"/>
                <w:b/>
                <w:color w:val="auto"/>
                <w:sz w:val="24"/>
              </w:rPr>
            </w:pPr>
            <w:r>
              <w:rPr>
                <w:rStyle w:val="30"/>
                <w:rFonts w:hint="eastAsia" w:ascii="Times New Roman" w:hAnsi="Times New Roman" w:cs="Times New Roman"/>
                <w:b/>
                <w:color w:val="auto"/>
                <w:sz w:val="24"/>
                <w:lang w:val="en-US" w:eastAsia="zh-CN"/>
              </w:rPr>
              <w:t>1</w:t>
            </w:r>
            <w:r>
              <w:rPr>
                <w:rStyle w:val="30"/>
                <w:rFonts w:hint="default" w:ascii="Times New Roman" w:hAnsi="Times New Roman" w:cs="Times New Roman"/>
                <w:b/>
                <w:color w:val="auto"/>
                <w:sz w:val="24"/>
              </w:rPr>
              <w:t>、施工期</w:t>
            </w:r>
          </w:p>
          <w:p w14:paraId="3F5A8A32">
            <w:pPr>
              <w:spacing w:line="360" w:lineRule="auto"/>
              <w:ind w:firstLine="480" w:firstLineChars="200"/>
              <w:rPr>
                <w:rFonts w:hint="default" w:ascii="Times New Roman" w:hAnsi="Times New Roman" w:cs="Times New Roman"/>
                <w:b/>
                <w:color w:val="auto"/>
                <w:sz w:val="24"/>
              </w:rPr>
            </w:pPr>
            <w:r>
              <w:rPr>
                <w:rStyle w:val="30"/>
                <w:rFonts w:hint="default" w:ascii="Times New Roman" w:hAnsi="Times New Roman" w:cs="Times New Roman"/>
                <w:color w:val="auto"/>
                <w:sz w:val="24"/>
              </w:rPr>
              <w:t>项目施工期对环境的影响主要表现为：施工扬尘、施工废水、施工机械噪声以及施工队伍的生活排污。</w:t>
            </w:r>
          </w:p>
          <w:p w14:paraId="7833F738">
            <w:pPr>
              <w:spacing w:line="24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施工期工艺流程：</w:t>
            </w:r>
          </w:p>
          <w:p w14:paraId="37AD44A4">
            <w:pPr>
              <w:pStyle w:val="33"/>
              <w:tabs>
                <w:tab w:val="right" w:leader="dot" w:pos="8435"/>
                <w:tab w:val="right" w:leader="dot" w:pos="8466"/>
                <w:tab w:val="right" w:leader="dot" w:pos="8949"/>
              </w:tabs>
              <w:jc w:val="center"/>
              <w:rPr>
                <w:rFonts w:hint="default" w:ascii="Times New Roman" w:hAnsi="Times New Roman" w:cs="Times New Roman"/>
                <w:b/>
                <w:color w:val="auto"/>
                <w:sz w:val="24"/>
              </w:rPr>
            </w:pPr>
            <w:r>
              <w:rPr>
                <w:rFonts w:hint="default" w:ascii="Times New Roman" w:hAnsi="Times New Roman" w:cs="Times New Roman"/>
                <w:b/>
                <w:color w:val="auto"/>
                <w:sz w:val="24"/>
              </w:rPr>
              <w:object>
                <v:shape id="_x0000_i1026" o:spt="75" type="#_x0000_t75" style="height:123.7pt;width:413.1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7E5B3C3A">
            <w:pPr>
              <w:pStyle w:val="70"/>
              <w:keepNext w:val="0"/>
              <w:keepLines w:val="0"/>
              <w:pageBreakBefore w:val="0"/>
              <w:widowControl w:val="0"/>
              <w:kinsoku/>
              <w:wordWrap/>
              <w:overflowPunct/>
              <w:topLinePunct w:val="0"/>
              <w:autoSpaceDE/>
              <w:autoSpaceDN/>
              <w:bidi w:val="0"/>
              <w:adjustRightInd w:val="0"/>
              <w:snapToGrid/>
              <w:spacing w:line="240" w:lineRule="auto"/>
              <w:ind w:right="0" w:firstLine="0"/>
              <w:jc w:val="center"/>
              <w:textAlignment w:val="baseline"/>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图2-</w:t>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 xml:space="preserve"> 施工期流程及产污节点图</w:t>
            </w:r>
          </w:p>
          <w:p w14:paraId="484DC201">
            <w:pPr>
              <w:pStyle w:val="2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工艺流程简述：</w:t>
            </w:r>
          </w:p>
          <w:p w14:paraId="33133EA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（1）基础工程</w:t>
            </w:r>
          </w:p>
          <w:p w14:paraId="7AE08EB9">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基础工程主要为静压预应力混凝土管桩。该工段主要污染物为施工机械产生的噪声、扬尘和排放的尾气。由于作业时间较短，对周围环境影响较小。</w:t>
            </w:r>
          </w:p>
          <w:p w14:paraId="1D2D9FA1">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（2）主体工程</w:t>
            </w:r>
          </w:p>
          <w:p w14:paraId="42779CF4">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主体工程主要为</w:t>
            </w:r>
            <w:r>
              <w:rPr>
                <w:rFonts w:hint="default" w:ascii="Times New Roman" w:hAnsi="Times New Roman" w:cs="Times New Roman"/>
                <w:color w:val="auto"/>
                <w:sz w:val="24"/>
                <w:lang w:val="en-US" w:eastAsia="zh-CN"/>
              </w:rPr>
              <w:t>钢结构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根据施工图纸，进行</w:t>
            </w:r>
            <w:r>
              <w:rPr>
                <w:rFonts w:hint="default" w:ascii="Times New Roman" w:hAnsi="Times New Roman" w:cs="Times New Roman"/>
                <w:color w:val="auto"/>
                <w:sz w:val="24"/>
                <w:lang w:val="en-US" w:eastAsia="zh-CN"/>
              </w:rPr>
              <w:t>钢结构安装</w:t>
            </w:r>
            <w:r>
              <w:rPr>
                <w:rFonts w:hint="default" w:ascii="Times New Roman" w:hAnsi="Times New Roman" w:cs="Times New Roman"/>
                <w:color w:val="auto"/>
                <w:sz w:val="24"/>
              </w:rPr>
              <w:t>、钢筋、钢板的切割安装。</w:t>
            </w:r>
          </w:p>
          <w:p w14:paraId="20D81D50">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（3）装饰工程</w:t>
            </w:r>
          </w:p>
          <w:p w14:paraId="590DC0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本项目主体结构为</w:t>
            </w:r>
            <w:r>
              <w:rPr>
                <w:rFonts w:hint="default" w:ascii="Times New Roman" w:hAnsi="Times New Roman" w:cs="Times New Roman"/>
                <w:color w:val="auto"/>
                <w:sz w:val="24"/>
                <w:lang w:val="en-US" w:eastAsia="zh-CN"/>
              </w:rPr>
              <w:t>钢结构</w:t>
            </w:r>
            <w:r>
              <w:rPr>
                <w:rFonts w:hint="default" w:ascii="Times New Roman" w:hAnsi="Times New Roman" w:eastAsia="宋体" w:cs="Times New Roman"/>
                <w:color w:val="auto"/>
                <w:kern w:val="2"/>
                <w:sz w:val="24"/>
                <w:szCs w:val="24"/>
                <w:lang w:val="en-US" w:eastAsia="zh-CN" w:bidi="ar-SA"/>
              </w:rPr>
              <w:t>，基本不需要装饰，但是另行边角部位可能需要修补装修，不进行大规模装修。</w:t>
            </w:r>
          </w:p>
          <w:p w14:paraId="275DA6E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（4）设备安装</w:t>
            </w:r>
          </w:p>
          <w:p w14:paraId="0E725A5D">
            <w:pPr>
              <w:pStyle w:val="45"/>
              <w:keepNext w:val="0"/>
              <w:keepLines w:val="0"/>
              <w:pageBreakBefore w:val="0"/>
              <w:widowControl w:val="0"/>
              <w:numPr>
                <w:ilvl w:val="0"/>
                <w:numId w:val="0"/>
              </w:numPr>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包括道路、雨水管网铺设等施工，主要污染物是机械设备安装机械产生的噪声、尾气等。</w:t>
            </w:r>
          </w:p>
          <w:p w14:paraId="235DFF14">
            <w:pPr>
              <w:pStyle w:val="45"/>
              <w:numPr>
                <w:ilvl w:val="0"/>
                <w:numId w:val="0"/>
              </w:numPr>
              <w:spacing w:line="240" w:lineRule="auto"/>
              <w:ind w:leftChars="0"/>
              <w:rPr>
                <w:rFonts w:hint="eastAsia" w:eastAsia="宋体"/>
                <w:b/>
                <w:color w:val="auto"/>
                <w:kern w:val="1"/>
                <w:lang w:eastAsia="zh-CN"/>
              </w:rPr>
            </w:pPr>
            <w:r>
              <w:rPr>
                <w:rFonts w:hint="eastAsia"/>
                <w:b/>
                <w:kern w:val="1"/>
                <w:lang w:val="en-US" w:eastAsia="zh-CN"/>
              </w:rPr>
              <w:t>2、</w:t>
            </w:r>
            <w:r>
              <w:rPr>
                <w:rFonts w:hint="eastAsia"/>
                <w:b/>
                <w:color w:val="auto"/>
                <w:kern w:val="1"/>
                <w:lang w:eastAsia="zh-CN"/>
              </w:rPr>
              <w:t>营运期</w:t>
            </w:r>
          </w:p>
          <w:p w14:paraId="2797E9F9">
            <w:pPr>
              <w:numPr>
                <w:ilvl w:val="0"/>
                <w:numId w:val="0"/>
              </w:numPr>
              <w:jc w:val="center"/>
              <w:rPr>
                <w:b/>
                <w:color w:val="auto"/>
                <w:sz w:val="21"/>
                <w:szCs w:val="21"/>
              </w:rPr>
            </w:pPr>
            <w:r>
              <w:rPr>
                <w:b/>
                <w:color w:val="auto"/>
                <w:sz w:val="21"/>
                <w:szCs w:val="21"/>
              </w:rPr>
              <w:object>
                <v:shape id="_x0000_i1027" o:spt="75" type="#_x0000_t75" style="height:553.55pt;width:460.05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027F5A7D">
            <w:pPr>
              <w:numPr>
                <w:ilvl w:val="0"/>
                <w:numId w:val="0"/>
              </w:numPr>
              <w:jc w:val="center"/>
              <w:rPr>
                <w:rFonts w:hint="default"/>
                <w:b w:val="0"/>
                <w:bCs w:val="0"/>
                <w:color w:val="auto"/>
                <w:sz w:val="24"/>
                <w:szCs w:val="24"/>
                <w:lang w:val="en-US" w:eastAsia="zh-CN"/>
              </w:rPr>
            </w:pPr>
            <w:r>
              <w:rPr>
                <w:b/>
                <w:color w:val="auto"/>
                <w:sz w:val="21"/>
                <w:szCs w:val="21"/>
              </w:rPr>
              <w:t>图</w:t>
            </w:r>
            <w:r>
              <w:rPr>
                <w:rFonts w:hint="eastAsia"/>
                <w:b/>
                <w:color w:val="auto"/>
                <w:sz w:val="21"/>
                <w:szCs w:val="21"/>
                <w:lang w:val="en-US" w:eastAsia="zh-CN"/>
              </w:rPr>
              <w:t>2-3 生产</w:t>
            </w:r>
            <w:r>
              <w:rPr>
                <w:b/>
                <w:color w:val="auto"/>
                <w:sz w:val="21"/>
                <w:szCs w:val="21"/>
              </w:rPr>
              <w:t>工艺流程及产污节点图</w:t>
            </w:r>
          </w:p>
          <w:p w14:paraId="44AAF9A4">
            <w:pPr>
              <w:numPr>
                <w:ilvl w:val="0"/>
                <w:numId w:val="0"/>
              </w:numPr>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工艺流程简述：</w:t>
            </w:r>
          </w:p>
          <w:p w14:paraId="2B1E99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b/>
                <w:bCs/>
                <w:color w:val="auto"/>
                <w:kern w:val="0"/>
                <w:sz w:val="24"/>
                <w:szCs w:val="24"/>
                <w:lang w:val="en-US" w:eastAsia="zh-CN" w:bidi="ar"/>
              </w:rPr>
              <w:t>拆包</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宋体"/>
                <w:color w:val="auto"/>
                <w:sz w:val="24"/>
                <w:szCs w:val="24"/>
                <w:lang w:val="en-US" w:eastAsia="zh-CN"/>
              </w:rPr>
              <w:t>本项目外购椰壳多</w:t>
            </w:r>
            <w:r>
              <w:rPr>
                <w:rFonts w:hint="eastAsia" w:ascii="Times New Roman" w:hAnsi="Times New Roman" w:eastAsia="宋体" w:cs="宋体"/>
                <w:color w:val="000000"/>
                <w:sz w:val="24"/>
                <w:szCs w:val="24"/>
                <w:lang w:val="en-US" w:eastAsia="zh-CN"/>
              </w:rPr>
              <w:t>孔炭采用吨袋包装，入厂后利用自动拆包机进行拆包，拆包机由钢架、电动葫芦、提升组件、卸料组件、推揉组件等组成，工作原理：吨袋由电动葫芦吊起至料斗上方，袋口伸入料斗进料口内，然后关紧夹袋阀，解开扎袋绳索，缓慢打开夹袋阀，袋内的物料顺利流入料斗；物料经料斗落料到其下部的旋转阀，进入底部管道，压缩气将物料气力输送至除磁机料斗内。本项目外购多孔炭（</w:t>
            </w:r>
            <w:r>
              <w:rPr>
                <w:rFonts w:hint="eastAsia" w:cs="宋体"/>
                <w:color w:val="000000"/>
                <w:sz w:val="24"/>
                <w:szCs w:val="24"/>
                <w:lang w:val="en-US" w:eastAsia="zh-CN"/>
              </w:rPr>
              <w:t>40</w:t>
            </w:r>
            <w:r>
              <w:rPr>
                <w:rFonts w:hint="eastAsia" w:ascii="Times New Roman" w:hAnsi="Times New Roman" w:eastAsia="宋体" w:cs="宋体"/>
                <w:color w:val="000000"/>
                <w:sz w:val="24"/>
                <w:szCs w:val="24"/>
                <w:lang w:val="en-US" w:eastAsia="zh-CN"/>
              </w:rPr>
              <w:t>目，粒径0.</w:t>
            </w:r>
            <w:r>
              <w:rPr>
                <w:rFonts w:hint="eastAsia" w:cs="宋体"/>
                <w:color w:val="000000"/>
                <w:sz w:val="24"/>
                <w:szCs w:val="24"/>
                <w:lang w:val="en-US" w:eastAsia="zh-CN"/>
              </w:rPr>
              <w:t>42</w:t>
            </w:r>
            <w:r>
              <w:rPr>
                <w:rFonts w:hint="eastAsia" w:ascii="Times New Roman" w:hAnsi="Times New Roman" w:eastAsia="宋体" w:cs="宋体"/>
                <w:color w:val="000000"/>
                <w:sz w:val="24"/>
                <w:szCs w:val="24"/>
                <w:lang w:val="en-US" w:eastAsia="zh-CN"/>
              </w:rPr>
              <w:t>5mm）为颗粒状，仅含有少量粉状，且拆包机呼吸口处装有除尘滤芯，因此拆包过程仅有少量拆包废气排放</w:t>
            </w:r>
            <w:r>
              <w:rPr>
                <w:rFonts w:hint="default" w:ascii="Times New Roman" w:hAnsi="Times New Roman" w:eastAsia="宋体" w:cs="Times New Roman"/>
                <w:color w:val="auto"/>
                <w:kern w:val="0"/>
                <w:sz w:val="24"/>
                <w:szCs w:val="24"/>
                <w:highlight w:val="none"/>
                <w:lang w:val="en-US" w:eastAsia="zh-CN" w:bidi="ar"/>
              </w:rPr>
              <w:t>。</w:t>
            </w:r>
          </w:p>
          <w:p w14:paraId="237ADAA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eastAsia" w:cs="Times New Roman"/>
                <w:b/>
                <w:bCs/>
                <w:color w:val="auto"/>
                <w:kern w:val="0"/>
                <w:sz w:val="24"/>
                <w:szCs w:val="24"/>
                <w:lang w:val="en-US" w:eastAsia="zh-CN" w:bidi="ar"/>
              </w:rPr>
              <w:t>除磁</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宋体"/>
                <w:color w:val="000000"/>
                <w:sz w:val="24"/>
                <w:szCs w:val="24"/>
                <w:lang w:val="en-US" w:eastAsia="zh-CN"/>
              </w:rPr>
              <w:t>本项目每套活化系统配置2台除磁机，用于去除多孔炭中细小铁杂质，以保持产品的纯度。外购多孔炭采用气力输送至除磁机配套料斗内，随后落至磁棒上，实现</w:t>
            </w:r>
            <w:r>
              <w:rPr>
                <w:rFonts w:hint="eastAsia" w:ascii="Times New Roman" w:hAnsi="Times New Roman" w:eastAsia="宋体" w:cs="宋体"/>
                <w:color w:val="auto"/>
                <w:sz w:val="24"/>
                <w:szCs w:val="24"/>
                <w:lang w:val="en-US" w:eastAsia="zh-CN"/>
              </w:rPr>
              <w:t>铁杂质与多孔炭粒的分离。除磁过程产生少量废铁屑</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 </w:t>
            </w:r>
          </w:p>
          <w:p w14:paraId="4D17499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eastAsia" w:cs="Times New Roman"/>
                <w:b/>
                <w:bCs/>
                <w:color w:val="auto"/>
                <w:kern w:val="0"/>
                <w:sz w:val="24"/>
                <w:szCs w:val="24"/>
                <w:lang w:val="en-US" w:eastAsia="zh-CN" w:bidi="ar"/>
              </w:rPr>
              <w:t>气力输送</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宋体"/>
                <w:color w:val="auto"/>
                <w:sz w:val="24"/>
                <w:szCs w:val="24"/>
                <w:lang w:val="en-US" w:eastAsia="zh-CN"/>
              </w:rPr>
              <w:t>本项目部分工段间采用气力输送，输送过程产生粉尘，每套真空上料机设有1个排气阀，排气阀前设有除尘滤芯，因此，气力输送过程有少量气力输送粉尘排放。</w:t>
            </w:r>
          </w:p>
          <w:p w14:paraId="4AA363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val="0"/>
                <w:bCs w:val="0"/>
                <w:color w:val="auto"/>
                <w:kern w:val="0"/>
                <w:sz w:val="24"/>
                <w:szCs w:val="24"/>
                <w:lang w:val="en-US" w:eastAsia="zh-CN" w:bidi="ar"/>
              </w:rPr>
            </w:pPr>
            <w:r>
              <w:rPr>
                <w:rFonts w:hint="eastAsia" w:ascii="宋体" w:hAnsi="宋体" w:cs="宋体"/>
                <w:b/>
                <w:bCs/>
                <w:color w:val="auto"/>
                <w:kern w:val="0"/>
                <w:sz w:val="24"/>
                <w:szCs w:val="24"/>
                <w:lang w:val="en-US" w:eastAsia="zh-CN" w:bidi="ar"/>
              </w:rPr>
              <w:t>重力落料：</w:t>
            </w:r>
            <w:r>
              <w:rPr>
                <w:rFonts w:hint="eastAsia" w:ascii="Times New Roman" w:hAnsi="Times New Roman" w:eastAsia="宋体" w:cs="宋体"/>
                <w:color w:val="auto"/>
                <w:sz w:val="24"/>
                <w:szCs w:val="24"/>
                <w:lang w:val="en-US" w:eastAsia="zh-CN"/>
              </w:rPr>
              <w:t>本项目部分工段间物料输送采用重力落料方式，各料斗呼吸口处设有除尘滤芯，因此仅有少量落料废气产生</w:t>
            </w:r>
            <w:r>
              <w:rPr>
                <w:rFonts w:hint="eastAsia" w:ascii="宋体" w:hAnsi="宋体" w:eastAsia="宋体" w:cs="宋体"/>
                <w:color w:val="auto"/>
                <w:kern w:val="0"/>
                <w:sz w:val="24"/>
                <w:szCs w:val="24"/>
                <w:lang w:val="en-US" w:eastAsia="zh-CN" w:bidi="ar"/>
              </w:rPr>
              <w:t>。</w:t>
            </w:r>
          </w:p>
          <w:p w14:paraId="28CA1D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kern w:val="0"/>
                <w:sz w:val="24"/>
                <w:szCs w:val="24"/>
                <w:lang w:val="en-US" w:eastAsia="zh-CN" w:bidi="ar"/>
              </w:rPr>
            </w:pPr>
            <w:r>
              <w:rPr>
                <w:rFonts w:hint="eastAsia" w:cs="Times New Roman"/>
                <w:b/>
                <w:bCs/>
                <w:color w:val="auto"/>
                <w:kern w:val="0"/>
                <w:sz w:val="24"/>
                <w:szCs w:val="24"/>
                <w:lang w:val="en-US" w:eastAsia="zh-CN" w:bidi="ar"/>
              </w:rPr>
              <w:t>活化：</w:t>
            </w:r>
            <w:r>
              <w:rPr>
                <w:rFonts w:hint="eastAsia" w:ascii="Times New Roman" w:hAnsi="Times New Roman" w:eastAsia="宋体" w:cs="宋体"/>
                <w:color w:val="auto"/>
                <w:sz w:val="24"/>
                <w:szCs w:val="24"/>
                <w:lang w:val="en-US" w:eastAsia="zh-CN"/>
              </w:rPr>
              <w:t>除磁后的多孔炭重力落入活化炉入口料斗，随后通过螺杆输送至活化炉内。活化炉充入氮气（保护气）及水蒸气，排出空气后，通过电加热先升温至600℃</w:t>
            </w:r>
            <w:r>
              <w:rPr>
                <w:rFonts w:hint="eastAsia" w:cs="宋体"/>
                <w:color w:val="auto"/>
                <w:sz w:val="24"/>
                <w:szCs w:val="24"/>
                <w:lang w:val="en-US" w:eastAsia="zh-CN"/>
              </w:rPr>
              <w:t>，</w:t>
            </w:r>
            <w:r>
              <w:rPr>
                <w:rFonts w:hint="eastAsia" w:ascii="Times New Roman" w:hAnsi="Times New Roman" w:eastAsia="宋体" w:cs="宋体"/>
                <w:color w:val="auto"/>
                <w:sz w:val="24"/>
                <w:szCs w:val="24"/>
                <w:lang w:val="en-US" w:eastAsia="zh-CN"/>
              </w:rPr>
              <w:t>随后通入物料，使蒸汽侵蚀多孔炭表面，从而大大增加其比表面积（由原1000</w:t>
            </w:r>
            <w:r>
              <w:rPr>
                <w:rFonts w:hint="eastAsia" w:cs="宋体"/>
                <w:color w:val="auto"/>
                <w:sz w:val="24"/>
                <w:szCs w:val="24"/>
                <w:lang w:val="en-US" w:eastAsia="zh-CN"/>
              </w:rPr>
              <w:t>m</w:t>
            </w:r>
            <w:r>
              <w:rPr>
                <w:rFonts w:hint="eastAsia" w:cs="宋体"/>
                <w:color w:val="auto"/>
                <w:sz w:val="24"/>
                <w:szCs w:val="24"/>
                <w:vertAlign w:val="superscript"/>
                <w:lang w:val="en-US" w:eastAsia="zh-CN"/>
              </w:rPr>
              <w:t>2</w:t>
            </w:r>
            <w:r>
              <w:rPr>
                <w:rFonts w:hint="eastAsia" w:ascii="Times New Roman" w:hAnsi="Times New Roman" w:eastAsia="宋体" w:cs="宋体"/>
                <w:color w:val="auto"/>
                <w:sz w:val="24"/>
                <w:szCs w:val="24"/>
                <w:lang w:val="en-US" w:eastAsia="zh-CN"/>
              </w:rPr>
              <w:t>/g增加至1700</w:t>
            </w:r>
            <w:r>
              <w:rPr>
                <w:rFonts w:hint="eastAsia" w:cs="宋体"/>
                <w:color w:val="auto"/>
                <w:sz w:val="24"/>
                <w:szCs w:val="24"/>
                <w:lang w:val="en-US" w:eastAsia="zh-CN"/>
              </w:rPr>
              <w:t>m</w:t>
            </w:r>
            <w:r>
              <w:rPr>
                <w:rFonts w:hint="eastAsia" w:cs="宋体"/>
                <w:color w:val="auto"/>
                <w:sz w:val="24"/>
                <w:szCs w:val="24"/>
                <w:vertAlign w:val="superscript"/>
                <w:lang w:val="en-US" w:eastAsia="zh-CN"/>
              </w:rPr>
              <w:t>2</w:t>
            </w:r>
            <w:r>
              <w:rPr>
                <w:rFonts w:hint="eastAsia" w:ascii="Times New Roman" w:hAnsi="Times New Roman" w:eastAsia="宋体" w:cs="宋体"/>
                <w:color w:val="auto"/>
                <w:sz w:val="24"/>
                <w:szCs w:val="24"/>
                <w:lang w:val="en-US" w:eastAsia="zh-CN"/>
              </w:rPr>
              <w:t>/g左右）。活化过程发生的化学反应为：C+H</w:t>
            </w:r>
            <w:r>
              <w:rPr>
                <w:rFonts w:hint="eastAsia" w:ascii="Times New Roman" w:hAnsi="Times New Roman" w:eastAsia="宋体"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O=CO+H</w:t>
            </w:r>
            <w:r>
              <w:rPr>
                <w:rFonts w:hint="eastAsia" w:ascii="Times New Roman" w:hAnsi="Times New Roman" w:eastAsia="宋体"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，CO+H</w:t>
            </w:r>
            <w:r>
              <w:rPr>
                <w:rFonts w:hint="eastAsia" w:ascii="Times New Roman" w:hAnsi="Times New Roman" w:eastAsia="宋体"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O=C</w:t>
            </w:r>
            <w:r>
              <w:rPr>
                <w:rFonts w:hint="eastAsia" w:cs="宋体"/>
                <w:color w:val="auto"/>
                <w:sz w:val="24"/>
                <w:szCs w:val="24"/>
                <w:lang w:val="en-US" w:eastAsia="zh-CN"/>
              </w:rPr>
              <w:t>O</w:t>
            </w:r>
            <w:r>
              <w:rPr>
                <w:rFonts w:hint="eastAsia"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+H</w:t>
            </w:r>
            <w:r>
              <w:rPr>
                <w:rFonts w:hint="eastAsia" w:ascii="Times New Roman" w:hAnsi="Times New Roman" w:eastAsia="宋体"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，C</w:t>
            </w:r>
            <w:r>
              <w:rPr>
                <w:rFonts w:hint="eastAsia" w:cs="宋体"/>
                <w:color w:val="auto"/>
                <w:sz w:val="24"/>
                <w:szCs w:val="24"/>
                <w:lang w:val="en-US" w:eastAsia="zh-CN"/>
              </w:rPr>
              <w:t>O</w:t>
            </w:r>
            <w:r>
              <w:rPr>
                <w:rFonts w:hint="eastAsia" w:cs="宋体"/>
                <w:color w:val="auto"/>
                <w:sz w:val="24"/>
                <w:szCs w:val="24"/>
                <w:vertAlign w:val="subscript"/>
                <w:lang w:val="en-US" w:eastAsia="zh-CN"/>
              </w:rPr>
              <w:t>2</w:t>
            </w:r>
            <w:r>
              <w:rPr>
                <w:rFonts w:hint="eastAsia" w:ascii="Times New Roman" w:hAnsi="Times New Roman" w:eastAsia="宋体" w:cs="宋体"/>
                <w:color w:val="auto"/>
                <w:sz w:val="24"/>
                <w:szCs w:val="24"/>
                <w:lang w:val="en-US" w:eastAsia="zh-CN"/>
              </w:rPr>
              <w:t>+C=2CO，产生活化废气</w:t>
            </w:r>
            <w:r>
              <w:rPr>
                <w:rFonts w:hint="eastAsia" w:cs="Times New Roman"/>
                <w:b w:val="0"/>
                <w:bCs w:val="0"/>
                <w:color w:val="auto"/>
                <w:kern w:val="0"/>
                <w:sz w:val="24"/>
                <w:szCs w:val="24"/>
                <w:lang w:val="en-US" w:eastAsia="zh-CN" w:bidi="ar"/>
              </w:rPr>
              <w:t>。</w:t>
            </w:r>
          </w:p>
          <w:p w14:paraId="163B6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000000"/>
                <w:kern w:val="0"/>
                <w:sz w:val="24"/>
                <w:szCs w:val="24"/>
                <w:lang w:val="en-US" w:eastAsia="zh-CN" w:bidi="ar"/>
              </w:rPr>
            </w:pPr>
            <w:r>
              <w:rPr>
                <w:rFonts w:hint="eastAsia" w:cs="Times New Roman"/>
                <w:b/>
                <w:bCs/>
                <w:color w:val="000000"/>
                <w:kern w:val="0"/>
                <w:sz w:val="24"/>
                <w:szCs w:val="24"/>
                <w:lang w:val="en-US" w:eastAsia="zh-CN" w:bidi="ar"/>
              </w:rPr>
              <w:t>卸酸：</w:t>
            </w:r>
            <w:r>
              <w:rPr>
                <w:rFonts w:hint="eastAsia" w:ascii="Times New Roman" w:hAnsi="Times New Roman" w:eastAsia="宋体" w:cs="宋体"/>
                <w:color w:val="000000"/>
                <w:sz w:val="24"/>
                <w:szCs w:val="24"/>
                <w:lang w:val="en-US" w:eastAsia="zh-CN"/>
              </w:rPr>
              <w:t>本项目外购36%的盐酸，槽罐车运入后采用浸没式卸至盐酸储罐中，盐酸储罐设有1个呼吸阀，大、小呼吸产生的酸雾由呼吸阀排出，产生呼吸废气</w:t>
            </w:r>
            <w:r>
              <w:rPr>
                <w:rFonts w:hint="eastAsia" w:cs="Times New Roman"/>
                <w:b w:val="0"/>
                <w:bCs w:val="0"/>
                <w:color w:val="000000"/>
                <w:kern w:val="0"/>
                <w:sz w:val="24"/>
                <w:szCs w:val="24"/>
                <w:lang w:val="en-US" w:eastAsia="zh-CN" w:bidi="ar"/>
              </w:rPr>
              <w:t>。</w:t>
            </w:r>
          </w:p>
          <w:p w14:paraId="7DF967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000000"/>
                <w:kern w:val="0"/>
                <w:sz w:val="24"/>
                <w:szCs w:val="24"/>
                <w:lang w:val="en-US" w:eastAsia="zh-CN" w:bidi="ar"/>
              </w:rPr>
            </w:pPr>
            <w:r>
              <w:rPr>
                <w:rFonts w:hint="eastAsia" w:cs="Times New Roman"/>
                <w:b/>
                <w:bCs/>
                <w:color w:val="000000"/>
                <w:kern w:val="0"/>
                <w:sz w:val="24"/>
                <w:szCs w:val="24"/>
                <w:lang w:val="en-US" w:eastAsia="zh-CN" w:bidi="ar"/>
              </w:rPr>
              <w:t>配酸：</w:t>
            </w:r>
            <w:r>
              <w:rPr>
                <w:rFonts w:hint="eastAsia" w:ascii="Times New Roman" w:hAnsi="Times New Roman" w:eastAsia="宋体" w:cs="宋体"/>
                <w:color w:val="000000"/>
                <w:sz w:val="24"/>
                <w:szCs w:val="24"/>
                <w:lang w:val="en-US" w:eastAsia="zh-CN"/>
              </w:rPr>
              <w:t>项目</w:t>
            </w:r>
            <w:r>
              <w:rPr>
                <w:rFonts w:hint="eastAsia" w:cs="宋体"/>
                <w:color w:val="000000"/>
                <w:sz w:val="24"/>
                <w:szCs w:val="24"/>
                <w:lang w:val="en-US" w:eastAsia="zh-CN"/>
              </w:rPr>
              <w:t>酸洗前在洗滤罐进行</w:t>
            </w:r>
            <w:r>
              <w:rPr>
                <w:rFonts w:hint="eastAsia" w:ascii="Times New Roman" w:hAnsi="Times New Roman" w:eastAsia="宋体" w:cs="宋体"/>
                <w:color w:val="000000"/>
                <w:sz w:val="24"/>
                <w:szCs w:val="24"/>
                <w:lang w:val="en-US" w:eastAsia="zh-CN"/>
              </w:rPr>
              <w:t>不同浓度酸液的配制，配酸过程少量酸雾从呼吸口排出，产生配酸废气</w:t>
            </w:r>
            <w:r>
              <w:rPr>
                <w:rFonts w:hint="eastAsia" w:cs="Times New Roman"/>
                <w:b w:val="0"/>
                <w:bCs w:val="0"/>
                <w:color w:val="000000"/>
                <w:kern w:val="0"/>
                <w:sz w:val="24"/>
                <w:szCs w:val="24"/>
                <w:lang w:val="en-US" w:eastAsia="zh-CN" w:bidi="ar"/>
              </w:rPr>
              <w:t>。</w:t>
            </w:r>
          </w:p>
          <w:p w14:paraId="34632D3A">
            <w:pPr>
              <w:keepNext w:val="0"/>
              <w:keepLines w:val="0"/>
              <w:pageBreakBefore w:val="0"/>
              <w:widowControl w:val="0"/>
              <w:kinsoku/>
              <w:wordWrap/>
              <w:overflowPunct/>
              <w:topLinePunct w:val="0"/>
              <w:autoSpaceDE/>
              <w:autoSpaceDN/>
              <w:bidi w:val="0"/>
              <w:adjustRightInd/>
              <w:snapToGrid w:val="0"/>
              <w:spacing w:line="336" w:lineRule="auto"/>
              <w:ind w:firstLine="482" w:firstLineChars="200"/>
              <w:textAlignment w:val="auto"/>
              <w:rPr>
                <w:rFonts w:hint="eastAsia" w:ascii="Times New Roman" w:hAnsi="Times New Roman" w:eastAsia="宋体" w:cs="宋体"/>
                <w:color w:val="000000"/>
                <w:sz w:val="24"/>
                <w:szCs w:val="24"/>
                <w:lang w:val="en-US" w:eastAsia="zh-CN"/>
              </w:rPr>
            </w:pPr>
            <w:r>
              <w:rPr>
                <w:rFonts w:hint="eastAsia" w:cs="Times New Roman"/>
                <w:b/>
                <w:bCs/>
                <w:color w:val="000000"/>
                <w:kern w:val="0"/>
                <w:sz w:val="24"/>
                <w:szCs w:val="24"/>
                <w:lang w:val="en-US" w:eastAsia="zh-CN" w:bidi="ar"/>
              </w:rPr>
              <w:t>酸洗、水洗：</w:t>
            </w:r>
            <w:r>
              <w:rPr>
                <w:rFonts w:hint="eastAsia" w:ascii="Times New Roman" w:hAnsi="Times New Roman" w:eastAsia="宋体" w:cs="宋体"/>
                <w:color w:val="000000"/>
                <w:sz w:val="24"/>
                <w:szCs w:val="24"/>
                <w:lang w:val="en-US" w:eastAsia="zh-CN"/>
              </w:rPr>
              <w:t>项目酸洗、水洗均在洗滤罐内进行。洗滤罐为密闭式搅拌罐，洗滤罐底部设有过滤层，滤布孔径1000目，洗滤罐底部设有2个排水口，其中1号排水口位于过滤层上方，用于料液排放，随后进入离心工段；2号排水口位于过滤层下方，用于酸液、废水排放，洗滤罐结构详见下图：</w:t>
            </w:r>
          </w:p>
          <w:p w14:paraId="1FB1FDBF">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Times New Roman" w:hAnsi="Times New Roman" w:eastAsia="宋体" w:cs="宋体"/>
                <w:color w:val="000000"/>
                <w:sz w:val="24"/>
                <w:szCs w:val="24"/>
                <w:lang w:val="en-US" w:eastAsia="zh-CN"/>
              </w:rPr>
            </w:pPr>
            <w:r>
              <w:drawing>
                <wp:inline distT="0" distB="0" distL="114300" distR="114300">
                  <wp:extent cx="3352800" cy="21907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3352800" cy="2190750"/>
                          </a:xfrm>
                          <a:prstGeom prst="rect">
                            <a:avLst/>
                          </a:prstGeom>
                          <a:noFill/>
                          <a:ln>
                            <a:noFill/>
                          </a:ln>
                        </pic:spPr>
                      </pic:pic>
                    </a:graphicData>
                  </a:graphic>
                </wp:inline>
              </w:drawing>
            </w:r>
          </w:p>
          <w:p w14:paraId="23B89860">
            <w:pPr>
              <w:keepNext w:val="0"/>
              <w:keepLines w:val="0"/>
              <w:pageBreakBefore w:val="0"/>
              <w:widowControl w:val="0"/>
              <w:kinsoku/>
              <w:wordWrap/>
              <w:overflowPunct/>
              <w:topLinePunct w:val="0"/>
              <w:autoSpaceDE/>
              <w:autoSpaceDN/>
              <w:bidi w:val="0"/>
              <w:adjustRightInd/>
              <w:snapToGrid w:val="0"/>
              <w:spacing w:line="336" w:lineRule="auto"/>
              <w:ind w:firstLine="482" w:firstLineChars="200"/>
              <w:textAlignment w:val="auto"/>
              <w:rPr>
                <w:rFonts w:hint="eastAsia" w:ascii="Times New Roman" w:hAnsi="Times New Roman" w:eastAsia="宋体" w:cs="宋体"/>
                <w:color w:val="000000"/>
                <w:sz w:val="24"/>
                <w:szCs w:val="24"/>
                <w:lang w:val="en-US" w:eastAsia="zh-CN"/>
              </w:rPr>
            </w:pPr>
            <w:r>
              <w:rPr>
                <w:rFonts w:hint="eastAsia" w:ascii="Times New Roman" w:hAnsi="Times New Roman" w:eastAsia="宋体" w:cs="宋体"/>
                <w:b/>
                <w:bCs/>
                <w:color w:val="000000"/>
                <w:sz w:val="24"/>
                <w:szCs w:val="24"/>
                <w:lang w:val="en-US" w:eastAsia="zh-CN"/>
              </w:rPr>
              <w:t>（1）酸洗：</w:t>
            </w:r>
            <w:r>
              <w:rPr>
                <w:rFonts w:hint="eastAsia" w:ascii="Times New Roman" w:hAnsi="Times New Roman" w:eastAsia="宋体" w:cs="宋体"/>
                <w:color w:val="000000"/>
                <w:sz w:val="24"/>
                <w:szCs w:val="24"/>
                <w:lang w:val="en-US" w:eastAsia="zh-CN"/>
              </w:rPr>
              <w:t>根据产品要求，本项目设</w:t>
            </w:r>
            <w:r>
              <w:rPr>
                <w:rFonts w:hint="eastAsia" w:ascii="Times New Roman" w:hAnsi="Times New Roman" w:eastAsia="宋体" w:cs="宋体"/>
                <w:color w:val="auto"/>
                <w:sz w:val="24"/>
                <w:szCs w:val="24"/>
                <w:lang w:val="en-US" w:eastAsia="zh-CN"/>
              </w:rPr>
              <w:t>置2遍酸洗，第一遍酸液浓度约为1mol/L（质量浓度4%），第二遍酸洗酸液浓度约为0.5mol/L（质量浓度2%左右）。首先将中间仓内的多孔炭通过螺杆</w:t>
            </w:r>
            <w:r>
              <w:rPr>
                <w:rFonts w:hint="eastAsia" w:cs="宋体"/>
                <w:color w:val="auto"/>
                <w:sz w:val="24"/>
                <w:szCs w:val="24"/>
                <w:lang w:val="en-US" w:eastAsia="zh-CN"/>
              </w:rPr>
              <w:t>输送</w:t>
            </w:r>
            <w:r>
              <w:rPr>
                <w:rFonts w:hint="eastAsia" w:ascii="Times New Roman" w:hAnsi="Times New Roman" w:eastAsia="宋体" w:cs="宋体"/>
                <w:color w:val="auto"/>
                <w:sz w:val="24"/>
                <w:szCs w:val="24"/>
                <w:lang w:val="en-US" w:eastAsia="zh-CN"/>
              </w:rPr>
              <w:t>至洗滤罐中，随后酸液后泵入洗滤罐内，充分搅拌接触以去除其中的微量铁、钙等杂质</w:t>
            </w:r>
            <w:r>
              <w:rPr>
                <w:rFonts w:hint="eastAsia" w:cs="宋体"/>
                <w:color w:val="auto"/>
                <w:sz w:val="24"/>
                <w:szCs w:val="24"/>
                <w:lang w:val="en-US" w:eastAsia="zh-CN"/>
              </w:rPr>
              <w:t>，</w:t>
            </w:r>
            <w:r>
              <w:rPr>
                <w:rFonts w:hint="eastAsia" w:ascii="Times New Roman" w:hAnsi="Times New Roman" w:eastAsia="宋体" w:cs="宋体"/>
                <w:color w:val="auto"/>
                <w:sz w:val="24"/>
                <w:szCs w:val="24"/>
                <w:lang w:val="en-US" w:eastAsia="zh-CN"/>
              </w:rPr>
              <w:t>酸洗时间为8h。酸洗结束后，酸液通过微负压抽滤后经2号排水口排至中间罐内暂存，以备下次使用。酸洗过程1mol/L酸液循环</w:t>
            </w:r>
            <w:r>
              <w:rPr>
                <w:rFonts w:hint="eastAsia" w:ascii="Times New Roman" w:hAnsi="Times New Roman" w:eastAsia="宋体" w:cs="宋体"/>
                <w:color w:val="000000"/>
                <w:sz w:val="24"/>
                <w:szCs w:val="24"/>
                <w:lang w:val="en-US" w:eastAsia="zh-CN"/>
              </w:rPr>
              <w:t>使用，定期添加。酸洗过程产生酸性废水、酸洗废气。</w:t>
            </w:r>
          </w:p>
          <w:p w14:paraId="664335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000000"/>
                <w:kern w:val="0"/>
                <w:sz w:val="24"/>
                <w:szCs w:val="24"/>
                <w:lang w:val="en-US" w:eastAsia="zh-CN" w:bidi="ar"/>
              </w:rPr>
            </w:pPr>
            <w:r>
              <w:rPr>
                <w:rFonts w:hint="eastAsia" w:ascii="Times New Roman" w:hAnsi="Times New Roman" w:eastAsia="宋体" w:cs="宋体"/>
                <w:b/>
                <w:bCs/>
                <w:color w:val="000000"/>
                <w:sz w:val="24"/>
                <w:szCs w:val="24"/>
                <w:lang w:val="en-US" w:eastAsia="zh-CN"/>
              </w:rPr>
              <w:t>（2）水洗：</w:t>
            </w:r>
            <w:r>
              <w:rPr>
                <w:rFonts w:hint="eastAsia" w:ascii="Times New Roman" w:hAnsi="Times New Roman" w:eastAsia="宋体" w:cs="宋体"/>
                <w:color w:val="000000"/>
                <w:sz w:val="24"/>
                <w:szCs w:val="24"/>
                <w:lang w:val="en-US" w:eastAsia="zh-CN"/>
              </w:rPr>
              <w:t>酸洗结束后，向洗滤罐中加入纯水，再次搅拌混合，以洗掉多孔炭中残留酸液。每批料设置7次水洗，前6道水洗废水均通过2号排水口排放至中和罐进行中和，最后1道水洗后，料液通过1号排放口自流进入离心工段进行固液分离。水洗过程产生酸性废水。</w:t>
            </w:r>
          </w:p>
          <w:p w14:paraId="0250B2F3">
            <w:pPr>
              <w:keepNext w:val="0"/>
              <w:keepLines w:val="0"/>
              <w:pageBreakBefore w:val="0"/>
              <w:widowControl w:val="0"/>
              <w:kinsoku/>
              <w:wordWrap/>
              <w:overflowPunct/>
              <w:topLinePunct w:val="0"/>
              <w:autoSpaceDE/>
              <w:autoSpaceDN/>
              <w:bidi w:val="0"/>
              <w:adjustRightInd/>
              <w:snapToGrid w:val="0"/>
              <w:spacing w:line="336" w:lineRule="auto"/>
              <w:ind w:firstLine="482" w:firstLineChars="200"/>
              <w:textAlignment w:val="auto"/>
              <w:rPr>
                <w:rFonts w:hint="eastAsia" w:ascii="Times New Roman" w:hAnsi="Times New Roman" w:eastAsia="宋体" w:cs="宋体"/>
                <w:color w:val="000000"/>
                <w:sz w:val="24"/>
                <w:szCs w:val="24"/>
                <w:lang w:val="en-US" w:eastAsia="zh-CN"/>
              </w:rPr>
            </w:pPr>
            <w:r>
              <w:rPr>
                <w:rFonts w:hint="eastAsia" w:cs="Times New Roman"/>
                <w:b/>
                <w:bCs/>
                <w:color w:val="000000"/>
                <w:kern w:val="0"/>
                <w:sz w:val="24"/>
                <w:szCs w:val="24"/>
                <w:lang w:val="en-US" w:eastAsia="zh-CN" w:bidi="ar"/>
              </w:rPr>
              <w:t>离心：</w:t>
            </w:r>
            <w:r>
              <w:rPr>
                <w:rFonts w:hint="eastAsia" w:ascii="Times New Roman" w:hAnsi="Times New Roman" w:eastAsia="宋体" w:cs="宋体"/>
                <w:color w:val="000000"/>
                <w:sz w:val="24"/>
                <w:szCs w:val="24"/>
                <w:lang w:val="en-US" w:eastAsia="zh-CN"/>
              </w:rPr>
              <w:t>水洗后料液自流进入卧式离心机内，利用多孔炭与水的密度差，在离心力的作用下实现固液分离，离心机内壁为滤网，多孔炭被截留在离心机内部，废水透过滤网排出，进入中和罐中和处理，此过程产生酸性废水。</w:t>
            </w:r>
          </w:p>
          <w:p w14:paraId="612B71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bCs/>
                <w:color w:val="auto"/>
                <w:kern w:val="0"/>
                <w:sz w:val="24"/>
                <w:szCs w:val="24"/>
                <w:lang w:val="en-US" w:eastAsia="zh-CN" w:bidi="ar"/>
              </w:rPr>
            </w:pPr>
            <w:r>
              <w:rPr>
                <w:rFonts w:hint="eastAsia" w:ascii="Times New Roman" w:hAnsi="Times New Roman" w:eastAsia="宋体" w:cs="宋体"/>
                <w:color w:val="auto"/>
                <w:sz w:val="24"/>
                <w:szCs w:val="24"/>
                <w:lang w:val="en-US" w:eastAsia="zh-CN"/>
              </w:rPr>
              <w:t>本项目酸洗、水洗、离心过程产生酸性废水。</w:t>
            </w:r>
          </w:p>
          <w:p w14:paraId="4EC83B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干燥：</w:t>
            </w:r>
            <w:r>
              <w:rPr>
                <w:rFonts w:hint="eastAsia" w:ascii="Times New Roman" w:hAnsi="Times New Roman" w:eastAsia="宋体" w:cs="宋体"/>
                <w:color w:val="auto"/>
                <w:sz w:val="24"/>
                <w:szCs w:val="24"/>
                <w:lang w:val="en-US" w:eastAsia="zh-CN"/>
              </w:rPr>
              <w:t>随后将离心分离出来的多孔炭通过密闭传送带输送至干燥回转炉干燥处理，干燥机内部通过皮带输送，加热方式为电加热，加热温度约100℃</w:t>
            </w:r>
            <w:r>
              <w:rPr>
                <w:rFonts w:hint="eastAsia" w:cs="宋体"/>
                <w:color w:val="auto"/>
                <w:sz w:val="24"/>
                <w:szCs w:val="24"/>
                <w:lang w:val="en-US" w:eastAsia="zh-CN"/>
              </w:rPr>
              <w:t>，</w:t>
            </w:r>
            <w:r>
              <w:rPr>
                <w:rFonts w:hint="eastAsia" w:ascii="Times New Roman" w:hAnsi="Times New Roman" w:eastAsia="宋体" w:cs="宋体"/>
                <w:color w:val="auto"/>
                <w:sz w:val="24"/>
                <w:szCs w:val="24"/>
                <w:lang w:val="en-US" w:eastAsia="zh-CN"/>
              </w:rPr>
              <w:t>干燥后的物料气力输送进中间料仓。干燥产生</w:t>
            </w:r>
            <w:r>
              <w:rPr>
                <w:rFonts w:hint="eastAsia" w:cs="宋体"/>
                <w:color w:val="auto"/>
                <w:sz w:val="24"/>
                <w:szCs w:val="24"/>
                <w:lang w:val="en-US" w:eastAsia="zh-CN"/>
              </w:rPr>
              <w:t>干燥废气</w:t>
            </w:r>
            <w:r>
              <w:rPr>
                <w:rFonts w:hint="eastAsia" w:ascii="Times New Roman" w:hAnsi="Times New Roman" w:eastAsia="宋体" w:cs="宋体"/>
                <w:color w:val="auto"/>
                <w:sz w:val="24"/>
                <w:szCs w:val="24"/>
                <w:lang w:val="en-US" w:eastAsia="zh-CN"/>
              </w:rPr>
              <w:t>。</w:t>
            </w:r>
          </w:p>
          <w:p w14:paraId="5A456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纯化：</w:t>
            </w:r>
            <w:r>
              <w:rPr>
                <w:rFonts w:hint="eastAsia" w:ascii="Times New Roman" w:hAnsi="Times New Roman" w:eastAsia="宋体" w:cs="宋体"/>
                <w:color w:val="auto"/>
                <w:sz w:val="24"/>
                <w:szCs w:val="24"/>
                <w:lang w:val="en-US" w:eastAsia="zh-CN"/>
              </w:rPr>
              <w:t>将中间料仓的物料下料至辊道炉内，</w:t>
            </w:r>
            <w:r>
              <w:rPr>
                <w:rFonts w:hint="eastAsia" w:cs="宋体"/>
                <w:color w:val="auto"/>
                <w:sz w:val="24"/>
                <w:szCs w:val="24"/>
                <w:lang w:val="en-US" w:eastAsia="zh-CN"/>
              </w:rPr>
              <w:t>充入氮气无氧环境下</w:t>
            </w:r>
            <w:r>
              <w:rPr>
                <w:rFonts w:hint="eastAsia" w:ascii="Times New Roman" w:hAnsi="Times New Roman" w:eastAsia="宋体" w:cs="宋体"/>
                <w:color w:val="auto"/>
                <w:sz w:val="24"/>
                <w:szCs w:val="24"/>
                <w:lang w:val="en-US" w:eastAsia="zh-CN"/>
              </w:rPr>
              <w:t>电加热至600℃</w:t>
            </w:r>
            <w:r>
              <w:rPr>
                <w:rFonts w:hint="eastAsia" w:cs="宋体"/>
                <w:color w:val="auto"/>
                <w:sz w:val="24"/>
                <w:szCs w:val="24"/>
                <w:lang w:val="en-US" w:eastAsia="zh-CN"/>
              </w:rPr>
              <w:t>，</w:t>
            </w:r>
            <w:r>
              <w:rPr>
                <w:rFonts w:hint="eastAsia" w:ascii="Times New Roman" w:hAnsi="Times New Roman" w:eastAsia="宋体" w:cs="Times New Roman"/>
                <w:color w:val="000000"/>
                <w:kern w:val="0"/>
                <w:sz w:val="24"/>
                <w:szCs w:val="24"/>
                <w:lang w:val="en-US" w:eastAsia="zh-CN" w:bidi="ar"/>
              </w:rPr>
              <w:t>纯化工序无水蒸气通入，</w:t>
            </w:r>
            <w:r>
              <w:rPr>
                <w:rFonts w:hint="eastAsia" w:cs="Times New Roman"/>
                <w:color w:val="000000"/>
                <w:kern w:val="0"/>
                <w:sz w:val="24"/>
                <w:szCs w:val="24"/>
                <w:lang w:val="en-US" w:eastAsia="zh-CN" w:bidi="ar"/>
              </w:rPr>
              <w:t>物料在辊道炉内处于静止状态，因此基本无粉尘产生</w:t>
            </w:r>
            <w:r>
              <w:rPr>
                <w:rFonts w:hint="eastAsia" w:ascii="Times New Roman" w:hAnsi="Times New Roman" w:eastAsia="宋体" w:cs="宋体"/>
                <w:color w:val="auto"/>
                <w:sz w:val="24"/>
                <w:szCs w:val="24"/>
                <w:lang w:val="en-US" w:eastAsia="zh-CN"/>
              </w:rPr>
              <w:t>。</w:t>
            </w:r>
          </w:p>
          <w:p w14:paraId="7AB80E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kern w:val="0"/>
                <w:sz w:val="24"/>
                <w:szCs w:val="24"/>
                <w:lang w:val="en-US" w:eastAsia="zh-CN" w:bidi="ar"/>
              </w:rPr>
            </w:pPr>
            <w:r>
              <w:rPr>
                <w:rFonts w:hint="eastAsia" w:cs="Times New Roman"/>
                <w:b/>
                <w:bCs/>
                <w:color w:val="000000"/>
                <w:kern w:val="0"/>
                <w:sz w:val="24"/>
                <w:szCs w:val="24"/>
                <w:lang w:val="en-US" w:eastAsia="zh-CN" w:bidi="ar"/>
              </w:rPr>
              <w:t>粉碎筛分：</w:t>
            </w:r>
            <w:r>
              <w:rPr>
                <w:rFonts w:hint="eastAsia" w:ascii="Times New Roman" w:hAnsi="Times New Roman" w:eastAsia="宋体" w:cs="宋体"/>
                <w:color w:val="auto"/>
                <w:sz w:val="24"/>
                <w:szCs w:val="24"/>
                <w:lang w:val="en-US" w:eastAsia="zh-CN"/>
              </w:rPr>
              <w:t>辊道炉出来的物料通过气力输送至</w:t>
            </w:r>
            <w:r>
              <w:rPr>
                <w:rFonts w:hint="eastAsia" w:cs="宋体"/>
                <w:color w:val="auto"/>
                <w:sz w:val="24"/>
                <w:szCs w:val="24"/>
                <w:lang w:val="en-US" w:eastAsia="zh-CN"/>
              </w:rPr>
              <w:t>封闭式</w:t>
            </w:r>
            <w:r>
              <w:rPr>
                <w:rFonts w:hint="eastAsia" w:ascii="Times New Roman" w:hAnsi="Times New Roman" w:eastAsia="宋体" w:cs="宋体"/>
                <w:color w:val="auto"/>
                <w:sz w:val="24"/>
                <w:szCs w:val="24"/>
                <w:lang w:val="en-US" w:eastAsia="zh-CN"/>
              </w:rPr>
              <w:t>粉碎</w:t>
            </w:r>
            <w:r>
              <w:rPr>
                <w:rFonts w:hint="eastAsia" w:cs="宋体"/>
                <w:color w:val="auto"/>
                <w:sz w:val="24"/>
                <w:szCs w:val="24"/>
                <w:lang w:val="en-US" w:eastAsia="zh-CN"/>
              </w:rPr>
              <w:t>系统</w:t>
            </w:r>
            <w:r>
              <w:rPr>
                <w:rFonts w:hint="eastAsia" w:ascii="Times New Roman" w:hAnsi="Times New Roman" w:eastAsia="宋体" w:cs="宋体"/>
                <w:color w:val="auto"/>
                <w:sz w:val="24"/>
                <w:szCs w:val="24"/>
                <w:lang w:val="en-US" w:eastAsia="zh-CN"/>
              </w:rPr>
              <w:t>粉碎</w:t>
            </w:r>
            <w:r>
              <w:rPr>
                <w:rFonts w:hint="eastAsia" w:cs="宋体"/>
                <w:color w:val="auto"/>
                <w:sz w:val="24"/>
                <w:szCs w:val="24"/>
                <w:lang w:val="en-US" w:eastAsia="zh-CN"/>
              </w:rPr>
              <w:t>，</w:t>
            </w:r>
            <w:r>
              <w:rPr>
                <w:rFonts w:hint="eastAsia" w:ascii="Times New Roman" w:hAnsi="Times New Roman" w:eastAsia="宋体" w:cs="宋体"/>
                <w:color w:val="auto"/>
                <w:sz w:val="24"/>
                <w:szCs w:val="24"/>
                <w:lang w:val="en-US" w:eastAsia="zh-CN"/>
              </w:rPr>
              <w:t>粉碎机采用航天射流技术，通入氮气，通过物料间的高速碰撞实现粉碎，氮气循环使用。粉料通过重力落至超声波振动筛中进行筛分，筛上物</w:t>
            </w:r>
            <w:r>
              <w:rPr>
                <w:rFonts w:hint="eastAsia" w:ascii="Times New Roman" w:hAnsi="Times New Roman" w:eastAsia="宋体" w:cs="宋体"/>
                <w:color w:val="000000"/>
                <w:sz w:val="24"/>
                <w:szCs w:val="24"/>
                <w:lang w:val="en-US" w:eastAsia="zh-CN"/>
              </w:rPr>
              <w:t>料返回粉碎工序。粉碎机、振动筛密闭连接，在落料过程产生落料废气</w:t>
            </w:r>
            <w:r>
              <w:rPr>
                <w:rFonts w:hint="eastAsia" w:ascii="Times New Roman" w:hAnsi="Times New Roman" w:eastAsia="宋体" w:cs="宋体"/>
                <w:color w:val="auto"/>
                <w:sz w:val="24"/>
                <w:szCs w:val="24"/>
                <w:lang w:val="en-US" w:eastAsia="zh-CN"/>
              </w:rPr>
              <w:t>。</w:t>
            </w:r>
          </w:p>
          <w:p w14:paraId="139667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cs="Times New Roman"/>
                <w:b/>
                <w:bCs/>
                <w:color w:val="000000"/>
                <w:kern w:val="0"/>
                <w:sz w:val="24"/>
                <w:szCs w:val="24"/>
                <w:lang w:val="en-US" w:eastAsia="zh-CN" w:bidi="ar"/>
              </w:rPr>
              <w:t>包装入库</w:t>
            </w:r>
            <w:r>
              <w:rPr>
                <w:rFonts w:hint="default" w:ascii="Times New Roman" w:hAnsi="Times New Roman" w:cs="Times New Roman"/>
                <w:b/>
                <w:bCs/>
                <w:color w:val="000000"/>
                <w:kern w:val="0"/>
                <w:sz w:val="24"/>
                <w:szCs w:val="24"/>
                <w:lang w:val="en-US" w:eastAsia="zh-CN" w:bidi="ar"/>
              </w:rPr>
              <w:t>：</w:t>
            </w:r>
            <w:r>
              <w:rPr>
                <w:rFonts w:hint="eastAsia" w:ascii="Times New Roman" w:hAnsi="Times New Roman" w:eastAsia="宋体" w:cs="宋体"/>
                <w:color w:val="000000"/>
                <w:sz w:val="24"/>
                <w:szCs w:val="24"/>
                <w:lang w:val="en-US" w:eastAsia="zh-CN"/>
              </w:rPr>
              <w:t>筛下物料气力输送至真空包装机进行称重包装后即为成品，包装过程产生少量包装废气</w:t>
            </w:r>
            <w:r>
              <w:rPr>
                <w:rFonts w:hint="eastAsia" w:cs="Times New Roman"/>
                <w:b w:val="0"/>
                <w:bCs w:val="0"/>
                <w:color w:val="000000"/>
                <w:kern w:val="0"/>
                <w:sz w:val="24"/>
                <w:szCs w:val="24"/>
                <w:lang w:val="en-US" w:eastAsia="zh-CN" w:bidi="ar"/>
              </w:rPr>
              <w:t>。</w:t>
            </w:r>
          </w:p>
          <w:p w14:paraId="25480CD6">
            <w:pPr>
              <w:spacing w:line="360" w:lineRule="auto"/>
              <w:rPr>
                <w:b/>
                <w:color w:val="auto"/>
                <w:sz w:val="24"/>
                <w:szCs w:val="24"/>
              </w:rPr>
            </w:pPr>
            <w:r>
              <w:rPr>
                <w:b/>
                <w:color w:val="auto"/>
                <w:sz w:val="24"/>
                <w:szCs w:val="24"/>
              </w:rPr>
              <w:t>产污环节：</w:t>
            </w:r>
          </w:p>
          <w:p w14:paraId="483B8FAD">
            <w:pPr>
              <w:spacing w:line="360" w:lineRule="auto"/>
              <w:ind w:firstLine="480" w:firstLineChars="200"/>
              <w:rPr>
                <w:color w:val="auto"/>
                <w:sz w:val="24"/>
                <w:szCs w:val="24"/>
              </w:rPr>
            </w:pPr>
            <w:r>
              <w:rPr>
                <w:color w:val="auto"/>
                <w:sz w:val="24"/>
                <w:szCs w:val="24"/>
              </w:rPr>
              <w:t>项目主要产污环节及污染物见下表：</w:t>
            </w:r>
          </w:p>
          <w:p w14:paraId="4F990685">
            <w:pPr>
              <w:spacing w:line="240" w:lineRule="auto"/>
              <w:ind w:firstLine="422" w:firstLineChars="200"/>
              <w:jc w:val="center"/>
              <w:rPr>
                <w:b/>
                <w:color w:val="auto"/>
                <w:sz w:val="21"/>
                <w:szCs w:val="21"/>
              </w:rPr>
            </w:pPr>
            <w:r>
              <w:rPr>
                <w:b/>
                <w:color w:val="auto"/>
                <w:sz w:val="21"/>
                <w:szCs w:val="21"/>
              </w:rPr>
              <w:t>表</w:t>
            </w:r>
            <w:r>
              <w:rPr>
                <w:rFonts w:hint="eastAsia"/>
                <w:b/>
                <w:color w:val="auto"/>
                <w:sz w:val="21"/>
                <w:szCs w:val="21"/>
              </w:rPr>
              <w:t>2</w:t>
            </w:r>
            <w:r>
              <w:rPr>
                <w:b/>
                <w:color w:val="auto"/>
                <w:sz w:val="21"/>
                <w:szCs w:val="21"/>
              </w:rPr>
              <w:t>-</w:t>
            </w:r>
            <w:r>
              <w:rPr>
                <w:rFonts w:hint="eastAsia"/>
                <w:b/>
                <w:color w:val="auto"/>
                <w:sz w:val="21"/>
                <w:szCs w:val="21"/>
                <w:lang w:val="en-US" w:eastAsia="zh-CN"/>
              </w:rPr>
              <w:t xml:space="preserve">9 </w:t>
            </w:r>
            <w:r>
              <w:rPr>
                <w:b/>
                <w:color w:val="auto"/>
                <w:sz w:val="21"/>
                <w:szCs w:val="21"/>
              </w:rPr>
              <w:t>主要产污环节及污染物一览表</w:t>
            </w:r>
          </w:p>
          <w:tbl>
            <w:tblPr>
              <w:tblStyle w:val="25"/>
              <w:tblW w:w="5003"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1738"/>
              <w:gridCol w:w="1457"/>
              <w:gridCol w:w="2053"/>
              <w:gridCol w:w="3006"/>
            </w:tblGrid>
            <w:tr w14:paraId="1BCFDF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tcBorders>
                    <w:tl2br w:val="nil"/>
                    <w:tr2bl w:val="nil"/>
                  </w:tcBorders>
                  <w:noWrap w:val="0"/>
                  <w:vAlign w:val="center"/>
                </w:tcPr>
                <w:p w14:paraId="21507DF0">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类别</w:t>
                  </w:r>
                </w:p>
              </w:tc>
              <w:tc>
                <w:tcPr>
                  <w:tcW w:w="978" w:type="pct"/>
                  <w:tcBorders>
                    <w:tl2br w:val="nil"/>
                    <w:tr2bl w:val="nil"/>
                  </w:tcBorders>
                  <w:noWrap w:val="0"/>
                  <w:vAlign w:val="center"/>
                </w:tcPr>
                <w:p w14:paraId="5807CFC8">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污染</w:t>
                  </w:r>
                  <w:r>
                    <w:rPr>
                      <w:rFonts w:hint="default" w:ascii="Times New Roman" w:hAnsi="Times New Roman" w:eastAsia="宋体" w:cs="Times New Roman"/>
                      <w:b w:val="0"/>
                      <w:bCs w:val="0"/>
                      <w:color w:val="auto"/>
                      <w:spacing w:val="0"/>
                      <w:kern w:val="2"/>
                      <w:position w:val="0"/>
                      <w:sz w:val="21"/>
                      <w:szCs w:val="21"/>
                      <w:lang w:val="en-US" w:eastAsia="zh-CN"/>
                    </w:rPr>
                    <w:t>来源</w:t>
                  </w:r>
                </w:p>
              </w:tc>
              <w:tc>
                <w:tcPr>
                  <w:tcW w:w="819" w:type="pct"/>
                  <w:tcBorders>
                    <w:right w:val="single" w:color="auto" w:sz="4" w:space="0"/>
                    <w:tl2br w:val="nil"/>
                    <w:tr2bl w:val="nil"/>
                  </w:tcBorders>
                  <w:noWrap w:val="0"/>
                  <w:vAlign w:val="center"/>
                </w:tcPr>
                <w:p w14:paraId="2F69452D">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污染物种类</w:t>
                  </w:r>
                </w:p>
              </w:tc>
              <w:tc>
                <w:tcPr>
                  <w:tcW w:w="1155" w:type="pct"/>
                  <w:tcBorders>
                    <w:left w:val="single" w:color="auto" w:sz="4" w:space="0"/>
                    <w:right w:val="single" w:color="auto" w:sz="4" w:space="0"/>
                    <w:tl2br w:val="nil"/>
                    <w:tr2bl w:val="nil"/>
                  </w:tcBorders>
                  <w:noWrap w:val="0"/>
                  <w:vAlign w:val="center"/>
                </w:tcPr>
                <w:p w14:paraId="10AD297A">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污染因子</w:t>
                  </w:r>
                </w:p>
              </w:tc>
              <w:tc>
                <w:tcPr>
                  <w:tcW w:w="1691" w:type="pct"/>
                  <w:tcBorders>
                    <w:left w:val="single" w:color="auto" w:sz="4" w:space="0"/>
                    <w:tl2br w:val="nil"/>
                    <w:tr2bl w:val="nil"/>
                  </w:tcBorders>
                  <w:noWrap w:val="0"/>
                  <w:vAlign w:val="center"/>
                </w:tcPr>
                <w:p w14:paraId="43074781">
                  <w:pPr>
                    <w:pStyle w:val="31"/>
                    <w:spacing w:line="240" w:lineRule="auto"/>
                    <w:jc w:val="center"/>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治理/处置措施</w:t>
                  </w:r>
                </w:p>
              </w:tc>
            </w:tr>
            <w:tr w14:paraId="01AE09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restart"/>
                  <w:tcBorders>
                    <w:tl2br w:val="nil"/>
                    <w:tr2bl w:val="nil"/>
                  </w:tcBorders>
                  <w:noWrap w:val="0"/>
                  <w:vAlign w:val="center"/>
                </w:tcPr>
                <w:p w14:paraId="58602680">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废水</w:t>
                  </w:r>
                </w:p>
              </w:tc>
              <w:tc>
                <w:tcPr>
                  <w:tcW w:w="978" w:type="pct"/>
                  <w:tcBorders>
                    <w:tl2br w:val="nil"/>
                    <w:tr2bl w:val="nil"/>
                  </w:tcBorders>
                  <w:noWrap w:val="0"/>
                  <w:vAlign w:val="center"/>
                </w:tcPr>
                <w:p w14:paraId="5FE86EED">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生活污水</w:t>
                  </w:r>
                </w:p>
              </w:tc>
              <w:tc>
                <w:tcPr>
                  <w:tcW w:w="819" w:type="pct"/>
                  <w:tcBorders>
                    <w:bottom w:val="single" w:color="auto" w:sz="4" w:space="0"/>
                    <w:right w:val="single" w:color="auto" w:sz="4" w:space="0"/>
                    <w:tl2br w:val="nil"/>
                    <w:tr2bl w:val="nil"/>
                  </w:tcBorders>
                  <w:noWrap w:val="0"/>
                  <w:vAlign w:val="center"/>
                </w:tcPr>
                <w:p w14:paraId="10AAEAEC">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生活污水</w:t>
                  </w:r>
                </w:p>
              </w:tc>
              <w:tc>
                <w:tcPr>
                  <w:tcW w:w="1155" w:type="pct"/>
                  <w:tcBorders>
                    <w:left w:val="single" w:color="auto" w:sz="4" w:space="0"/>
                    <w:bottom w:val="single" w:color="auto" w:sz="4" w:space="0"/>
                    <w:right w:val="single" w:color="auto" w:sz="4" w:space="0"/>
                    <w:tl2br w:val="nil"/>
                    <w:tr2bl w:val="nil"/>
                  </w:tcBorders>
                  <w:noWrap w:val="0"/>
                  <w:vAlign w:val="center"/>
                </w:tcPr>
                <w:p w14:paraId="12D6E4ED">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COD、BOD</w:t>
                  </w:r>
                  <w:r>
                    <w:rPr>
                      <w:rFonts w:hint="default" w:ascii="Times New Roman" w:hAnsi="Times New Roman" w:eastAsia="宋体" w:cs="Times New Roman"/>
                      <w:b w:val="0"/>
                      <w:bCs w:val="0"/>
                      <w:color w:val="auto"/>
                      <w:spacing w:val="0"/>
                      <w:kern w:val="2"/>
                      <w:position w:val="0"/>
                      <w:sz w:val="21"/>
                      <w:szCs w:val="21"/>
                      <w:vertAlign w:val="subscript"/>
                      <w:lang w:val="en-US" w:eastAsia="zh-CN"/>
                    </w:rPr>
                    <w:t>5</w:t>
                  </w:r>
                  <w:r>
                    <w:rPr>
                      <w:rFonts w:hint="default" w:ascii="Times New Roman" w:hAnsi="Times New Roman" w:eastAsia="宋体" w:cs="Times New Roman"/>
                      <w:b w:val="0"/>
                      <w:bCs w:val="0"/>
                      <w:color w:val="auto"/>
                      <w:spacing w:val="0"/>
                      <w:kern w:val="2"/>
                      <w:position w:val="0"/>
                      <w:sz w:val="21"/>
                      <w:szCs w:val="21"/>
                      <w:lang w:val="en-US" w:eastAsia="zh-CN"/>
                    </w:rPr>
                    <w:t>、SS、NH</w:t>
                  </w:r>
                  <w:r>
                    <w:rPr>
                      <w:rFonts w:hint="default" w:ascii="Times New Roman" w:hAnsi="Times New Roman" w:eastAsia="宋体" w:cs="Times New Roman"/>
                      <w:b w:val="0"/>
                      <w:bCs w:val="0"/>
                      <w:color w:val="auto"/>
                      <w:spacing w:val="0"/>
                      <w:kern w:val="2"/>
                      <w:position w:val="0"/>
                      <w:sz w:val="21"/>
                      <w:szCs w:val="21"/>
                      <w:vertAlign w:val="subscript"/>
                      <w:lang w:val="en-US" w:eastAsia="zh-CN"/>
                    </w:rPr>
                    <w:t>3</w:t>
                  </w:r>
                  <w:r>
                    <w:rPr>
                      <w:rFonts w:hint="default" w:ascii="Times New Roman" w:hAnsi="Times New Roman" w:eastAsia="宋体" w:cs="Times New Roman"/>
                      <w:b w:val="0"/>
                      <w:bCs w:val="0"/>
                      <w:color w:val="auto"/>
                      <w:spacing w:val="0"/>
                      <w:kern w:val="2"/>
                      <w:position w:val="0"/>
                      <w:sz w:val="21"/>
                      <w:szCs w:val="21"/>
                      <w:lang w:val="en-US" w:eastAsia="zh-CN"/>
                    </w:rPr>
                    <w:t>-N、</w:t>
                  </w:r>
                  <w:r>
                    <w:rPr>
                      <w:rFonts w:hint="eastAsia" w:ascii="Times New Roman" w:cs="Times New Roman"/>
                      <w:b w:val="0"/>
                      <w:bCs w:val="0"/>
                      <w:color w:val="auto"/>
                      <w:spacing w:val="0"/>
                      <w:kern w:val="2"/>
                      <w:position w:val="0"/>
                      <w:sz w:val="21"/>
                      <w:szCs w:val="21"/>
                      <w:lang w:val="en-US" w:eastAsia="zh-CN"/>
                    </w:rPr>
                    <w:t>动植物油</w:t>
                  </w:r>
                </w:p>
              </w:tc>
              <w:tc>
                <w:tcPr>
                  <w:tcW w:w="1691" w:type="pct"/>
                  <w:vMerge w:val="restart"/>
                  <w:tcBorders>
                    <w:left w:val="single" w:color="auto" w:sz="4" w:space="0"/>
                    <w:tl2br w:val="nil"/>
                    <w:tr2bl w:val="nil"/>
                  </w:tcBorders>
                  <w:noWrap w:val="0"/>
                  <w:vAlign w:val="center"/>
                </w:tcPr>
                <w:p w14:paraId="4FA84D84">
                  <w:pPr>
                    <w:pStyle w:val="31"/>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b w:val="0"/>
                      <w:bCs/>
                      <w:color w:val="auto"/>
                      <w:sz w:val="21"/>
                      <w:szCs w:val="21"/>
                    </w:rPr>
                    <w:t>项目生活污水经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b w:val="0"/>
                      <w:bCs/>
                      <w:color w:val="auto"/>
                      <w:sz w:val="21"/>
                      <w:szCs w:val="21"/>
                      <w:lang w:eastAsia="zh-CN"/>
                    </w:rPr>
                    <w:t>预处理，酸性废水和喷淋废水采用液碱在中和罐进行中和至中性后进入调节池，与纯水制备浓水、反冲洗废水、循环冷却排水、生活污水、初期雨水一同排入园区污水管网，进入固镇经济开发区污水处理厂处理达标后排入北淝河下段。</w:t>
                  </w:r>
                </w:p>
              </w:tc>
            </w:tr>
            <w:tr w14:paraId="58EF0F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7AF7BEA4">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restart"/>
                  <w:tcBorders>
                    <w:tl2br w:val="nil"/>
                    <w:tr2bl w:val="nil"/>
                  </w:tcBorders>
                  <w:noWrap w:val="0"/>
                  <w:vAlign w:val="center"/>
                </w:tcPr>
                <w:p w14:paraId="27C55251">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生产废水</w:t>
                  </w:r>
                </w:p>
              </w:tc>
              <w:tc>
                <w:tcPr>
                  <w:tcW w:w="819" w:type="pct"/>
                  <w:tcBorders>
                    <w:top w:val="single" w:color="auto" w:sz="4" w:space="0"/>
                    <w:right w:val="single" w:color="auto" w:sz="4" w:space="0"/>
                    <w:tl2br w:val="nil"/>
                    <w:tr2bl w:val="nil"/>
                  </w:tcBorders>
                  <w:noWrap w:val="0"/>
                  <w:vAlign w:val="center"/>
                </w:tcPr>
                <w:p w14:paraId="70DACE84">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纯水制备浓水</w:t>
                  </w:r>
                </w:p>
              </w:tc>
              <w:tc>
                <w:tcPr>
                  <w:tcW w:w="1155" w:type="pct"/>
                  <w:tcBorders>
                    <w:top w:val="single" w:color="auto" w:sz="4" w:space="0"/>
                    <w:left w:val="single" w:color="auto" w:sz="4" w:space="0"/>
                    <w:right w:val="single" w:color="auto" w:sz="4" w:space="0"/>
                    <w:tl2br w:val="nil"/>
                    <w:tr2bl w:val="nil"/>
                  </w:tcBorders>
                  <w:noWrap w:val="0"/>
                  <w:vAlign w:val="center"/>
                </w:tcPr>
                <w:p w14:paraId="70716BEC">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691" w:type="pct"/>
                  <w:vMerge w:val="continue"/>
                  <w:tcBorders>
                    <w:left w:val="single" w:color="auto" w:sz="4" w:space="0"/>
                    <w:tl2br w:val="nil"/>
                    <w:tr2bl w:val="nil"/>
                  </w:tcBorders>
                  <w:noWrap w:val="0"/>
                  <w:vAlign w:val="center"/>
                </w:tcPr>
                <w:p w14:paraId="3E1DB35E">
                  <w:pPr>
                    <w:pStyle w:val="31"/>
                    <w:spacing w:line="240" w:lineRule="auto"/>
                    <w:jc w:val="center"/>
                    <w:rPr>
                      <w:rFonts w:hint="default" w:ascii="Times New Roman" w:hAnsi="Times New Roman" w:eastAsia="宋体" w:cs="Times New Roman"/>
                      <w:b w:val="0"/>
                      <w:bCs w:val="0"/>
                      <w:color w:val="auto"/>
                      <w:spacing w:val="0"/>
                      <w:kern w:val="2"/>
                      <w:position w:val="0"/>
                      <w:sz w:val="21"/>
                      <w:szCs w:val="21"/>
                      <w:lang w:val="en-US" w:eastAsia="zh-CN"/>
                    </w:rPr>
                  </w:pPr>
                </w:p>
              </w:tc>
            </w:tr>
            <w:tr w14:paraId="6E82FD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40825A35">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continue"/>
                  <w:tcBorders>
                    <w:tl2br w:val="nil"/>
                    <w:tr2bl w:val="nil"/>
                  </w:tcBorders>
                  <w:noWrap w:val="0"/>
                  <w:vAlign w:val="center"/>
                </w:tcPr>
                <w:p w14:paraId="4693734E">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val="0"/>
                      <w:color w:val="auto"/>
                      <w:spacing w:val="0"/>
                      <w:kern w:val="2"/>
                      <w:position w:val="0"/>
                      <w:sz w:val="21"/>
                      <w:szCs w:val="21"/>
                      <w:lang w:val="en-US" w:eastAsia="zh-CN"/>
                    </w:rPr>
                  </w:pPr>
                </w:p>
              </w:tc>
              <w:tc>
                <w:tcPr>
                  <w:tcW w:w="819" w:type="pct"/>
                  <w:tcBorders>
                    <w:top w:val="single" w:color="auto" w:sz="4" w:space="0"/>
                    <w:right w:val="single" w:color="auto" w:sz="4" w:space="0"/>
                    <w:tl2br w:val="nil"/>
                    <w:tr2bl w:val="nil"/>
                  </w:tcBorders>
                  <w:noWrap w:val="0"/>
                  <w:vAlign w:val="center"/>
                </w:tcPr>
                <w:p w14:paraId="71C0A4DF">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val="0"/>
                      <w:color w:val="auto"/>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反冲洗废水</w:t>
                  </w:r>
                </w:p>
              </w:tc>
              <w:tc>
                <w:tcPr>
                  <w:tcW w:w="1155" w:type="pct"/>
                  <w:tcBorders>
                    <w:top w:val="single" w:color="auto" w:sz="4" w:space="0"/>
                    <w:left w:val="single" w:color="auto" w:sz="4" w:space="0"/>
                    <w:right w:val="single" w:color="auto" w:sz="4" w:space="0"/>
                    <w:tl2br w:val="nil"/>
                    <w:tr2bl w:val="nil"/>
                  </w:tcBorders>
                  <w:noWrap w:val="0"/>
                  <w:vAlign w:val="center"/>
                </w:tcPr>
                <w:p w14:paraId="623340E2">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691" w:type="pct"/>
                  <w:vMerge w:val="continue"/>
                  <w:tcBorders>
                    <w:left w:val="single" w:color="auto" w:sz="4" w:space="0"/>
                    <w:tl2br w:val="nil"/>
                    <w:tr2bl w:val="nil"/>
                  </w:tcBorders>
                  <w:noWrap w:val="0"/>
                  <w:vAlign w:val="center"/>
                </w:tcPr>
                <w:p w14:paraId="1E79BE60">
                  <w:pPr>
                    <w:pStyle w:val="31"/>
                    <w:spacing w:line="240" w:lineRule="auto"/>
                    <w:jc w:val="center"/>
                    <w:rPr>
                      <w:rFonts w:hint="default" w:ascii="Times New Roman" w:hAnsi="Times New Roman" w:eastAsia="宋体" w:cs="Times New Roman"/>
                      <w:b w:val="0"/>
                      <w:bCs w:val="0"/>
                      <w:color w:val="auto"/>
                      <w:spacing w:val="0"/>
                      <w:kern w:val="2"/>
                      <w:position w:val="0"/>
                      <w:sz w:val="21"/>
                      <w:szCs w:val="21"/>
                      <w:lang w:val="en-US" w:eastAsia="zh-CN"/>
                    </w:rPr>
                  </w:pPr>
                </w:p>
              </w:tc>
            </w:tr>
            <w:tr w14:paraId="31DDA7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44122849">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continue"/>
                  <w:tcBorders>
                    <w:tl2br w:val="nil"/>
                    <w:tr2bl w:val="nil"/>
                  </w:tcBorders>
                  <w:noWrap w:val="0"/>
                  <w:vAlign w:val="center"/>
                </w:tcPr>
                <w:p w14:paraId="39186D7B">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val="0"/>
                      <w:color w:val="auto"/>
                      <w:spacing w:val="0"/>
                      <w:kern w:val="2"/>
                      <w:position w:val="0"/>
                      <w:sz w:val="21"/>
                      <w:szCs w:val="21"/>
                      <w:lang w:val="en-US" w:eastAsia="zh-CN"/>
                    </w:rPr>
                  </w:pPr>
                </w:p>
              </w:tc>
              <w:tc>
                <w:tcPr>
                  <w:tcW w:w="819" w:type="pct"/>
                  <w:tcBorders>
                    <w:top w:val="single" w:color="auto" w:sz="4" w:space="0"/>
                    <w:right w:val="single" w:color="auto" w:sz="4" w:space="0"/>
                    <w:tl2br w:val="nil"/>
                    <w:tr2bl w:val="nil"/>
                  </w:tcBorders>
                  <w:noWrap w:val="0"/>
                  <w:vAlign w:val="center"/>
                </w:tcPr>
                <w:p w14:paraId="7AB3E562">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cs="Times New Roman"/>
                      <w:b w:val="0"/>
                      <w:bCs w:val="0"/>
                      <w:color w:val="auto"/>
                      <w:spacing w:val="0"/>
                      <w:kern w:val="2"/>
                      <w:position w:val="0"/>
                      <w:sz w:val="21"/>
                      <w:szCs w:val="21"/>
                      <w:lang w:val="en-US" w:eastAsia="zh-CN"/>
                    </w:rPr>
                  </w:pPr>
                  <w:r>
                    <w:rPr>
                      <w:rFonts w:hint="eastAsia" w:ascii="Times New Roman" w:cs="Times New Roman"/>
                      <w:b w:val="0"/>
                      <w:bCs/>
                      <w:color w:val="auto"/>
                      <w:spacing w:val="0"/>
                      <w:kern w:val="2"/>
                      <w:position w:val="0"/>
                      <w:sz w:val="21"/>
                      <w:szCs w:val="21"/>
                      <w:lang w:val="en-US" w:eastAsia="zh-CN"/>
                    </w:rPr>
                    <w:t>循环冷却排水</w:t>
                  </w:r>
                </w:p>
              </w:tc>
              <w:tc>
                <w:tcPr>
                  <w:tcW w:w="1155" w:type="pct"/>
                  <w:tcBorders>
                    <w:top w:val="single" w:color="auto" w:sz="4" w:space="0"/>
                    <w:left w:val="single" w:color="auto" w:sz="4" w:space="0"/>
                    <w:right w:val="single" w:color="auto" w:sz="4" w:space="0"/>
                    <w:tl2br w:val="nil"/>
                    <w:tr2bl w:val="nil"/>
                  </w:tcBorders>
                  <w:noWrap w:val="0"/>
                  <w:vAlign w:val="center"/>
                </w:tcPr>
                <w:p w14:paraId="4943E943">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691" w:type="pct"/>
                  <w:vMerge w:val="continue"/>
                  <w:tcBorders>
                    <w:left w:val="single" w:color="auto" w:sz="4" w:space="0"/>
                    <w:tl2br w:val="nil"/>
                    <w:tr2bl w:val="nil"/>
                  </w:tcBorders>
                  <w:noWrap w:val="0"/>
                  <w:vAlign w:val="center"/>
                </w:tcPr>
                <w:p w14:paraId="04FAF64B">
                  <w:pPr>
                    <w:pStyle w:val="31"/>
                    <w:spacing w:line="240" w:lineRule="auto"/>
                    <w:jc w:val="center"/>
                    <w:rPr>
                      <w:rFonts w:hint="default" w:ascii="Times New Roman" w:hAnsi="Times New Roman" w:eastAsia="宋体" w:cs="Times New Roman"/>
                      <w:b w:val="0"/>
                      <w:bCs w:val="0"/>
                      <w:color w:val="auto"/>
                      <w:spacing w:val="0"/>
                      <w:kern w:val="2"/>
                      <w:position w:val="0"/>
                      <w:sz w:val="21"/>
                      <w:szCs w:val="21"/>
                      <w:lang w:val="en-US" w:eastAsia="zh-CN"/>
                    </w:rPr>
                  </w:pPr>
                </w:p>
              </w:tc>
            </w:tr>
            <w:tr w14:paraId="1FC15C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555AAF66">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continue"/>
                  <w:tcBorders>
                    <w:tl2br w:val="nil"/>
                    <w:tr2bl w:val="nil"/>
                  </w:tcBorders>
                  <w:noWrap w:val="0"/>
                  <w:vAlign w:val="center"/>
                </w:tcPr>
                <w:p w14:paraId="79225B98">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val="0"/>
                      <w:color w:val="auto"/>
                      <w:spacing w:val="0"/>
                      <w:kern w:val="2"/>
                      <w:position w:val="0"/>
                      <w:sz w:val="21"/>
                      <w:szCs w:val="21"/>
                      <w:lang w:val="en-US" w:eastAsia="zh-CN"/>
                    </w:rPr>
                  </w:pPr>
                </w:p>
              </w:tc>
              <w:tc>
                <w:tcPr>
                  <w:tcW w:w="819" w:type="pct"/>
                  <w:tcBorders>
                    <w:top w:val="single" w:color="auto" w:sz="4" w:space="0"/>
                    <w:right w:val="single" w:color="auto" w:sz="4" w:space="0"/>
                    <w:tl2br w:val="nil"/>
                    <w:tr2bl w:val="nil"/>
                  </w:tcBorders>
                  <w:noWrap w:val="0"/>
                  <w:vAlign w:val="center"/>
                </w:tcPr>
                <w:p w14:paraId="121BF81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cs="Times New Roman"/>
                      <w:b w:val="0"/>
                      <w:bCs w:val="0"/>
                      <w:color w:val="auto"/>
                      <w:spacing w:val="0"/>
                      <w:kern w:val="2"/>
                      <w:position w:val="0"/>
                      <w:sz w:val="21"/>
                      <w:szCs w:val="21"/>
                      <w:lang w:val="en-US" w:eastAsia="zh-CN"/>
                    </w:rPr>
                  </w:pPr>
                  <w:r>
                    <w:rPr>
                      <w:rFonts w:hint="eastAsia" w:ascii="Times New Roman" w:hAnsi="Times New Roman" w:cs="Times New Roman"/>
                      <w:b w:val="0"/>
                      <w:bCs w:val="0"/>
                      <w:color w:val="auto"/>
                      <w:spacing w:val="0"/>
                      <w:kern w:val="2"/>
                      <w:position w:val="0"/>
                      <w:sz w:val="21"/>
                      <w:szCs w:val="21"/>
                      <w:lang w:val="en-US" w:eastAsia="zh-CN"/>
                    </w:rPr>
                    <w:t>酸性</w:t>
                  </w:r>
                  <w:r>
                    <w:rPr>
                      <w:rFonts w:hint="default" w:ascii="Times New Roman" w:hAnsi="Times New Roman" w:cs="Times New Roman"/>
                      <w:b w:val="0"/>
                      <w:bCs w:val="0"/>
                      <w:color w:val="auto"/>
                      <w:spacing w:val="0"/>
                      <w:kern w:val="2"/>
                      <w:position w:val="0"/>
                      <w:sz w:val="21"/>
                      <w:szCs w:val="21"/>
                      <w:lang w:val="en-US" w:eastAsia="zh-CN"/>
                    </w:rPr>
                    <w:t>废水</w:t>
                  </w:r>
                </w:p>
              </w:tc>
              <w:tc>
                <w:tcPr>
                  <w:tcW w:w="1155" w:type="pct"/>
                  <w:tcBorders>
                    <w:top w:val="single" w:color="auto" w:sz="4" w:space="0"/>
                    <w:left w:val="single" w:color="auto" w:sz="4" w:space="0"/>
                    <w:right w:val="single" w:color="auto" w:sz="4" w:space="0"/>
                    <w:tl2br w:val="nil"/>
                    <w:tr2bl w:val="nil"/>
                  </w:tcBorders>
                  <w:noWrap w:val="0"/>
                  <w:vAlign w:val="center"/>
                </w:tcPr>
                <w:p w14:paraId="33DF465E">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cs="Times New Roman"/>
                      <w:sz w:val="21"/>
                      <w:szCs w:val="21"/>
                      <w:lang w:val="en-US" w:eastAsia="zh-CN"/>
                    </w:rPr>
                    <w:t>pH、</w:t>
                  </w:r>
                  <w:r>
                    <w:rPr>
                      <w:rFonts w:hint="default" w:ascii="Times New Roman" w:hAnsi="Times New Roman" w:eastAsia="宋体" w:cs="Times New Roman"/>
                      <w:b w:val="0"/>
                      <w:bCs w:val="0"/>
                      <w:color w:val="auto"/>
                      <w:spacing w:val="0"/>
                      <w:kern w:val="2"/>
                      <w:position w:val="0"/>
                      <w:sz w:val="21"/>
                      <w:szCs w:val="21"/>
                      <w:lang w:val="en-US" w:eastAsia="zh-CN"/>
                    </w:rPr>
                    <w:t>COD、SS、氯化物</w:t>
                  </w:r>
                  <w:r>
                    <w:rPr>
                      <w:rFonts w:hint="eastAsia" w:ascii="Times New Roman" w:cs="Times New Roman"/>
                      <w:b w:val="0"/>
                      <w:bCs w:val="0"/>
                      <w:color w:val="auto"/>
                      <w:spacing w:val="0"/>
                      <w:kern w:val="2"/>
                      <w:position w:val="0"/>
                      <w:sz w:val="21"/>
                      <w:szCs w:val="21"/>
                      <w:lang w:val="en-US" w:eastAsia="zh-CN"/>
                    </w:rPr>
                    <w:t>、总磷、总氮</w:t>
                  </w:r>
                </w:p>
              </w:tc>
              <w:tc>
                <w:tcPr>
                  <w:tcW w:w="1691" w:type="pct"/>
                  <w:vMerge w:val="continue"/>
                  <w:tcBorders>
                    <w:left w:val="single" w:color="auto" w:sz="4" w:space="0"/>
                    <w:tl2br w:val="nil"/>
                    <w:tr2bl w:val="nil"/>
                  </w:tcBorders>
                  <w:noWrap w:val="0"/>
                  <w:vAlign w:val="center"/>
                </w:tcPr>
                <w:p w14:paraId="6A16B886">
                  <w:pPr>
                    <w:pStyle w:val="31"/>
                    <w:spacing w:line="240" w:lineRule="auto"/>
                    <w:jc w:val="center"/>
                    <w:rPr>
                      <w:rFonts w:hint="default" w:ascii="Times New Roman" w:hAnsi="Times New Roman" w:eastAsia="宋体" w:cs="Times New Roman"/>
                      <w:b w:val="0"/>
                      <w:bCs w:val="0"/>
                      <w:color w:val="auto"/>
                      <w:spacing w:val="0"/>
                      <w:kern w:val="2"/>
                      <w:position w:val="0"/>
                      <w:sz w:val="21"/>
                      <w:szCs w:val="21"/>
                      <w:lang w:val="en-US" w:eastAsia="zh-CN"/>
                    </w:rPr>
                  </w:pPr>
                </w:p>
              </w:tc>
            </w:tr>
            <w:tr w14:paraId="145C1A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1E7CBBA6">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continue"/>
                  <w:tcBorders>
                    <w:tl2br w:val="nil"/>
                    <w:tr2bl w:val="nil"/>
                  </w:tcBorders>
                  <w:noWrap w:val="0"/>
                  <w:vAlign w:val="center"/>
                </w:tcPr>
                <w:p w14:paraId="7F5280E6">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color w:val="auto"/>
                      <w:spacing w:val="0"/>
                      <w:kern w:val="2"/>
                      <w:position w:val="0"/>
                      <w:sz w:val="21"/>
                      <w:szCs w:val="21"/>
                      <w:lang w:val="en-US" w:eastAsia="zh-CN"/>
                    </w:rPr>
                  </w:pPr>
                </w:p>
              </w:tc>
              <w:tc>
                <w:tcPr>
                  <w:tcW w:w="819" w:type="pct"/>
                  <w:tcBorders>
                    <w:top w:val="single" w:color="auto" w:sz="4" w:space="0"/>
                    <w:right w:val="single" w:color="auto" w:sz="4" w:space="0"/>
                    <w:tl2br w:val="nil"/>
                    <w:tr2bl w:val="nil"/>
                  </w:tcBorders>
                  <w:noWrap w:val="0"/>
                  <w:vAlign w:val="center"/>
                </w:tcPr>
                <w:p w14:paraId="3741FCEC">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color w:val="auto"/>
                      <w:spacing w:val="0"/>
                      <w:kern w:val="2"/>
                      <w:position w:val="0"/>
                      <w:sz w:val="21"/>
                      <w:szCs w:val="21"/>
                      <w:lang w:val="en-US" w:eastAsia="zh-CN"/>
                    </w:rPr>
                  </w:pPr>
                  <w:r>
                    <w:rPr>
                      <w:rFonts w:hint="eastAsia" w:ascii="Times New Roman" w:cs="Times New Roman"/>
                      <w:b w:val="0"/>
                      <w:bCs/>
                      <w:color w:val="auto"/>
                      <w:spacing w:val="0"/>
                      <w:kern w:val="2"/>
                      <w:position w:val="0"/>
                      <w:sz w:val="21"/>
                      <w:szCs w:val="21"/>
                      <w:lang w:val="en-US" w:eastAsia="zh-CN"/>
                    </w:rPr>
                    <w:t>喷淋废水</w:t>
                  </w:r>
                </w:p>
              </w:tc>
              <w:tc>
                <w:tcPr>
                  <w:tcW w:w="1155" w:type="pct"/>
                  <w:tcBorders>
                    <w:top w:val="single" w:color="auto" w:sz="4" w:space="0"/>
                    <w:left w:val="single" w:color="auto" w:sz="4" w:space="0"/>
                    <w:right w:val="single" w:color="auto" w:sz="4" w:space="0"/>
                    <w:tl2br w:val="nil"/>
                    <w:tr2bl w:val="nil"/>
                  </w:tcBorders>
                  <w:noWrap w:val="0"/>
                  <w:vAlign w:val="center"/>
                </w:tcPr>
                <w:p w14:paraId="24D34E22">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cs="Times New Roman"/>
                      <w:sz w:val="21"/>
                      <w:szCs w:val="21"/>
                      <w:lang w:val="en-US" w:eastAsia="zh-CN"/>
                    </w:rPr>
                    <w:t>pH、</w:t>
                  </w:r>
                  <w:r>
                    <w:rPr>
                      <w:rFonts w:hint="default" w:ascii="Times New Roman" w:hAnsi="Times New Roman" w:eastAsia="宋体" w:cs="Times New Roman"/>
                      <w:b w:val="0"/>
                      <w:bCs w:val="0"/>
                      <w:color w:val="auto"/>
                      <w:spacing w:val="0"/>
                      <w:kern w:val="2"/>
                      <w:position w:val="0"/>
                      <w:sz w:val="21"/>
                      <w:szCs w:val="21"/>
                      <w:lang w:val="en-US" w:eastAsia="zh-CN"/>
                    </w:rPr>
                    <w:t>COD、SS</w:t>
                  </w:r>
                  <w:r>
                    <w:rPr>
                      <w:rFonts w:hint="eastAsia" w:ascii="Times New Roman" w:hAnsi="Times New Roman" w:eastAsia="宋体" w:cs="Times New Roman"/>
                      <w:b w:val="0"/>
                      <w:bCs w:val="0"/>
                      <w:color w:val="auto"/>
                      <w:spacing w:val="0"/>
                      <w:kern w:val="2"/>
                      <w:position w:val="0"/>
                      <w:sz w:val="21"/>
                      <w:szCs w:val="21"/>
                      <w:lang w:val="en-US" w:eastAsia="zh-CN"/>
                    </w:rPr>
                    <w:t>、氯化物</w:t>
                  </w:r>
                  <w:r>
                    <w:rPr>
                      <w:rFonts w:hint="eastAsia" w:ascii="Times New Roman" w:cs="Times New Roman"/>
                      <w:b w:val="0"/>
                      <w:bCs w:val="0"/>
                      <w:color w:val="auto"/>
                      <w:spacing w:val="0"/>
                      <w:kern w:val="2"/>
                      <w:position w:val="0"/>
                      <w:sz w:val="21"/>
                      <w:szCs w:val="21"/>
                      <w:lang w:val="en-US" w:eastAsia="zh-CN"/>
                    </w:rPr>
                    <w:t>、总磷、总氮</w:t>
                  </w:r>
                </w:p>
              </w:tc>
              <w:tc>
                <w:tcPr>
                  <w:tcW w:w="1691" w:type="pct"/>
                  <w:vMerge w:val="continue"/>
                  <w:tcBorders>
                    <w:left w:val="single" w:color="auto" w:sz="4" w:space="0"/>
                    <w:tl2br w:val="nil"/>
                    <w:tr2bl w:val="nil"/>
                  </w:tcBorders>
                  <w:noWrap w:val="0"/>
                  <w:vAlign w:val="center"/>
                </w:tcPr>
                <w:p w14:paraId="39359413">
                  <w:pPr>
                    <w:pStyle w:val="31"/>
                    <w:spacing w:line="240" w:lineRule="auto"/>
                    <w:jc w:val="center"/>
                    <w:rPr>
                      <w:rFonts w:hint="eastAsia" w:ascii="Times New Roman" w:cs="Times New Roman"/>
                      <w:b w:val="0"/>
                      <w:bCs w:val="0"/>
                      <w:color w:val="auto"/>
                      <w:spacing w:val="0"/>
                      <w:kern w:val="2"/>
                      <w:position w:val="0"/>
                      <w:sz w:val="21"/>
                      <w:szCs w:val="21"/>
                      <w:lang w:val="en-US" w:eastAsia="zh-CN"/>
                    </w:rPr>
                  </w:pPr>
                </w:p>
              </w:tc>
            </w:tr>
            <w:tr w14:paraId="7F3278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41BF866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vMerge w:val="continue"/>
                  <w:tcBorders>
                    <w:tl2br w:val="nil"/>
                    <w:tr2bl w:val="nil"/>
                  </w:tcBorders>
                  <w:noWrap w:val="0"/>
                  <w:vAlign w:val="center"/>
                </w:tcPr>
                <w:p w14:paraId="2DE838B1">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color w:val="auto"/>
                      <w:spacing w:val="0"/>
                      <w:kern w:val="2"/>
                      <w:position w:val="0"/>
                      <w:sz w:val="21"/>
                      <w:szCs w:val="21"/>
                      <w:lang w:val="en-US" w:eastAsia="zh-CN"/>
                    </w:rPr>
                  </w:pPr>
                </w:p>
              </w:tc>
              <w:tc>
                <w:tcPr>
                  <w:tcW w:w="819" w:type="pct"/>
                  <w:tcBorders>
                    <w:top w:val="single" w:color="auto" w:sz="4" w:space="0"/>
                    <w:right w:val="single" w:color="auto" w:sz="4" w:space="0"/>
                    <w:tl2br w:val="nil"/>
                    <w:tr2bl w:val="nil"/>
                  </w:tcBorders>
                  <w:noWrap w:val="0"/>
                  <w:vAlign w:val="center"/>
                </w:tcPr>
                <w:p w14:paraId="1C4D77DA">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cs="Times New Roman"/>
                      <w:b w:val="0"/>
                      <w:bCs/>
                      <w:color w:val="auto"/>
                      <w:spacing w:val="0"/>
                      <w:kern w:val="2"/>
                      <w:position w:val="0"/>
                      <w:sz w:val="21"/>
                      <w:szCs w:val="21"/>
                      <w:lang w:val="en-US" w:eastAsia="zh-CN"/>
                    </w:rPr>
                  </w:pPr>
                  <w:r>
                    <w:rPr>
                      <w:rFonts w:hint="eastAsia" w:ascii="Times New Roman" w:cs="Times New Roman"/>
                      <w:b w:val="0"/>
                      <w:bCs/>
                      <w:color w:val="auto"/>
                      <w:spacing w:val="0"/>
                      <w:kern w:val="2"/>
                      <w:position w:val="0"/>
                      <w:sz w:val="21"/>
                      <w:szCs w:val="21"/>
                      <w:lang w:val="en-US" w:eastAsia="zh-CN"/>
                    </w:rPr>
                    <w:t>初期雨水</w:t>
                  </w:r>
                </w:p>
              </w:tc>
              <w:tc>
                <w:tcPr>
                  <w:tcW w:w="1155" w:type="pct"/>
                  <w:tcBorders>
                    <w:top w:val="single" w:color="auto" w:sz="4" w:space="0"/>
                    <w:left w:val="single" w:color="auto" w:sz="4" w:space="0"/>
                    <w:right w:val="single" w:color="auto" w:sz="4" w:space="0"/>
                    <w:tl2br w:val="nil"/>
                    <w:tr2bl w:val="nil"/>
                  </w:tcBorders>
                  <w:noWrap w:val="0"/>
                  <w:vAlign w:val="center"/>
                </w:tcPr>
                <w:p w14:paraId="5A18A626">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691" w:type="pct"/>
                  <w:vMerge w:val="continue"/>
                  <w:tcBorders>
                    <w:left w:val="single" w:color="auto" w:sz="4" w:space="0"/>
                    <w:tl2br w:val="nil"/>
                    <w:tr2bl w:val="nil"/>
                  </w:tcBorders>
                  <w:noWrap w:val="0"/>
                  <w:vAlign w:val="center"/>
                </w:tcPr>
                <w:p w14:paraId="4B1B5216">
                  <w:pPr>
                    <w:pStyle w:val="31"/>
                    <w:spacing w:line="240" w:lineRule="auto"/>
                    <w:jc w:val="center"/>
                    <w:rPr>
                      <w:rFonts w:hint="eastAsia" w:ascii="Times New Roman" w:cs="Times New Roman"/>
                      <w:b w:val="0"/>
                      <w:bCs w:val="0"/>
                      <w:color w:val="auto"/>
                      <w:spacing w:val="0"/>
                      <w:kern w:val="2"/>
                      <w:position w:val="0"/>
                      <w:sz w:val="21"/>
                      <w:szCs w:val="21"/>
                      <w:lang w:val="en-US" w:eastAsia="zh-CN"/>
                    </w:rPr>
                  </w:pPr>
                </w:p>
              </w:tc>
            </w:tr>
            <w:tr w14:paraId="5F4C2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restart"/>
                  <w:tcBorders>
                    <w:tl2br w:val="nil"/>
                    <w:tr2bl w:val="nil"/>
                  </w:tcBorders>
                  <w:noWrap w:val="0"/>
                  <w:vAlign w:val="center"/>
                </w:tcPr>
                <w:p w14:paraId="46B6836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废气</w:t>
                  </w:r>
                </w:p>
              </w:tc>
              <w:tc>
                <w:tcPr>
                  <w:tcW w:w="978" w:type="pct"/>
                  <w:tcBorders>
                    <w:tl2br w:val="nil"/>
                    <w:tr2bl w:val="nil"/>
                  </w:tcBorders>
                  <w:noWrap w:val="0"/>
                  <w:vAlign w:val="center"/>
                </w:tcPr>
                <w:p w14:paraId="01A93E3E">
                  <w:pPr>
                    <w:adjustRightInd w:val="0"/>
                    <w:spacing w:line="240" w:lineRule="auto"/>
                    <w:jc w:val="center"/>
                    <w:rPr>
                      <w:rFonts w:hint="default" w:eastAsia="宋体"/>
                      <w:color w:val="auto"/>
                      <w:spacing w:val="0"/>
                      <w:kern w:val="2"/>
                      <w:positio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rPr>
                    <w:t>盐酸储罐呼吸废气</w:t>
                  </w:r>
                </w:p>
              </w:tc>
              <w:tc>
                <w:tcPr>
                  <w:tcW w:w="1975" w:type="pct"/>
                  <w:gridSpan w:val="2"/>
                  <w:tcBorders>
                    <w:bottom w:val="single" w:color="auto" w:sz="4" w:space="0"/>
                    <w:right w:val="single" w:color="auto" w:sz="4" w:space="0"/>
                    <w:tl2br w:val="nil"/>
                    <w:tr2bl w:val="nil"/>
                  </w:tcBorders>
                  <w:noWrap w:val="0"/>
                  <w:vAlign w:val="center"/>
                </w:tcPr>
                <w:p w14:paraId="64E078C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cs="Times New Roman"/>
                      <w:b w:val="0"/>
                      <w:bCs w:val="0"/>
                      <w:color w:val="auto"/>
                      <w:spacing w:val="0"/>
                      <w:kern w:val="2"/>
                      <w:position w:val="0"/>
                      <w:sz w:val="21"/>
                      <w:szCs w:val="21"/>
                      <w:lang w:val="en-US" w:eastAsia="zh-CN"/>
                    </w:rPr>
                  </w:pPr>
                  <w:r>
                    <w:rPr>
                      <w:rFonts w:hint="eastAsia" w:cs="Times New Roman"/>
                      <w:b w:val="0"/>
                      <w:bCs w:val="0"/>
                      <w:color w:val="auto"/>
                      <w:spacing w:val="0"/>
                      <w:kern w:val="2"/>
                      <w:position w:val="0"/>
                      <w:sz w:val="21"/>
                      <w:szCs w:val="21"/>
                      <w:lang w:val="en-US" w:eastAsia="zh-CN"/>
                    </w:rPr>
                    <w:t>HCl</w:t>
                  </w:r>
                </w:p>
              </w:tc>
              <w:tc>
                <w:tcPr>
                  <w:tcW w:w="1691" w:type="pct"/>
                  <w:vMerge w:val="restart"/>
                  <w:tcBorders>
                    <w:left w:val="single" w:color="auto" w:sz="4" w:space="0"/>
                    <w:tl2br w:val="nil"/>
                    <w:tr2bl w:val="nil"/>
                  </w:tcBorders>
                  <w:noWrap w:val="0"/>
                  <w:vAlign w:val="center"/>
                </w:tcPr>
                <w:p w14:paraId="68492E1F">
                  <w:pPr>
                    <w:snapToGrid w:val="0"/>
                    <w:jc w:val="center"/>
                    <w:rPr>
                      <w:rFonts w:hint="eastAsia" w:ascii="Times New Roman" w:hAnsi="Times New Roman" w:eastAsia="宋体" w:cs="Times New Roman"/>
                      <w:b w:val="0"/>
                      <w:bCs w:val="0"/>
                      <w:color w:val="auto"/>
                      <w:spacing w:val="0"/>
                      <w:kern w:val="2"/>
                      <w:position w:val="0"/>
                      <w:sz w:val="21"/>
                      <w:szCs w:val="21"/>
                      <w:lang w:val="en-US" w:eastAsia="zh-CN"/>
                    </w:rPr>
                  </w:pPr>
                  <w:r>
                    <w:rPr>
                      <w:rFonts w:hint="eastAsia" w:cs="Times New Roman"/>
                      <w:color w:val="auto"/>
                      <w:kern w:val="0"/>
                      <w:sz w:val="21"/>
                      <w:szCs w:val="21"/>
                      <w:lang w:val="en-US" w:eastAsia="zh-CN"/>
                    </w:rPr>
                    <w:t>项目盐酸储罐呼吸废气、配酸废气、酸洗、干燥废气经套管收集后经</w:t>
                  </w:r>
                  <w:r>
                    <w:rPr>
                      <w:rFonts w:hint="default" w:ascii="Times New Roman" w:hAnsi="Times New Roman" w:eastAsia="宋体" w:cs="Times New Roman"/>
                      <w:color w:val="auto"/>
                      <w:kern w:val="0"/>
                      <w:sz w:val="21"/>
                      <w:szCs w:val="21"/>
                      <w:lang w:val="en-US" w:eastAsia="zh-CN"/>
                    </w:rPr>
                    <w:t>二级碱喷淋+20m高排气筒</w:t>
                  </w:r>
                </w:p>
              </w:tc>
            </w:tr>
            <w:tr w14:paraId="47398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66F9C15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tcBorders>
                    <w:tl2br w:val="nil"/>
                    <w:tr2bl w:val="nil"/>
                  </w:tcBorders>
                  <w:noWrap w:val="0"/>
                  <w:vAlign w:val="center"/>
                </w:tcPr>
                <w:p w14:paraId="7017B006">
                  <w:pPr>
                    <w:adjustRightInd w:val="0"/>
                    <w:spacing w:line="240" w:lineRule="auto"/>
                    <w:jc w:val="center"/>
                    <w:rPr>
                      <w:rFonts w:hint="eastAsia"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配酸废气</w:t>
                  </w:r>
                </w:p>
              </w:tc>
              <w:tc>
                <w:tcPr>
                  <w:tcW w:w="1975" w:type="pct"/>
                  <w:gridSpan w:val="2"/>
                  <w:tcBorders>
                    <w:bottom w:val="single" w:color="auto" w:sz="4" w:space="0"/>
                    <w:right w:val="single" w:color="auto" w:sz="4" w:space="0"/>
                    <w:tl2br w:val="nil"/>
                    <w:tr2bl w:val="nil"/>
                  </w:tcBorders>
                  <w:noWrap w:val="0"/>
                  <w:vAlign w:val="center"/>
                </w:tcPr>
                <w:p w14:paraId="1019562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cs="Times New Roman"/>
                      <w:b w:val="0"/>
                      <w:bCs w:val="0"/>
                      <w:color w:val="auto"/>
                      <w:spacing w:val="0"/>
                      <w:kern w:val="2"/>
                      <w:position w:val="0"/>
                      <w:sz w:val="21"/>
                      <w:szCs w:val="21"/>
                      <w:lang w:val="en-US" w:eastAsia="zh-CN"/>
                    </w:rPr>
                  </w:pPr>
                  <w:r>
                    <w:rPr>
                      <w:rFonts w:hint="eastAsia" w:cs="Times New Roman"/>
                      <w:b w:val="0"/>
                      <w:bCs w:val="0"/>
                      <w:color w:val="auto"/>
                      <w:spacing w:val="0"/>
                      <w:kern w:val="2"/>
                      <w:position w:val="0"/>
                      <w:sz w:val="21"/>
                      <w:szCs w:val="21"/>
                      <w:lang w:val="en-US" w:eastAsia="zh-CN"/>
                    </w:rPr>
                    <w:t>HCl</w:t>
                  </w:r>
                </w:p>
              </w:tc>
              <w:tc>
                <w:tcPr>
                  <w:tcW w:w="1691" w:type="pct"/>
                  <w:vMerge w:val="continue"/>
                  <w:tcBorders>
                    <w:left w:val="single" w:color="auto" w:sz="4" w:space="0"/>
                    <w:tl2br w:val="nil"/>
                    <w:tr2bl w:val="nil"/>
                  </w:tcBorders>
                  <w:noWrap w:val="0"/>
                  <w:vAlign w:val="center"/>
                </w:tcPr>
                <w:p w14:paraId="7352ACDE">
                  <w:pPr>
                    <w:snapToGrid w:val="0"/>
                    <w:jc w:val="center"/>
                    <w:rPr>
                      <w:rFonts w:hint="eastAsia" w:ascii="Times New Roman" w:hAnsi="Times New Roman" w:eastAsia="宋体" w:cs="Times New Roman"/>
                      <w:color w:val="auto"/>
                      <w:kern w:val="0"/>
                      <w:sz w:val="21"/>
                      <w:szCs w:val="21"/>
                      <w:lang w:val="en-US" w:eastAsia="zh-CN"/>
                    </w:rPr>
                  </w:pPr>
                </w:p>
              </w:tc>
            </w:tr>
            <w:tr w14:paraId="637A6B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31723F1A">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tcBorders>
                    <w:tl2br w:val="nil"/>
                    <w:tr2bl w:val="nil"/>
                  </w:tcBorders>
                  <w:noWrap w:val="0"/>
                  <w:vAlign w:val="center"/>
                </w:tcPr>
                <w:p w14:paraId="4F634C9F">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酸洗</w:t>
                  </w:r>
                  <w:r>
                    <w:rPr>
                      <w:rFonts w:hint="eastAsia" w:cs="Times New Roman"/>
                      <w:b w:val="0"/>
                      <w:bCs w:val="0"/>
                      <w:color w:val="auto"/>
                      <w:kern w:val="0"/>
                      <w:sz w:val="21"/>
                      <w:szCs w:val="21"/>
                      <w:lang w:val="en-US" w:eastAsia="zh-CN"/>
                    </w:rPr>
                    <w:t>、干燥废气</w:t>
                  </w:r>
                </w:p>
              </w:tc>
              <w:tc>
                <w:tcPr>
                  <w:tcW w:w="1975" w:type="pct"/>
                  <w:gridSpan w:val="2"/>
                  <w:tcBorders>
                    <w:bottom w:val="single" w:color="auto" w:sz="4" w:space="0"/>
                    <w:right w:val="single" w:color="auto" w:sz="4" w:space="0"/>
                    <w:tl2br w:val="nil"/>
                    <w:tr2bl w:val="nil"/>
                  </w:tcBorders>
                  <w:noWrap w:val="0"/>
                  <w:vAlign w:val="center"/>
                </w:tcPr>
                <w:p w14:paraId="625B976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b w:val="0"/>
                      <w:bCs w:val="0"/>
                      <w:color w:val="auto"/>
                      <w:spacing w:val="0"/>
                      <w:kern w:val="2"/>
                      <w:position w:val="0"/>
                      <w:sz w:val="21"/>
                      <w:szCs w:val="21"/>
                      <w:lang w:val="en-US" w:eastAsia="zh-CN"/>
                    </w:rPr>
                  </w:pPr>
                  <w:r>
                    <w:rPr>
                      <w:rFonts w:hint="eastAsia" w:cs="Times New Roman"/>
                      <w:b w:val="0"/>
                      <w:bCs w:val="0"/>
                      <w:color w:val="auto"/>
                      <w:spacing w:val="0"/>
                      <w:kern w:val="2"/>
                      <w:position w:val="0"/>
                      <w:sz w:val="21"/>
                      <w:szCs w:val="21"/>
                      <w:lang w:val="en-US" w:eastAsia="zh-CN"/>
                    </w:rPr>
                    <w:t>HCl、颗粒物</w:t>
                  </w:r>
                </w:p>
              </w:tc>
              <w:tc>
                <w:tcPr>
                  <w:tcW w:w="1691" w:type="pct"/>
                  <w:vMerge w:val="continue"/>
                  <w:tcBorders>
                    <w:left w:val="single" w:color="auto" w:sz="4" w:space="0"/>
                    <w:tl2br w:val="nil"/>
                    <w:tr2bl w:val="nil"/>
                  </w:tcBorders>
                  <w:noWrap w:val="0"/>
                  <w:vAlign w:val="center"/>
                </w:tcPr>
                <w:p w14:paraId="07D341EE">
                  <w:pPr>
                    <w:snapToGrid w:val="0"/>
                    <w:jc w:val="center"/>
                    <w:rPr>
                      <w:rFonts w:hint="eastAsia" w:ascii="Times New Roman" w:hAnsi="Times New Roman" w:eastAsia="宋体" w:cs="Times New Roman"/>
                      <w:color w:val="auto"/>
                      <w:kern w:val="0"/>
                      <w:sz w:val="21"/>
                      <w:szCs w:val="21"/>
                      <w:lang w:val="en-US" w:eastAsia="zh-CN"/>
                    </w:rPr>
                  </w:pPr>
                </w:p>
              </w:tc>
            </w:tr>
            <w:tr w14:paraId="6D2300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31317DC0">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tcBorders>
                    <w:tl2br w:val="nil"/>
                    <w:tr2bl w:val="nil"/>
                  </w:tcBorders>
                  <w:noWrap w:val="0"/>
                  <w:vAlign w:val="center"/>
                </w:tcPr>
                <w:p w14:paraId="5E9AA09B">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粉碎粉尘</w:t>
                  </w:r>
                </w:p>
              </w:tc>
              <w:tc>
                <w:tcPr>
                  <w:tcW w:w="1975" w:type="pct"/>
                  <w:gridSpan w:val="2"/>
                  <w:tcBorders>
                    <w:top w:val="single" w:color="auto" w:sz="4" w:space="0"/>
                    <w:bottom w:val="single" w:color="auto" w:sz="4" w:space="0"/>
                    <w:right w:val="single" w:color="auto" w:sz="4" w:space="0"/>
                    <w:tl2br w:val="nil"/>
                    <w:tr2bl w:val="nil"/>
                  </w:tcBorders>
                  <w:noWrap w:val="0"/>
                  <w:vAlign w:val="center"/>
                </w:tcPr>
                <w:p w14:paraId="0379D30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cs="Times New Roman"/>
                      <w:b w:val="0"/>
                      <w:bCs w:val="0"/>
                      <w:color w:val="auto"/>
                      <w:spacing w:val="0"/>
                      <w:kern w:val="2"/>
                      <w:position w:val="0"/>
                      <w:sz w:val="21"/>
                      <w:szCs w:val="21"/>
                      <w:lang w:val="en-US" w:eastAsia="zh-CN"/>
                    </w:rPr>
                  </w:pPr>
                  <w:r>
                    <w:rPr>
                      <w:rFonts w:hint="eastAsia" w:cs="Times New Roman"/>
                      <w:b w:val="0"/>
                      <w:bCs w:val="0"/>
                      <w:color w:val="auto"/>
                      <w:spacing w:val="0"/>
                      <w:kern w:val="2"/>
                      <w:position w:val="0"/>
                      <w:sz w:val="21"/>
                      <w:szCs w:val="21"/>
                      <w:lang w:val="en-US" w:eastAsia="zh-CN"/>
                    </w:rPr>
                    <w:t>颗粒物</w:t>
                  </w:r>
                </w:p>
              </w:tc>
              <w:tc>
                <w:tcPr>
                  <w:tcW w:w="1691" w:type="pct"/>
                  <w:tcBorders>
                    <w:top w:val="single" w:color="auto" w:sz="4" w:space="0"/>
                    <w:left w:val="single" w:color="auto" w:sz="4" w:space="0"/>
                    <w:bottom w:val="single" w:color="auto" w:sz="4" w:space="0"/>
                    <w:tl2br w:val="nil"/>
                    <w:tr2bl w:val="nil"/>
                  </w:tcBorders>
                  <w:noWrap w:val="0"/>
                  <w:vAlign w:val="center"/>
                </w:tcPr>
                <w:p w14:paraId="1B10EF6A">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+20m高排气筒</w:t>
                  </w:r>
                </w:p>
              </w:tc>
            </w:tr>
            <w:tr w14:paraId="04F47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7F0BA938">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p>
              </w:tc>
              <w:tc>
                <w:tcPr>
                  <w:tcW w:w="978" w:type="pct"/>
                  <w:tcBorders>
                    <w:tl2br w:val="nil"/>
                    <w:tr2bl w:val="nil"/>
                  </w:tcBorders>
                  <w:noWrap w:val="0"/>
                  <w:vAlign w:val="center"/>
                </w:tcPr>
                <w:p w14:paraId="4B6120D9">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拆包粉尘、输送粉尘、包装粉尘</w:t>
                  </w:r>
                </w:p>
              </w:tc>
              <w:tc>
                <w:tcPr>
                  <w:tcW w:w="1975" w:type="pct"/>
                  <w:gridSpan w:val="2"/>
                  <w:tcBorders>
                    <w:top w:val="single" w:color="auto" w:sz="4" w:space="0"/>
                    <w:right w:val="single" w:color="auto" w:sz="4" w:space="0"/>
                    <w:tl2br w:val="nil"/>
                    <w:tr2bl w:val="nil"/>
                  </w:tcBorders>
                  <w:noWrap w:val="0"/>
                  <w:vAlign w:val="center"/>
                </w:tcPr>
                <w:p w14:paraId="661AECB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b w:val="0"/>
                      <w:bCs w:val="0"/>
                      <w:color w:val="auto"/>
                      <w:spacing w:val="0"/>
                      <w:kern w:val="2"/>
                      <w:position w:val="0"/>
                      <w:sz w:val="21"/>
                      <w:szCs w:val="21"/>
                      <w:lang w:val="en-US" w:eastAsia="zh-CN"/>
                    </w:rPr>
                    <w:t>颗粒物</w:t>
                  </w:r>
                </w:p>
              </w:tc>
              <w:tc>
                <w:tcPr>
                  <w:tcW w:w="1691" w:type="pct"/>
                  <w:tcBorders>
                    <w:top w:val="single" w:color="auto" w:sz="4" w:space="0"/>
                    <w:left w:val="single" w:color="auto" w:sz="4" w:space="0"/>
                    <w:bottom w:val="single" w:color="auto" w:sz="4" w:space="0"/>
                    <w:tl2br w:val="nil"/>
                    <w:tr2bl w:val="nil"/>
                  </w:tcBorders>
                  <w:noWrap w:val="0"/>
                  <w:vAlign w:val="center"/>
                </w:tcPr>
                <w:p w14:paraId="31BD52C0">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经各料仓、设备自带</w:t>
                  </w:r>
                  <w:r>
                    <w:rPr>
                      <w:rFonts w:hint="eastAsia" w:ascii="Times New Roman" w:hAnsi="Times New Roman" w:eastAsia="宋体" w:cs="Times New Roman"/>
                      <w:color w:val="auto"/>
                      <w:kern w:val="0"/>
                      <w:sz w:val="21"/>
                      <w:szCs w:val="21"/>
                      <w:lang w:val="en-US" w:eastAsia="zh-CN"/>
                    </w:rPr>
                    <w:t>滤芯除尘</w:t>
                  </w:r>
                  <w:r>
                    <w:rPr>
                      <w:rFonts w:hint="default" w:ascii="Times New Roman" w:hAnsi="Times New Roman" w:eastAsia="宋体" w:cs="Times New Roman"/>
                      <w:color w:val="auto"/>
                      <w:kern w:val="0"/>
                      <w:sz w:val="21"/>
                      <w:szCs w:val="21"/>
                      <w:lang w:val="en-US" w:eastAsia="zh-CN"/>
                    </w:rPr>
                    <w:t>处理后无组织排放</w:t>
                  </w:r>
                </w:p>
              </w:tc>
            </w:tr>
            <w:tr w14:paraId="31AF0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tcBorders>
                    <w:tl2br w:val="nil"/>
                    <w:tr2bl w:val="nil"/>
                  </w:tcBorders>
                  <w:noWrap w:val="0"/>
                  <w:vAlign w:val="center"/>
                </w:tcPr>
                <w:p w14:paraId="13D1D76A">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噪声</w:t>
                  </w:r>
                </w:p>
              </w:tc>
              <w:tc>
                <w:tcPr>
                  <w:tcW w:w="978" w:type="pct"/>
                  <w:tcBorders>
                    <w:tl2br w:val="nil"/>
                    <w:tr2bl w:val="nil"/>
                  </w:tcBorders>
                  <w:noWrap w:val="0"/>
                  <w:vAlign w:val="center"/>
                </w:tcPr>
                <w:p w14:paraId="2855C2CF">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r>
                    <w:rPr>
                      <w:rFonts w:hint="default" w:ascii="Times New Roman" w:hAnsi="Times New Roman" w:eastAsia="宋体" w:cs="Times New Roman"/>
                      <w:b w:val="0"/>
                      <w:bCs w:val="0"/>
                      <w:spacing w:val="0"/>
                      <w:kern w:val="2"/>
                      <w:position w:val="0"/>
                      <w:sz w:val="21"/>
                      <w:szCs w:val="21"/>
                      <w:lang w:val="en-US" w:eastAsia="zh-CN"/>
                    </w:rPr>
                    <w:t>生产设备、</w:t>
                  </w:r>
                  <w:r>
                    <w:rPr>
                      <w:rFonts w:hint="eastAsia" w:ascii="Times New Roman" w:hAnsi="Times New Roman" w:eastAsia="宋体" w:cs="Times New Roman"/>
                      <w:b w:val="0"/>
                      <w:bCs w:val="0"/>
                      <w:spacing w:val="0"/>
                      <w:kern w:val="2"/>
                      <w:position w:val="0"/>
                      <w:sz w:val="21"/>
                      <w:szCs w:val="21"/>
                      <w:lang w:val="en-US" w:eastAsia="zh-CN"/>
                    </w:rPr>
                    <w:t>风机</w:t>
                  </w:r>
                  <w:r>
                    <w:rPr>
                      <w:rFonts w:hint="default" w:ascii="Times New Roman" w:hAnsi="Times New Roman" w:eastAsia="宋体" w:cs="Times New Roman"/>
                      <w:b w:val="0"/>
                      <w:bCs w:val="0"/>
                      <w:spacing w:val="0"/>
                      <w:kern w:val="2"/>
                      <w:position w:val="0"/>
                      <w:sz w:val="21"/>
                      <w:szCs w:val="21"/>
                      <w:lang w:val="en-US" w:eastAsia="zh-CN"/>
                    </w:rPr>
                    <w:t>等</w:t>
                  </w:r>
                </w:p>
              </w:tc>
              <w:tc>
                <w:tcPr>
                  <w:tcW w:w="819" w:type="pct"/>
                  <w:tcBorders>
                    <w:right w:val="single" w:color="auto" w:sz="4" w:space="0"/>
                    <w:tl2br w:val="nil"/>
                    <w:tr2bl w:val="nil"/>
                  </w:tcBorders>
                  <w:noWrap w:val="0"/>
                  <w:vAlign w:val="center"/>
                </w:tcPr>
                <w:p w14:paraId="6CF7AFA5">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r>
                    <w:rPr>
                      <w:rFonts w:hint="default" w:ascii="Times New Roman" w:hAnsi="Times New Roman" w:eastAsia="宋体" w:cs="Times New Roman"/>
                      <w:b w:val="0"/>
                      <w:bCs w:val="0"/>
                      <w:spacing w:val="0"/>
                      <w:kern w:val="2"/>
                      <w:position w:val="0"/>
                      <w:sz w:val="21"/>
                      <w:szCs w:val="21"/>
                      <w:lang w:val="en-US" w:eastAsia="zh-CN"/>
                    </w:rPr>
                    <w:t>机械噪声</w:t>
                  </w:r>
                </w:p>
              </w:tc>
              <w:tc>
                <w:tcPr>
                  <w:tcW w:w="1155" w:type="pct"/>
                  <w:tcBorders>
                    <w:left w:val="single" w:color="auto" w:sz="4" w:space="0"/>
                    <w:right w:val="single" w:color="auto" w:sz="4" w:space="0"/>
                    <w:tl2br w:val="nil"/>
                    <w:tr2bl w:val="nil"/>
                  </w:tcBorders>
                  <w:noWrap w:val="0"/>
                  <w:vAlign w:val="center"/>
                </w:tcPr>
                <w:p w14:paraId="38F6B2A9">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r>
                    <w:rPr>
                      <w:rFonts w:hint="default" w:ascii="Times New Roman" w:hAnsi="Times New Roman" w:cs="Times New Roman"/>
                      <w:b w:val="0"/>
                      <w:bCs w:val="0"/>
                      <w:sz w:val="21"/>
                      <w:szCs w:val="21"/>
                    </w:rPr>
                    <w:t>等效连续A声级</w:t>
                  </w:r>
                </w:p>
              </w:tc>
              <w:tc>
                <w:tcPr>
                  <w:tcW w:w="1691" w:type="pct"/>
                  <w:tcBorders>
                    <w:top w:val="single" w:color="auto" w:sz="4" w:space="0"/>
                    <w:left w:val="single" w:color="auto" w:sz="4" w:space="0"/>
                    <w:tl2br w:val="nil"/>
                    <w:tr2bl w:val="nil"/>
                  </w:tcBorders>
                  <w:noWrap w:val="0"/>
                  <w:vAlign w:val="center"/>
                </w:tcPr>
                <w:p w14:paraId="6C15A5A4">
                  <w:pPr>
                    <w:pStyle w:val="31"/>
                    <w:spacing w:line="240" w:lineRule="auto"/>
                    <w:ind w:left="0" w:leftChars="0" w:firstLine="0" w:firstLineChars="0"/>
                    <w:jc w:val="center"/>
                    <w:rPr>
                      <w:rFonts w:hint="default" w:ascii="Times New Roman" w:hAnsi="Times New Roman" w:eastAsia="宋体" w:cs="Times New Roman"/>
                      <w:b w:val="0"/>
                      <w:bCs w:val="0"/>
                      <w:spacing w:val="0"/>
                      <w:kern w:val="2"/>
                      <w:position w:val="0"/>
                      <w:sz w:val="21"/>
                      <w:szCs w:val="21"/>
                      <w:lang w:val="en-US" w:eastAsia="zh-CN"/>
                    </w:rPr>
                  </w:pPr>
                  <w:r>
                    <w:rPr>
                      <w:rFonts w:hint="default" w:ascii="Times New Roman" w:hAnsi="Times New Roman" w:cs="Times New Roman"/>
                      <w:b w:val="0"/>
                      <w:bCs w:val="0"/>
                      <w:sz w:val="21"/>
                      <w:szCs w:val="21"/>
                    </w:rPr>
                    <w:t>厂房隔声、基础减振、合理布局、加强维修保养等</w:t>
                  </w:r>
                </w:p>
              </w:tc>
            </w:tr>
            <w:tr w14:paraId="55A2F2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restart"/>
                  <w:tcBorders>
                    <w:tl2br w:val="nil"/>
                    <w:tr2bl w:val="nil"/>
                  </w:tcBorders>
                  <w:noWrap w:val="0"/>
                  <w:vAlign w:val="center"/>
                </w:tcPr>
                <w:p w14:paraId="2B2AA2C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eastAsia" w:ascii="Times New Roman" w:hAnsi="Times New Roman" w:eastAsia="宋体" w:cs="Times New Roman"/>
                      <w:b w:val="0"/>
                      <w:bCs w:val="0"/>
                      <w:color w:val="auto"/>
                      <w:spacing w:val="0"/>
                      <w:kern w:val="2"/>
                      <w:position w:val="0"/>
                      <w:sz w:val="21"/>
                      <w:szCs w:val="21"/>
                      <w:lang w:val="en-US" w:eastAsia="zh-CN"/>
                    </w:rPr>
                    <w:t>固废</w:t>
                  </w:r>
                </w:p>
              </w:tc>
              <w:tc>
                <w:tcPr>
                  <w:tcW w:w="978" w:type="pct"/>
                  <w:tcBorders>
                    <w:tl2br w:val="nil"/>
                    <w:tr2bl w:val="nil"/>
                  </w:tcBorders>
                  <w:noWrap w:val="0"/>
                  <w:vAlign w:val="center"/>
                </w:tcPr>
                <w:p w14:paraId="26F2661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FF0000"/>
                      <w:spacing w:val="0"/>
                      <w:kern w:val="2"/>
                      <w:position w:val="0"/>
                      <w:sz w:val="21"/>
                      <w:szCs w:val="21"/>
                      <w:lang w:val="en-US" w:eastAsia="zh-CN"/>
                    </w:rPr>
                  </w:pPr>
                  <w:r>
                    <w:rPr>
                      <w:rFonts w:hint="eastAsia"/>
                      <w:color w:val="auto"/>
                      <w:sz w:val="21"/>
                      <w:szCs w:val="21"/>
                      <w:lang w:eastAsia="zh-CN"/>
                    </w:rPr>
                    <w:t>废铁屑</w:t>
                  </w:r>
                </w:p>
              </w:tc>
              <w:tc>
                <w:tcPr>
                  <w:tcW w:w="819" w:type="pct"/>
                  <w:vMerge w:val="restart"/>
                  <w:tcBorders>
                    <w:right w:val="single" w:color="auto" w:sz="4" w:space="0"/>
                    <w:tl2br w:val="nil"/>
                    <w:tr2bl w:val="nil"/>
                  </w:tcBorders>
                  <w:noWrap w:val="0"/>
                  <w:vAlign w:val="center"/>
                </w:tcPr>
                <w:p w14:paraId="318818B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kern w:val="2"/>
                      <w:position w:val="0"/>
                      <w:sz w:val="21"/>
                      <w:szCs w:val="21"/>
                      <w:lang w:val="en-US" w:eastAsia="zh-CN"/>
                      <w14:textFill>
                        <w14:solidFill>
                          <w14:schemeClr w14:val="tx1"/>
                        </w14:solidFill>
                      </w14:textFill>
                    </w:rPr>
                  </w:pPr>
                  <w:r>
                    <w:rPr>
                      <w:rFonts w:hint="eastAsia" w:eastAsia="宋体"/>
                      <w:color w:val="auto"/>
                      <w:spacing w:val="0"/>
                      <w:position w:val="0"/>
                      <w:sz w:val="21"/>
                      <w:szCs w:val="21"/>
                      <w:lang w:val="en-US" w:eastAsia="zh-CN"/>
                    </w:rPr>
                    <w:t>一般固废</w:t>
                  </w:r>
                </w:p>
              </w:tc>
              <w:tc>
                <w:tcPr>
                  <w:tcW w:w="1155" w:type="pct"/>
                  <w:tcBorders>
                    <w:left w:val="single" w:color="auto" w:sz="4" w:space="0"/>
                    <w:right w:val="single" w:color="auto" w:sz="4" w:space="0"/>
                    <w:tl2br w:val="nil"/>
                    <w:tr2bl w:val="nil"/>
                  </w:tcBorders>
                  <w:noWrap w:val="0"/>
                  <w:vAlign w:val="center"/>
                </w:tcPr>
                <w:p w14:paraId="44AB620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vMerge w:val="restart"/>
                  <w:tcBorders>
                    <w:left w:val="single" w:color="auto" w:sz="4" w:space="0"/>
                    <w:tl2br w:val="nil"/>
                    <w:tr2bl w:val="nil"/>
                  </w:tcBorders>
                  <w:noWrap w:val="0"/>
                  <w:vAlign w:val="center"/>
                </w:tcPr>
                <w:p w14:paraId="4099EC2D">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color w:val="auto"/>
                      <w:spacing w:val="0"/>
                      <w:position w:val="0"/>
                      <w:sz w:val="21"/>
                      <w:szCs w:val="21"/>
                      <w:lang w:val="en-US" w:eastAsia="zh-CN"/>
                    </w:rPr>
                  </w:pPr>
                  <w:r>
                    <w:rPr>
                      <w:rFonts w:hint="eastAsia"/>
                      <w:snapToGrid w:val="0"/>
                      <w:kern w:val="24"/>
                      <w:szCs w:val="21"/>
                      <w:lang w:eastAsia="zh-CN"/>
                    </w:rPr>
                    <w:t>由物资公司回收利用</w:t>
                  </w:r>
                </w:p>
              </w:tc>
            </w:tr>
            <w:tr w14:paraId="089AFC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7C154CC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eastAsia" w:ascii="Times New Roman" w:hAnsi="Times New Roman" w:eastAsia="宋体" w:cs="Times New Roman"/>
                      <w:b w:val="0"/>
                      <w:bCs w:val="0"/>
                      <w:color w:val="auto"/>
                      <w:spacing w:val="0"/>
                      <w:kern w:val="2"/>
                      <w:position w:val="0"/>
                      <w:sz w:val="21"/>
                      <w:szCs w:val="21"/>
                      <w:lang w:val="en-US" w:eastAsia="zh-CN"/>
                    </w:rPr>
                  </w:pPr>
                </w:p>
              </w:tc>
              <w:tc>
                <w:tcPr>
                  <w:tcW w:w="978" w:type="pct"/>
                  <w:tcBorders>
                    <w:tl2br w:val="nil"/>
                    <w:tr2bl w:val="nil"/>
                  </w:tcBorders>
                  <w:noWrap w:val="0"/>
                  <w:vAlign w:val="center"/>
                </w:tcPr>
                <w:p w14:paraId="58A3241A">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FF0000"/>
                      <w:kern w:val="24"/>
                      <w:szCs w:val="21"/>
                      <w:lang w:eastAsia="zh-CN"/>
                    </w:rPr>
                  </w:pPr>
                  <w:r>
                    <w:rPr>
                      <w:rFonts w:hint="eastAsia"/>
                      <w:color w:val="auto"/>
                      <w:sz w:val="21"/>
                      <w:szCs w:val="21"/>
                      <w:lang w:eastAsia="zh-CN"/>
                    </w:rPr>
                    <w:t>废分子筛</w:t>
                  </w:r>
                </w:p>
              </w:tc>
              <w:tc>
                <w:tcPr>
                  <w:tcW w:w="819" w:type="pct"/>
                  <w:vMerge w:val="continue"/>
                  <w:tcBorders>
                    <w:right w:val="single" w:color="auto" w:sz="4" w:space="0"/>
                    <w:tl2br w:val="nil"/>
                    <w:tr2bl w:val="nil"/>
                  </w:tcBorders>
                  <w:noWrap w:val="0"/>
                  <w:vAlign w:val="center"/>
                </w:tcPr>
                <w:p w14:paraId="61C33C0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auto"/>
                      <w:spacing w:val="0"/>
                      <w:position w:val="0"/>
                      <w:sz w:val="21"/>
                      <w:szCs w:val="21"/>
                      <w:lang w:val="en-US" w:eastAsia="zh-CN"/>
                    </w:rPr>
                  </w:pPr>
                </w:p>
              </w:tc>
              <w:tc>
                <w:tcPr>
                  <w:tcW w:w="1155" w:type="pct"/>
                  <w:tcBorders>
                    <w:left w:val="single" w:color="auto" w:sz="4" w:space="0"/>
                    <w:right w:val="single" w:color="auto" w:sz="4" w:space="0"/>
                    <w:tl2br w:val="nil"/>
                    <w:tr2bl w:val="nil"/>
                  </w:tcBorders>
                  <w:noWrap w:val="0"/>
                  <w:vAlign w:val="center"/>
                </w:tcPr>
                <w:p w14:paraId="28E43EC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vMerge w:val="continue"/>
                  <w:tcBorders>
                    <w:left w:val="single" w:color="auto" w:sz="4" w:space="0"/>
                    <w:tl2br w:val="nil"/>
                    <w:tr2bl w:val="nil"/>
                  </w:tcBorders>
                  <w:noWrap w:val="0"/>
                  <w:vAlign w:val="center"/>
                </w:tcPr>
                <w:p w14:paraId="7C1E6E5A">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r>
            <w:tr w14:paraId="36FA72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355" w:type="pct"/>
                  <w:vMerge w:val="continue"/>
                  <w:tcBorders>
                    <w:tl2br w:val="nil"/>
                    <w:tr2bl w:val="nil"/>
                  </w:tcBorders>
                  <w:noWrap w:val="0"/>
                  <w:vAlign w:val="center"/>
                </w:tcPr>
                <w:p w14:paraId="0A90E48C">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p>
              </w:tc>
              <w:tc>
                <w:tcPr>
                  <w:tcW w:w="978" w:type="pct"/>
                  <w:tcBorders>
                    <w:tl2br w:val="nil"/>
                    <w:tr2bl w:val="nil"/>
                  </w:tcBorders>
                  <w:noWrap w:val="0"/>
                  <w:vAlign w:val="center"/>
                </w:tcPr>
                <w:p w14:paraId="5AAA212B">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FF0000"/>
                      <w:spacing w:val="0"/>
                      <w:kern w:val="2"/>
                      <w:position w:val="0"/>
                      <w:sz w:val="21"/>
                      <w:szCs w:val="21"/>
                      <w:lang w:val="en-US" w:eastAsia="zh-CN"/>
                    </w:rPr>
                  </w:pPr>
                  <w:r>
                    <w:rPr>
                      <w:rFonts w:hint="eastAsia"/>
                      <w:color w:val="auto"/>
                      <w:sz w:val="21"/>
                      <w:szCs w:val="21"/>
                      <w:lang w:eastAsia="zh-CN"/>
                    </w:rPr>
                    <w:t>废离子交换树脂</w:t>
                  </w:r>
                </w:p>
              </w:tc>
              <w:tc>
                <w:tcPr>
                  <w:tcW w:w="819" w:type="pct"/>
                  <w:vMerge w:val="continue"/>
                  <w:tcBorders>
                    <w:right w:val="single" w:color="auto" w:sz="4" w:space="0"/>
                    <w:tl2br w:val="nil"/>
                    <w:tr2bl w:val="nil"/>
                  </w:tcBorders>
                  <w:noWrap w:val="0"/>
                  <w:vAlign w:val="center"/>
                </w:tcPr>
                <w:p w14:paraId="6F5375F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kern w:val="2"/>
                      <w:position w:val="0"/>
                      <w:sz w:val="21"/>
                      <w:szCs w:val="21"/>
                      <w:lang w:val="en-US" w:eastAsia="zh-CN"/>
                      <w14:textFill>
                        <w14:solidFill>
                          <w14:schemeClr w14:val="tx1"/>
                        </w14:solidFill>
                      </w14:textFill>
                    </w:rPr>
                  </w:pPr>
                </w:p>
              </w:tc>
              <w:tc>
                <w:tcPr>
                  <w:tcW w:w="1155" w:type="pct"/>
                  <w:tcBorders>
                    <w:left w:val="single" w:color="auto" w:sz="4" w:space="0"/>
                    <w:right w:val="single" w:color="auto" w:sz="4" w:space="0"/>
                    <w:tl2br w:val="nil"/>
                    <w:tr2bl w:val="nil"/>
                  </w:tcBorders>
                  <w:noWrap w:val="0"/>
                  <w:vAlign w:val="center"/>
                </w:tcPr>
                <w:p w14:paraId="6DA0487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vMerge w:val="continue"/>
                  <w:tcBorders>
                    <w:left w:val="single" w:color="auto" w:sz="4" w:space="0"/>
                    <w:tl2br w:val="nil"/>
                    <w:tr2bl w:val="nil"/>
                  </w:tcBorders>
                  <w:noWrap w:val="0"/>
                  <w:vAlign w:val="center"/>
                </w:tcPr>
                <w:p w14:paraId="4EBC7BD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auto"/>
                      <w:spacing w:val="0"/>
                      <w:position w:val="0"/>
                      <w:sz w:val="21"/>
                      <w:szCs w:val="21"/>
                      <w:lang w:val="en-US" w:eastAsia="zh-CN"/>
                    </w:rPr>
                  </w:pPr>
                </w:p>
              </w:tc>
            </w:tr>
            <w:tr w14:paraId="3543F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355" w:type="pct"/>
                  <w:vMerge w:val="continue"/>
                  <w:tcBorders>
                    <w:tl2br w:val="nil"/>
                    <w:tr2bl w:val="nil"/>
                  </w:tcBorders>
                  <w:noWrap w:val="0"/>
                  <w:vAlign w:val="center"/>
                </w:tcPr>
                <w:p w14:paraId="2973084D">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p>
              </w:tc>
              <w:tc>
                <w:tcPr>
                  <w:tcW w:w="978" w:type="pct"/>
                  <w:tcBorders>
                    <w:tl2br w:val="nil"/>
                    <w:tr2bl w:val="nil"/>
                  </w:tcBorders>
                  <w:noWrap w:val="0"/>
                  <w:vAlign w:val="center"/>
                </w:tcPr>
                <w:p w14:paraId="09556AE2">
                  <w:pPr>
                    <w:keepNext w:val="0"/>
                    <w:keepLines w:val="0"/>
                    <w:pageBreakBefore w:val="0"/>
                    <w:widowControl/>
                    <w:kinsoku/>
                    <w:wordWrap/>
                    <w:overflowPunct/>
                    <w:topLinePunct w:val="0"/>
                    <w:autoSpaceDE/>
                    <w:autoSpaceDN/>
                    <w:bidi w:val="0"/>
                    <w:spacing w:line="240" w:lineRule="auto"/>
                    <w:jc w:val="center"/>
                    <w:textAlignment w:val="auto"/>
                    <w:rPr>
                      <w:rFonts w:hint="eastAsia"/>
                      <w:snapToGrid w:val="0"/>
                      <w:color w:val="FF0000"/>
                      <w:kern w:val="24"/>
                      <w:szCs w:val="21"/>
                      <w:lang w:eastAsia="zh-CN"/>
                    </w:rPr>
                  </w:pPr>
                  <w:r>
                    <w:rPr>
                      <w:rFonts w:hint="eastAsia"/>
                      <w:color w:val="auto"/>
                      <w:sz w:val="21"/>
                      <w:szCs w:val="21"/>
                      <w:lang w:eastAsia="zh-CN"/>
                    </w:rPr>
                    <w:t>除尘灰</w:t>
                  </w:r>
                </w:p>
              </w:tc>
              <w:tc>
                <w:tcPr>
                  <w:tcW w:w="819" w:type="pct"/>
                  <w:vMerge w:val="continue"/>
                  <w:tcBorders>
                    <w:right w:val="single" w:color="auto" w:sz="4" w:space="0"/>
                    <w:tl2br w:val="nil"/>
                    <w:tr2bl w:val="nil"/>
                  </w:tcBorders>
                  <w:noWrap w:val="0"/>
                  <w:vAlign w:val="center"/>
                </w:tcPr>
                <w:p w14:paraId="230F0D0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kern w:val="2"/>
                      <w:position w:val="0"/>
                      <w:sz w:val="21"/>
                      <w:szCs w:val="21"/>
                      <w:lang w:val="en-US" w:eastAsia="zh-CN"/>
                      <w14:textFill>
                        <w14:solidFill>
                          <w14:schemeClr w14:val="tx1"/>
                        </w14:solidFill>
                      </w14:textFill>
                    </w:rPr>
                  </w:pPr>
                </w:p>
              </w:tc>
              <w:tc>
                <w:tcPr>
                  <w:tcW w:w="1155" w:type="pct"/>
                  <w:tcBorders>
                    <w:left w:val="single" w:color="auto" w:sz="4" w:space="0"/>
                    <w:right w:val="single" w:color="auto" w:sz="4" w:space="0"/>
                    <w:tl2br w:val="nil"/>
                    <w:tr2bl w:val="nil"/>
                  </w:tcBorders>
                  <w:noWrap w:val="0"/>
                  <w:vAlign w:val="center"/>
                </w:tcPr>
                <w:p w14:paraId="2D3A7F8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olor w:val="000000" w:themeColor="text1"/>
                      <w:spacing w:val="0"/>
                      <w:position w:val="0"/>
                      <w:sz w:val="21"/>
                      <w:szCs w:val="21"/>
                      <w:lang w:val="en-US" w:eastAsia="zh-CN"/>
                      <w14:textFill>
                        <w14:solidFill>
                          <w14:schemeClr w14:val="tx1"/>
                        </w14:solidFill>
                      </w14:textFill>
                    </w:rPr>
                  </w:pPr>
                </w:p>
              </w:tc>
              <w:tc>
                <w:tcPr>
                  <w:tcW w:w="1691" w:type="pct"/>
                  <w:tcBorders>
                    <w:left w:val="single" w:color="auto" w:sz="4" w:space="0"/>
                    <w:tl2br w:val="nil"/>
                    <w:tr2bl w:val="nil"/>
                  </w:tcBorders>
                  <w:noWrap w:val="0"/>
                  <w:vAlign w:val="center"/>
                </w:tcPr>
                <w:p w14:paraId="4970B8D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auto"/>
                      <w:spacing w:val="0"/>
                      <w:position w:val="0"/>
                      <w:sz w:val="21"/>
                      <w:szCs w:val="21"/>
                      <w:lang w:val="en-US" w:eastAsia="zh-CN"/>
                    </w:rPr>
                  </w:pPr>
                  <w:r>
                    <w:rPr>
                      <w:rFonts w:hint="eastAsia"/>
                      <w:color w:val="auto"/>
                      <w:spacing w:val="0"/>
                      <w:position w:val="0"/>
                      <w:sz w:val="21"/>
                      <w:szCs w:val="21"/>
                      <w:lang w:val="en-US" w:eastAsia="zh-CN"/>
                    </w:rPr>
                    <w:t>回用于生产</w:t>
                  </w:r>
                </w:p>
              </w:tc>
            </w:tr>
            <w:tr w14:paraId="7F0BD4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6AFA0067">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p>
              </w:tc>
              <w:tc>
                <w:tcPr>
                  <w:tcW w:w="978" w:type="pct"/>
                  <w:tcBorders>
                    <w:tl2br w:val="nil"/>
                    <w:tr2bl w:val="nil"/>
                  </w:tcBorders>
                  <w:noWrap w:val="0"/>
                  <w:vAlign w:val="center"/>
                </w:tcPr>
                <w:p w14:paraId="5436F400">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cs="Times New Roman"/>
                      <w:color w:val="000000" w:themeColor="text1"/>
                      <w:spacing w:val="0"/>
                      <w:kern w:val="2"/>
                      <w:position w:val="0"/>
                      <w:sz w:val="21"/>
                      <w:szCs w:val="21"/>
                      <w:lang w:val="en-US" w:eastAsia="zh-CN" w:bidi="ar-SA"/>
                      <w14:textFill>
                        <w14:solidFill>
                          <w14:schemeClr w14:val="tx1"/>
                        </w14:solidFill>
                      </w14:textFill>
                    </w:rPr>
                    <w:t>废机油</w:t>
                  </w:r>
                </w:p>
              </w:tc>
              <w:tc>
                <w:tcPr>
                  <w:tcW w:w="819" w:type="pct"/>
                  <w:vMerge w:val="restart"/>
                  <w:tcBorders>
                    <w:right w:val="single" w:color="auto" w:sz="4" w:space="0"/>
                    <w:tl2br w:val="nil"/>
                    <w:tr2bl w:val="nil"/>
                  </w:tcBorders>
                  <w:noWrap w:val="0"/>
                  <w:vAlign w:val="center"/>
                </w:tcPr>
                <w:p w14:paraId="19E3C9D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危险废物</w:t>
                  </w:r>
                </w:p>
              </w:tc>
              <w:tc>
                <w:tcPr>
                  <w:tcW w:w="1155" w:type="pct"/>
                  <w:tcBorders>
                    <w:left w:val="single" w:color="auto" w:sz="4" w:space="0"/>
                    <w:right w:val="single" w:color="auto" w:sz="4" w:space="0"/>
                    <w:tl2br w:val="nil"/>
                    <w:tr2bl w:val="nil"/>
                  </w:tcBorders>
                  <w:noWrap w:val="0"/>
                  <w:vAlign w:val="center"/>
                </w:tcPr>
                <w:p w14:paraId="1A54689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vMerge w:val="restart"/>
                  <w:tcBorders>
                    <w:left w:val="single" w:color="auto" w:sz="4" w:space="0"/>
                    <w:tl2br w:val="nil"/>
                    <w:tr2bl w:val="nil"/>
                  </w:tcBorders>
                  <w:noWrap w:val="0"/>
                  <w:vAlign w:val="center"/>
                </w:tcPr>
                <w:p w14:paraId="6747F386">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olor w:val="auto"/>
                      <w:spacing w:val="0"/>
                      <w:position w:val="0"/>
                      <w:sz w:val="21"/>
                      <w:szCs w:val="21"/>
                      <w:lang w:val="en-US" w:eastAsia="zh-CN"/>
                    </w:rPr>
                  </w:pPr>
                  <w:r>
                    <w:rPr>
                      <w:rFonts w:hint="default" w:ascii="Times New Roman" w:hAnsi="Times New Roman" w:cs="Times New Roman"/>
                      <w:sz w:val="21"/>
                      <w:szCs w:val="21"/>
                    </w:rPr>
                    <w:t>暂存于危废</w:t>
                  </w:r>
                  <w:r>
                    <w:rPr>
                      <w:rFonts w:hint="eastAsia" w:cs="Times New Roman"/>
                      <w:sz w:val="21"/>
                      <w:szCs w:val="21"/>
                      <w:lang w:eastAsia="zh-CN"/>
                    </w:rPr>
                    <w:t>暂存</w:t>
                  </w:r>
                  <w:r>
                    <w:rPr>
                      <w:rFonts w:hint="default" w:ascii="Times New Roman" w:hAnsi="Times New Roman" w:cs="Times New Roman"/>
                      <w:sz w:val="21"/>
                      <w:szCs w:val="21"/>
                    </w:rPr>
                    <w:t>间，定期交由</w:t>
                  </w:r>
                  <w:r>
                    <w:rPr>
                      <w:rFonts w:hint="eastAsia" w:cs="Times New Roman"/>
                      <w:bCs/>
                      <w:sz w:val="21"/>
                      <w:szCs w:val="21"/>
                      <w:lang w:eastAsia="zh-CN"/>
                    </w:rPr>
                    <w:t>资质</w:t>
                  </w:r>
                  <w:r>
                    <w:rPr>
                      <w:rFonts w:hint="default" w:ascii="Times New Roman" w:hAnsi="Times New Roman" w:cs="Times New Roman"/>
                      <w:bCs/>
                      <w:sz w:val="21"/>
                      <w:szCs w:val="21"/>
                    </w:rPr>
                    <w:t>单位</w:t>
                  </w:r>
                  <w:r>
                    <w:rPr>
                      <w:rFonts w:hint="eastAsia" w:cs="Times New Roman"/>
                      <w:bCs/>
                      <w:sz w:val="21"/>
                      <w:szCs w:val="21"/>
                      <w:lang w:eastAsia="zh-CN"/>
                    </w:rPr>
                    <w:t>处理</w:t>
                  </w:r>
                </w:p>
              </w:tc>
            </w:tr>
            <w:tr w14:paraId="519FE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41D58A1C">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p>
              </w:tc>
              <w:tc>
                <w:tcPr>
                  <w:tcW w:w="978" w:type="pct"/>
                  <w:tcBorders>
                    <w:tl2br w:val="nil"/>
                    <w:tr2bl w:val="nil"/>
                  </w:tcBorders>
                  <w:noWrap w:val="0"/>
                  <w:vAlign w:val="center"/>
                </w:tcPr>
                <w:p w14:paraId="13264DCE">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color w:val="auto"/>
                      <w:spacing w:val="0"/>
                      <w:kern w:val="2"/>
                      <w:position w:val="0"/>
                      <w:sz w:val="21"/>
                      <w:szCs w:val="21"/>
                      <w:lang w:val="en-US" w:eastAsia="zh-CN" w:bidi="ar-SA"/>
                    </w:rPr>
                  </w:pPr>
                  <w:r>
                    <w:rPr>
                      <w:rFonts w:hint="eastAsia" w:cs="Times New Roman"/>
                      <w:color w:val="auto"/>
                      <w:spacing w:val="0"/>
                      <w:kern w:val="2"/>
                      <w:position w:val="0"/>
                      <w:sz w:val="21"/>
                      <w:szCs w:val="21"/>
                      <w:lang w:val="en-US" w:eastAsia="zh-CN" w:bidi="ar-SA"/>
                    </w:rPr>
                    <w:t>废机油桶</w:t>
                  </w:r>
                </w:p>
              </w:tc>
              <w:tc>
                <w:tcPr>
                  <w:tcW w:w="819" w:type="pct"/>
                  <w:vMerge w:val="continue"/>
                  <w:tcBorders>
                    <w:right w:val="single" w:color="auto" w:sz="4" w:space="0"/>
                    <w:tl2br w:val="nil"/>
                    <w:tr2bl w:val="nil"/>
                  </w:tcBorders>
                  <w:noWrap w:val="0"/>
                  <w:vAlign w:val="center"/>
                </w:tcPr>
                <w:p w14:paraId="31A5E3B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olor w:val="000000" w:themeColor="text1"/>
                      <w:spacing w:val="0"/>
                      <w:position w:val="0"/>
                      <w:sz w:val="21"/>
                      <w:szCs w:val="21"/>
                      <w:lang w:val="en-US" w:eastAsia="zh-CN"/>
                      <w14:textFill>
                        <w14:solidFill>
                          <w14:schemeClr w14:val="tx1"/>
                        </w14:solidFill>
                      </w14:textFill>
                    </w:rPr>
                  </w:pPr>
                </w:p>
              </w:tc>
              <w:tc>
                <w:tcPr>
                  <w:tcW w:w="1155" w:type="pct"/>
                  <w:tcBorders>
                    <w:left w:val="single" w:color="auto" w:sz="4" w:space="0"/>
                    <w:right w:val="single" w:color="auto" w:sz="4" w:space="0"/>
                    <w:tl2br w:val="nil"/>
                    <w:tr2bl w:val="nil"/>
                  </w:tcBorders>
                  <w:noWrap w:val="0"/>
                  <w:vAlign w:val="center"/>
                </w:tcPr>
                <w:p w14:paraId="7123FD0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vMerge w:val="continue"/>
                  <w:tcBorders>
                    <w:left w:val="single" w:color="auto" w:sz="4" w:space="0"/>
                    <w:tl2br w:val="nil"/>
                    <w:tr2bl w:val="nil"/>
                  </w:tcBorders>
                  <w:noWrap w:val="0"/>
                  <w:vAlign w:val="center"/>
                </w:tcPr>
                <w:p w14:paraId="04F6297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sz w:val="21"/>
                      <w:szCs w:val="21"/>
                    </w:rPr>
                  </w:pPr>
                </w:p>
              </w:tc>
            </w:tr>
            <w:tr w14:paraId="4863B3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355" w:type="pct"/>
                  <w:vMerge w:val="continue"/>
                  <w:tcBorders>
                    <w:tl2br w:val="nil"/>
                    <w:tr2bl w:val="nil"/>
                  </w:tcBorders>
                  <w:noWrap w:val="0"/>
                  <w:vAlign w:val="center"/>
                </w:tcPr>
                <w:p w14:paraId="00528DA1">
                  <w:pPr>
                    <w:pStyle w:val="31"/>
                    <w:keepNext w:val="0"/>
                    <w:keepLines w:val="0"/>
                    <w:pageBreakBefore w:val="0"/>
                    <w:widowControl w:val="0"/>
                    <w:kinsoku/>
                    <w:wordWrap/>
                    <w:overflowPunct/>
                    <w:topLinePunct w:val="0"/>
                    <w:bidi w:val="0"/>
                    <w:snapToGrid/>
                    <w:spacing w:line="240" w:lineRule="auto"/>
                    <w:ind w:firstLine="0"/>
                    <w:jc w:val="center"/>
                    <w:textAlignment w:val="auto"/>
                    <w:rPr>
                      <w:rFonts w:hint="default" w:ascii="Times New Roman" w:hAnsi="Times New Roman" w:eastAsia="宋体" w:cs="Times New Roman"/>
                      <w:b w:val="0"/>
                      <w:bCs w:val="0"/>
                      <w:spacing w:val="0"/>
                      <w:kern w:val="2"/>
                      <w:position w:val="0"/>
                      <w:sz w:val="21"/>
                      <w:szCs w:val="21"/>
                      <w:lang w:val="en-US" w:eastAsia="zh-CN"/>
                    </w:rPr>
                  </w:pPr>
                </w:p>
              </w:tc>
              <w:tc>
                <w:tcPr>
                  <w:tcW w:w="978" w:type="pct"/>
                  <w:tcBorders>
                    <w:tl2br w:val="nil"/>
                    <w:tr2bl w:val="nil"/>
                  </w:tcBorders>
                  <w:noWrap w:val="0"/>
                  <w:vAlign w:val="center"/>
                </w:tcPr>
                <w:p w14:paraId="296F92EE">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spacing w:val="0"/>
                      <w:kern w:val="0"/>
                      <w:position w:val="0"/>
                      <w:sz w:val="21"/>
                      <w:szCs w:val="21"/>
                      <w:lang w:val="en-US" w:eastAsia="zh-CN" w:bidi="ar-SA"/>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生活垃圾</w:t>
                  </w:r>
                </w:p>
              </w:tc>
              <w:tc>
                <w:tcPr>
                  <w:tcW w:w="819" w:type="pct"/>
                  <w:tcBorders>
                    <w:right w:val="single" w:color="auto" w:sz="4" w:space="0"/>
                    <w:tl2br w:val="nil"/>
                    <w:tr2bl w:val="nil"/>
                  </w:tcBorders>
                  <w:noWrap w:val="0"/>
                  <w:vAlign w:val="center"/>
                </w:tcPr>
                <w:p w14:paraId="07A9E158">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themeColor="text1"/>
                      <w:spacing w:val="0"/>
                      <w:kern w:val="0"/>
                      <w:position w:val="0"/>
                      <w:sz w:val="21"/>
                      <w:szCs w:val="21"/>
                      <w:lang w:val="en-US" w:eastAsia="zh-CN" w:bidi="ar-SA"/>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155" w:type="pct"/>
                  <w:tcBorders>
                    <w:left w:val="single" w:color="auto" w:sz="4" w:space="0"/>
                    <w:right w:val="single" w:color="auto" w:sz="4" w:space="0"/>
                    <w:tl2br w:val="nil"/>
                    <w:tr2bl w:val="nil"/>
                  </w:tcBorders>
                  <w:noWrap w:val="0"/>
                  <w:vAlign w:val="center"/>
                </w:tcPr>
                <w:p w14:paraId="6C0FE95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olor w:val="000000" w:themeColor="text1"/>
                      <w:spacing w:val="0"/>
                      <w:position w:val="0"/>
                      <w:sz w:val="21"/>
                      <w:szCs w:val="21"/>
                      <w:lang w:val="en-US" w:eastAsia="zh-CN"/>
                      <w14:textFill>
                        <w14:solidFill>
                          <w14:schemeClr w14:val="tx1"/>
                        </w14:solidFill>
                      </w14:textFill>
                    </w:rPr>
                  </w:pPr>
                  <w:r>
                    <w:rPr>
                      <w:rFonts w:hint="eastAsia"/>
                      <w:color w:val="000000" w:themeColor="text1"/>
                      <w:spacing w:val="0"/>
                      <w:position w:val="0"/>
                      <w:sz w:val="21"/>
                      <w:szCs w:val="21"/>
                      <w:lang w:val="en-US" w:eastAsia="zh-CN"/>
                      <w14:textFill>
                        <w14:solidFill>
                          <w14:schemeClr w14:val="tx1"/>
                        </w14:solidFill>
                      </w14:textFill>
                    </w:rPr>
                    <w:t>/</w:t>
                  </w:r>
                </w:p>
              </w:tc>
              <w:tc>
                <w:tcPr>
                  <w:tcW w:w="1691" w:type="pct"/>
                  <w:tcBorders>
                    <w:left w:val="single" w:color="auto" w:sz="4" w:space="0"/>
                    <w:tl2br w:val="nil"/>
                    <w:tr2bl w:val="nil"/>
                  </w:tcBorders>
                  <w:noWrap w:val="0"/>
                  <w:vAlign w:val="center"/>
                </w:tcPr>
                <w:p w14:paraId="3554C372">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spacing w:val="0"/>
                      <w:position w:val="0"/>
                      <w:sz w:val="21"/>
                      <w:szCs w:val="21"/>
                      <w:lang w:val="en-US" w:eastAsia="zh-CN"/>
                    </w:rPr>
                  </w:pPr>
                  <w:r>
                    <w:rPr>
                      <w:rFonts w:hint="eastAsia"/>
                      <w:spacing w:val="0"/>
                      <w:position w:val="0"/>
                      <w:sz w:val="21"/>
                      <w:szCs w:val="21"/>
                      <w:lang w:val="en-US" w:eastAsia="zh-CN"/>
                    </w:rPr>
                    <w:t>环卫清运</w:t>
                  </w:r>
                </w:p>
              </w:tc>
            </w:tr>
          </w:tbl>
          <w:p w14:paraId="7640FAFA">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b/>
                <w:sz w:val="24"/>
                <w:szCs w:val="24"/>
              </w:rPr>
            </w:pPr>
          </w:p>
        </w:tc>
      </w:tr>
      <w:tr w14:paraId="65BA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3" w:hRule="atLeast"/>
          <w:jc w:val="center"/>
        </w:trPr>
        <w:tc>
          <w:tcPr>
            <w:tcW w:w="456" w:type="dxa"/>
            <w:vAlign w:val="center"/>
          </w:tcPr>
          <w:p w14:paraId="7F537413">
            <w:pPr>
              <w:spacing w:line="240" w:lineRule="auto"/>
              <w:rPr>
                <w:rFonts w:hint="eastAsia" w:ascii="Times New Roman" w:hAnsi="Times New Roman" w:eastAsia="宋体" w:cs="Times New Roman"/>
                <w:b/>
                <w:kern w:val="2"/>
                <w:sz w:val="24"/>
                <w:szCs w:val="24"/>
                <w:lang w:val="en-US" w:eastAsia="zh-CN" w:bidi="ar-SA"/>
              </w:rPr>
            </w:pPr>
            <w:r>
              <w:rPr>
                <w:rFonts w:hint="eastAsia" w:cs="宋体"/>
                <w:bCs/>
                <w:szCs w:val="21"/>
              </w:rPr>
              <w:t>与项目有关的原有环境污染问题</w:t>
            </w:r>
          </w:p>
        </w:tc>
        <w:tc>
          <w:tcPr>
            <w:tcW w:w="9115" w:type="dxa"/>
            <w:vAlign w:val="center"/>
          </w:tcPr>
          <w:p w14:paraId="445000D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sz w:val="24"/>
                <w:szCs w:val="24"/>
                <w:lang w:eastAsia="zh-CN"/>
              </w:rPr>
              <w:t>本项目</w:t>
            </w:r>
            <w:r>
              <w:rPr>
                <w:rFonts w:hint="default" w:ascii="Times New Roman" w:hAnsi="Times New Roman" w:cs="Times New Roman"/>
                <w:color w:val="auto"/>
                <w:sz w:val="24"/>
                <w:szCs w:val="24"/>
                <w:lang w:eastAsia="zh-CN"/>
              </w:rPr>
              <w:t>为新建项目</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位于</w:t>
            </w:r>
            <w:r>
              <w:rPr>
                <w:rFonts w:hint="default" w:ascii="Times New Roman" w:hAnsi="Times New Roman" w:eastAsia="宋体" w:cs="Times New Roman"/>
                <w:color w:val="auto"/>
                <w:sz w:val="24"/>
                <w:szCs w:val="24"/>
                <w:lang w:val="en-US" w:eastAsia="zh-CN"/>
              </w:rPr>
              <w:t>安徽省</w:t>
            </w:r>
            <w:r>
              <w:rPr>
                <w:rFonts w:hint="eastAsia"/>
                <w:color w:val="auto"/>
                <w:sz w:val="24"/>
                <w:szCs w:val="24"/>
                <w:lang w:eastAsia="zh-CN"/>
              </w:rPr>
              <w:t>蚌埠市</w:t>
            </w:r>
            <w:r>
              <w:rPr>
                <w:rFonts w:hint="eastAsia" w:cs="Times New Roman"/>
                <w:color w:val="auto"/>
                <w:spacing w:val="-2"/>
                <w:sz w:val="24"/>
                <w:szCs w:val="24"/>
                <w:lang w:val="en-US" w:eastAsia="zh-CN"/>
              </w:rPr>
              <w:t>固镇经济开发区门东路南侧、经二路西侧</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根据</w:t>
            </w:r>
            <w:r>
              <w:rPr>
                <w:rFonts w:hint="default" w:ascii="Times New Roman" w:hAnsi="Times New Roman" w:eastAsia="宋体" w:cs="Times New Roman"/>
                <w:color w:val="auto"/>
                <w:kern w:val="0"/>
                <w:sz w:val="24"/>
                <w:szCs w:val="24"/>
                <w:lang w:val="en-US" w:eastAsia="zh-CN" w:bidi="ar"/>
              </w:rPr>
              <w:t>现场勘察</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SA"/>
              </w:rPr>
              <w:t>本项目所在区域为空地</w:t>
            </w:r>
            <w:r>
              <w:rPr>
                <w:rFonts w:hint="default" w:ascii="Times New Roman" w:hAnsi="Times New Roman" w:eastAsia="宋体" w:cs="Times New Roman"/>
                <w:color w:val="auto"/>
                <w:kern w:val="0"/>
                <w:sz w:val="24"/>
                <w:szCs w:val="24"/>
                <w:lang w:val="en-US" w:eastAsia="zh-CN" w:bidi="ar-SA"/>
              </w:rPr>
              <w:t>，无与本项目有关的原有环境污染问题。</w:t>
            </w:r>
          </w:p>
        </w:tc>
      </w:tr>
    </w:tbl>
    <w:p w14:paraId="090E4531">
      <w:pPr>
        <w:pStyle w:val="24"/>
        <w:ind w:firstLine="964" w:firstLineChars="300"/>
        <w:jc w:val="both"/>
        <w:rPr>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2" w:name="_Toc27508"/>
    </w:p>
    <w:p w14:paraId="0FF9792F">
      <w:pPr>
        <w:pStyle w:val="24"/>
        <w:ind w:firstLine="964" w:firstLineChars="300"/>
        <w:jc w:val="both"/>
        <w:rPr>
          <w:rFonts w:ascii="黑体" w:hAnsi="黑体" w:eastAsia="黑体"/>
          <w:snapToGrid w:val="0"/>
        </w:rPr>
      </w:pPr>
      <w:r>
        <w:rPr>
          <w:snapToGrid w:val="0"/>
        </w:rPr>
        <w:t>三、区域环境质量现状、环境保护目标及评价标准</w:t>
      </w:r>
      <w:bookmarkEnd w:id="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037"/>
      </w:tblGrid>
      <w:tr w14:paraId="16EF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34" w:type="dxa"/>
            <w:vAlign w:val="center"/>
          </w:tcPr>
          <w:p w14:paraId="38F1D663">
            <w:pPr>
              <w:adjustRightInd w:val="0"/>
              <w:snapToGrid w:val="0"/>
              <w:jc w:val="center"/>
              <w:rPr>
                <w:rFonts w:ascii="宋体" w:hAnsi="宋体" w:cs="宋体"/>
                <w:kern w:val="0"/>
                <w:sz w:val="24"/>
                <w:szCs w:val="24"/>
              </w:rPr>
            </w:pPr>
            <w:r>
              <w:rPr>
                <w:rFonts w:hint="eastAsia" w:ascii="宋体" w:hAnsi="宋体" w:cs="宋体"/>
                <w:kern w:val="0"/>
                <w:sz w:val="24"/>
                <w:szCs w:val="24"/>
              </w:rPr>
              <w:t>区域环境质量现状</w:t>
            </w:r>
          </w:p>
        </w:tc>
        <w:tc>
          <w:tcPr>
            <w:tcW w:w="9037" w:type="dxa"/>
          </w:tcPr>
          <w:p w14:paraId="11FB8214">
            <w:pPr>
              <w:spacing w:line="360" w:lineRule="auto"/>
              <w:rPr>
                <w:b/>
                <w:sz w:val="24"/>
                <w:szCs w:val="28"/>
              </w:rPr>
            </w:pPr>
            <w:r>
              <w:rPr>
                <w:rFonts w:hint="eastAsia"/>
                <w:b/>
                <w:sz w:val="24"/>
                <w:szCs w:val="28"/>
              </w:rPr>
              <w:t>1</w:t>
            </w:r>
            <w:r>
              <w:rPr>
                <w:b/>
                <w:sz w:val="24"/>
                <w:szCs w:val="28"/>
              </w:rPr>
              <w:t>、</w:t>
            </w:r>
            <w:r>
              <w:rPr>
                <w:rFonts w:hint="eastAsia"/>
                <w:b/>
                <w:sz w:val="24"/>
                <w:szCs w:val="28"/>
                <w:lang w:eastAsia="zh-CN"/>
              </w:rPr>
              <w:t>空气</w:t>
            </w:r>
            <w:r>
              <w:rPr>
                <w:rFonts w:hint="eastAsia"/>
                <w:b/>
                <w:sz w:val="24"/>
                <w:szCs w:val="28"/>
              </w:rPr>
              <w:t>环境</w:t>
            </w:r>
          </w:p>
          <w:p w14:paraId="212ED9D2">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（1）项目所在区域达标判断</w:t>
            </w:r>
          </w:p>
          <w:p w14:paraId="1A359FB2">
            <w:pPr>
              <w:spacing w:line="360" w:lineRule="auto"/>
              <w:ind w:firstLine="480" w:firstLineChars="200"/>
              <w:rPr>
                <w:sz w:val="24"/>
              </w:rPr>
            </w:pPr>
            <w:r>
              <w:rPr>
                <w:sz w:val="24"/>
              </w:rPr>
              <w:t>项目所在区域环境空气质量为二类功能区。</w:t>
            </w:r>
          </w:p>
          <w:p w14:paraId="5CE26BFE">
            <w:pPr>
              <w:pStyle w:val="8"/>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本次评价选择</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rPr>
              <w:t>年作为评价基准年，引用《202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rPr>
              <w:t>年蚌埠市环境状况公报》中环境空气质量部分内容，具体如下：</w:t>
            </w:r>
          </w:p>
          <w:p w14:paraId="314ADF92">
            <w:pPr>
              <w:pStyle w:val="8"/>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202</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rPr>
              <w:t>年，本市市区细颗粒物（</w:t>
            </w:r>
            <w:r>
              <w:rPr>
                <w:rFonts w:hint="default" w:ascii="Times New Roman" w:hAnsi="Times New Roman" w:cs="Times New Roman"/>
                <w:color w:val="auto"/>
                <w:sz w:val="24"/>
              </w:rPr>
              <w:t>P</w:t>
            </w:r>
            <w:r>
              <w:rPr>
                <w:rFonts w:hint="default" w:ascii="Times New Roman" w:hAnsi="Times New Roman" w:cs="Times New Roman"/>
                <w:color w:val="auto"/>
                <w:szCs w:val="21"/>
              </w:rPr>
              <w:t>M</w:t>
            </w:r>
            <w:r>
              <w:rPr>
                <w:rFonts w:hint="default" w:ascii="Times New Roman" w:hAnsi="Times New Roman" w:cs="Times New Roman"/>
                <w:color w:val="auto"/>
                <w:szCs w:val="21"/>
                <w:vertAlign w:val="subscript"/>
                <w:lang w:val="en-US" w:eastAsia="zh-CN"/>
              </w:rPr>
              <w:t>2</w:t>
            </w:r>
            <w:r>
              <w:rPr>
                <w:rFonts w:hint="default" w:ascii="Times New Roman" w:hAnsi="Times New Roman" w:cs="Times New Roman"/>
                <w:color w:val="auto"/>
                <w:sz w:val="24"/>
                <w:vertAlign w:val="subscript"/>
              </w:rPr>
              <w:t>.5</w:t>
            </w:r>
            <w:r>
              <w:rPr>
                <w:rFonts w:hint="default" w:ascii="Times New Roman" w:hAnsi="Times New Roman" w:eastAsia="宋体" w:cs="Times New Roman"/>
                <w:color w:val="auto"/>
                <w:sz w:val="24"/>
                <w:szCs w:val="24"/>
                <w:lang w:val="en-US"/>
              </w:rPr>
              <w:t>）年均浓度为3</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rPr>
              <w:t>微克/立方米，同比</w:t>
            </w:r>
            <w:r>
              <w:rPr>
                <w:rFonts w:hint="eastAsia" w:cs="Times New Roman"/>
                <w:color w:val="auto"/>
                <w:sz w:val="24"/>
                <w:szCs w:val="24"/>
                <w:lang w:val="en-US" w:eastAsia="zh-CN"/>
              </w:rPr>
              <w:t>上升1</w:t>
            </w:r>
            <w:r>
              <w:rPr>
                <w:rFonts w:hint="default" w:ascii="Times New Roman" w:hAnsi="Times New Roman" w:eastAsia="宋体" w:cs="Times New Roman"/>
                <w:color w:val="auto"/>
                <w:sz w:val="24"/>
                <w:szCs w:val="24"/>
                <w:lang w:val="en-US"/>
              </w:rPr>
              <w:t>微克/立方米；优良天数比例为</w:t>
            </w:r>
            <w:r>
              <w:rPr>
                <w:rFonts w:hint="eastAsia" w:cs="Times New Roman"/>
                <w:color w:val="auto"/>
                <w:sz w:val="24"/>
                <w:szCs w:val="24"/>
                <w:lang w:val="en-US" w:eastAsia="zh-CN"/>
              </w:rPr>
              <w:t>80.8</w:t>
            </w:r>
            <w:r>
              <w:rPr>
                <w:rFonts w:hint="default" w:ascii="Times New Roman" w:hAnsi="Times New Roman" w:eastAsia="宋体" w:cs="Times New Roman"/>
                <w:color w:val="auto"/>
                <w:sz w:val="24"/>
                <w:szCs w:val="24"/>
                <w:lang w:val="en-US"/>
              </w:rPr>
              <w:t>%，同比</w:t>
            </w:r>
            <w:r>
              <w:rPr>
                <w:rFonts w:hint="eastAsia" w:cs="Times New Roman"/>
                <w:color w:val="auto"/>
                <w:sz w:val="24"/>
                <w:szCs w:val="24"/>
                <w:lang w:val="en-US" w:eastAsia="zh-CN"/>
              </w:rPr>
              <w:t>上升1.9</w:t>
            </w:r>
            <w:r>
              <w:rPr>
                <w:rFonts w:hint="default" w:ascii="Times New Roman" w:hAnsi="Times New Roman" w:eastAsia="宋体" w:cs="Times New Roman"/>
                <w:color w:val="auto"/>
                <w:sz w:val="24"/>
                <w:szCs w:val="24"/>
                <w:lang w:val="en-US"/>
              </w:rPr>
              <w:t>%。</w:t>
            </w:r>
          </w:p>
          <w:p w14:paraId="31B4BD70">
            <w:pPr>
              <w:adjustRightInd w:val="0"/>
              <w:snapToGrid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表3-</w:t>
            </w:r>
            <w:r>
              <w:rPr>
                <w:rFonts w:hint="default" w:ascii="Times New Roman" w:hAnsi="Times New Roman" w:cs="Times New Roman"/>
                <w:b/>
                <w:color w:val="auto"/>
                <w:sz w:val="21"/>
                <w:szCs w:val="21"/>
                <w:lang w:val="en-US" w:eastAsia="zh-CN"/>
              </w:rPr>
              <w:t xml:space="preserve">1 </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20</w:t>
            </w:r>
            <w:r>
              <w:rPr>
                <w:rFonts w:hint="default" w:ascii="Times New Roman" w:hAnsi="Times New Roman" w:cs="Times New Roman"/>
                <w:b/>
                <w:color w:val="auto"/>
                <w:sz w:val="21"/>
                <w:szCs w:val="21"/>
                <w:lang w:val="en-US" w:eastAsia="zh-CN"/>
              </w:rPr>
              <w:t>2</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年</w:t>
            </w:r>
            <w:r>
              <w:rPr>
                <w:rFonts w:hint="default" w:ascii="Times New Roman" w:hAnsi="Times New Roman" w:cs="Times New Roman"/>
                <w:b/>
                <w:color w:val="auto"/>
                <w:sz w:val="21"/>
                <w:szCs w:val="21"/>
                <w:lang w:eastAsia="zh-CN"/>
              </w:rPr>
              <w:t>蚌埠市</w:t>
            </w:r>
            <w:r>
              <w:rPr>
                <w:rFonts w:hint="default" w:ascii="Times New Roman" w:hAnsi="Times New Roman" w:cs="Times New Roman"/>
                <w:b/>
                <w:color w:val="auto"/>
                <w:sz w:val="21"/>
                <w:szCs w:val="21"/>
              </w:rPr>
              <w:t>年均浓度</w:t>
            </w:r>
          </w:p>
          <w:tbl>
            <w:tblPr>
              <w:tblStyle w:val="25"/>
              <w:tblW w:w="4998"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755"/>
              <w:gridCol w:w="2620"/>
              <w:gridCol w:w="1343"/>
              <w:gridCol w:w="1760"/>
              <w:gridCol w:w="1174"/>
              <w:gridCol w:w="1156"/>
            </w:tblGrid>
            <w:tr w14:paraId="343217A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89" w:hRule="atLeast"/>
                <w:jc w:val="center"/>
              </w:trPr>
              <w:tc>
                <w:tcPr>
                  <w:tcW w:w="428" w:type="pct"/>
                  <w:noWrap w:val="0"/>
                  <w:vAlign w:val="center"/>
                </w:tcPr>
                <w:p w14:paraId="72ECE90F">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7"/>
                      <w:szCs w:val="21"/>
                    </w:rPr>
                    <w:t>污染物</w:t>
                  </w:r>
                </w:p>
              </w:tc>
              <w:tc>
                <w:tcPr>
                  <w:tcW w:w="1486" w:type="pct"/>
                  <w:noWrap w:val="0"/>
                  <w:vAlign w:val="center"/>
                </w:tcPr>
                <w:p w14:paraId="52CDC7E8">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9"/>
                      <w:szCs w:val="21"/>
                    </w:rPr>
                    <w:t>评价指</w:t>
                  </w:r>
                  <w:r>
                    <w:rPr>
                      <w:rFonts w:hint="default" w:ascii="Times New Roman" w:hAnsi="Times New Roman" w:cs="Times New Roman"/>
                      <w:b/>
                      <w:bCs/>
                      <w:color w:val="auto"/>
                      <w:spacing w:val="8"/>
                      <w:szCs w:val="21"/>
                    </w:rPr>
                    <w:t>标</w:t>
                  </w:r>
                </w:p>
              </w:tc>
              <w:tc>
                <w:tcPr>
                  <w:tcW w:w="761" w:type="pct"/>
                  <w:noWrap w:val="0"/>
                  <w:vAlign w:val="center"/>
                </w:tcPr>
                <w:p w14:paraId="2219CB7C">
                  <w:pPr>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pacing w:val="6"/>
                      <w:position w:val="3"/>
                      <w:szCs w:val="21"/>
                    </w:rPr>
                    <w:t xml:space="preserve">现状浓度 </w:t>
                  </w:r>
                  <w:r>
                    <w:rPr>
                      <w:rFonts w:hint="default" w:ascii="Times New Roman" w:hAnsi="Times New Roman" w:cs="Times New Roman"/>
                      <w:b/>
                      <w:bCs/>
                      <w:color w:val="auto"/>
                      <w:spacing w:val="6"/>
                      <w:position w:val="3"/>
                      <w:szCs w:val="21"/>
                      <w:lang w:eastAsia="zh-CN"/>
                    </w:rPr>
                    <w:t>（</w:t>
                  </w:r>
                  <w:r>
                    <w:rPr>
                      <w:rFonts w:hint="default" w:ascii="Times New Roman" w:hAnsi="Times New Roman" w:cs="Times New Roman"/>
                      <w:b/>
                      <w:bCs/>
                      <w:color w:val="auto"/>
                      <w:spacing w:val="6"/>
                      <w:position w:val="3"/>
                      <w:szCs w:val="21"/>
                    </w:rPr>
                    <w:t>μ</w:t>
                  </w:r>
                  <w:r>
                    <w:rPr>
                      <w:rFonts w:hint="default" w:ascii="Times New Roman" w:hAnsi="Times New Roman" w:cs="Times New Roman"/>
                      <w:b/>
                      <w:bCs/>
                      <w:color w:val="auto"/>
                      <w:position w:val="3"/>
                      <w:szCs w:val="21"/>
                    </w:rPr>
                    <w:t>g</w:t>
                  </w:r>
                  <w:r>
                    <w:rPr>
                      <w:rFonts w:hint="default" w:ascii="Times New Roman" w:hAnsi="Times New Roman" w:cs="Times New Roman"/>
                      <w:b/>
                      <w:bCs/>
                      <w:color w:val="auto"/>
                      <w:spacing w:val="6"/>
                      <w:position w:val="3"/>
                      <w:szCs w:val="21"/>
                    </w:rPr>
                    <w:t>/</w:t>
                  </w:r>
                  <w:r>
                    <w:rPr>
                      <w:rFonts w:hint="default" w:ascii="Times New Roman" w:hAnsi="Times New Roman" w:cs="Times New Roman"/>
                      <w:b/>
                      <w:bCs/>
                      <w:color w:val="auto"/>
                      <w:position w:val="3"/>
                      <w:szCs w:val="21"/>
                      <w:lang w:eastAsia="zh-CN"/>
                    </w:rPr>
                    <w:t>m</w:t>
                  </w:r>
                  <w:r>
                    <w:rPr>
                      <w:rFonts w:hint="default" w:ascii="Times New Roman" w:hAnsi="Times New Roman" w:cs="Times New Roman"/>
                      <w:b/>
                      <w:bCs/>
                      <w:color w:val="auto"/>
                      <w:position w:val="3"/>
                      <w:szCs w:val="21"/>
                      <w:vertAlign w:val="superscript"/>
                      <w:lang w:eastAsia="zh-CN"/>
                    </w:rPr>
                    <w:t>3</w:t>
                  </w:r>
                  <w:r>
                    <w:rPr>
                      <w:rFonts w:hint="default" w:ascii="Times New Roman" w:hAnsi="Times New Roman" w:cs="Times New Roman"/>
                      <w:b/>
                      <w:bCs/>
                      <w:color w:val="auto"/>
                      <w:spacing w:val="6"/>
                      <w:position w:val="9"/>
                      <w:szCs w:val="21"/>
                      <w:vertAlign w:val="superscript"/>
                    </w:rPr>
                    <w:t xml:space="preserve"> </w:t>
                  </w:r>
                  <w:r>
                    <w:rPr>
                      <w:rFonts w:hint="default" w:ascii="Times New Roman" w:hAnsi="Times New Roman" w:cs="Times New Roman"/>
                      <w:b/>
                      <w:bCs/>
                      <w:color w:val="auto"/>
                      <w:spacing w:val="6"/>
                      <w:position w:val="3"/>
                      <w:szCs w:val="21"/>
                      <w:lang w:eastAsia="zh-CN"/>
                    </w:rPr>
                    <w:t>）</w:t>
                  </w:r>
                </w:p>
              </w:tc>
              <w:tc>
                <w:tcPr>
                  <w:tcW w:w="1000" w:type="pct"/>
                  <w:noWrap w:val="0"/>
                  <w:vAlign w:val="center"/>
                </w:tcPr>
                <w:p w14:paraId="4DF0D9C6">
                  <w:pPr>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pacing w:val="10"/>
                      <w:position w:val="3"/>
                      <w:szCs w:val="21"/>
                    </w:rPr>
                    <w:t>标</w:t>
                  </w:r>
                  <w:r>
                    <w:rPr>
                      <w:rFonts w:hint="default" w:ascii="Times New Roman" w:hAnsi="Times New Roman" w:cs="Times New Roman"/>
                      <w:b/>
                      <w:bCs/>
                      <w:color w:val="auto"/>
                      <w:spacing w:val="6"/>
                      <w:position w:val="3"/>
                      <w:szCs w:val="21"/>
                    </w:rPr>
                    <w:t>准</w:t>
                  </w:r>
                  <w:r>
                    <w:rPr>
                      <w:rFonts w:hint="default" w:ascii="Times New Roman" w:hAnsi="Times New Roman" w:cs="Times New Roman"/>
                      <w:b/>
                      <w:bCs/>
                      <w:color w:val="auto"/>
                      <w:spacing w:val="5"/>
                      <w:position w:val="3"/>
                      <w:szCs w:val="21"/>
                    </w:rPr>
                    <w:t xml:space="preserve">值 </w:t>
                  </w:r>
                  <w:r>
                    <w:rPr>
                      <w:rFonts w:hint="default" w:ascii="Times New Roman" w:hAnsi="Times New Roman" w:cs="Times New Roman"/>
                      <w:b/>
                      <w:bCs/>
                      <w:color w:val="auto"/>
                      <w:spacing w:val="5"/>
                      <w:position w:val="3"/>
                      <w:szCs w:val="21"/>
                      <w:lang w:eastAsia="zh-CN"/>
                    </w:rPr>
                    <w:t>（</w:t>
                  </w:r>
                  <w:r>
                    <w:rPr>
                      <w:rFonts w:hint="default" w:ascii="Times New Roman" w:hAnsi="Times New Roman" w:cs="Times New Roman"/>
                      <w:b/>
                      <w:bCs/>
                      <w:color w:val="auto"/>
                      <w:spacing w:val="5"/>
                      <w:position w:val="3"/>
                      <w:szCs w:val="21"/>
                    </w:rPr>
                    <w:t>μ</w:t>
                  </w:r>
                  <w:r>
                    <w:rPr>
                      <w:rFonts w:hint="default" w:ascii="Times New Roman" w:hAnsi="Times New Roman" w:cs="Times New Roman"/>
                      <w:b/>
                      <w:bCs/>
                      <w:color w:val="auto"/>
                      <w:position w:val="3"/>
                      <w:szCs w:val="21"/>
                    </w:rPr>
                    <w:t>g</w:t>
                  </w:r>
                  <w:r>
                    <w:rPr>
                      <w:rFonts w:hint="default" w:ascii="Times New Roman" w:hAnsi="Times New Roman" w:cs="Times New Roman"/>
                      <w:b/>
                      <w:bCs/>
                      <w:color w:val="auto"/>
                      <w:spacing w:val="5"/>
                      <w:position w:val="3"/>
                      <w:szCs w:val="21"/>
                    </w:rPr>
                    <w:t>/</w:t>
                  </w:r>
                  <w:r>
                    <w:rPr>
                      <w:rFonts w:hint="default" w:ascii="Times New Roman" w:hAnsi="Times New Roman" w:cs="Times New Roman"/>
                      <w:b/>
                      <w:bCs/>
                      <w:color w:val="auto"/>
                      <w:position w:val="3"/>
                      <w:szCs w:val="21"/>
                      <w:lang w:eastAsia="zh-CN"/>
                    </w:rPr>
                    <w:t>m</w:t>
                  </w:r>
                  <w:r>
                    <w:rPr>
                      <w:rFonts w:hint="default" w:ascii="Times New Roman" w:hAnsi="Times New Roman" w:cs="Times New Roman"/>
                      <w:b/>
                      <w:bCs/>
                      <w:color w:val="auto"/>
                      <w:position w:val="3"/>
                      <w:szCs w:val="21"/>
                      <w:vertAlign w:val="superscript"/>
                      <w:lang w:eastAsia="zh-CN"/>
                    </w:rPr>
                    <w:t>3</w:t>
                  </w:r>
                  <w:r>
                    <w:rPr>
                      <w:rFonts w:hint="default" w:ascii="Times New Roman" w:hAnsi="Times New Roman" w:cs="Times New Roman"/>
                      <w:b/>
                      <w:bCs/>
                      <w:color w:val="auto"/>
                      <w:spacing w:val="5"/>
                      <w:position w:val="9"/>
                      <w:szCs w:val="21"/>
                    </w:rPr>
                    <w:t xml:space="preserve"> </w:t>
                  </w:r>
                  <w:r>
                    <w:rPr>
                      <w:rFonts w:hint="default" w:ascii="Times New Roman" w:hAnsi="Times New Roman" w:cs="Times New Roman"/>
                      <w:b/>
                      <w:bCs/>
                      <w:color w:val="auto"/>
                      <w:spacing w:val="5"/>
                      <w:position w:val="3"/>
                      <w:szCs w:val="21"/>
                      <w:lang w:eastAsia="zh-CN"/>
                    </w:rPr>
                    <w:t>）</w:t>
                  </w:r>
                </w:p>
              </w:tc>
              <w:tc>
                <w:tcPr>
                  <w:tcW w:w="666" w:type="pct"/>
                  <w:noWrap w:val="0"/>
                  <w:vAlign w:val="center"/>
                </w:tcPr>
                <w:p w14:paraId="01ADE885">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1"/>
                      <w:position w:val="1"/>
                      <w:szCs w:val="21"/>
                    </w:rPr>
                    <w:t>占标率</w:t>
                  </w:r>
                  <w:r>
                    <w:rPr>
                      <w:rFonts w:hint="default" w:ascii="Times New Roman" w:hAnsi="Times New Roman" w:cs="Times New Roman"/>
                      <w:b/>
                      <w:bCs/>
                      <w:color w:val="auto"/>
                      <w:position w:val="1"/>
                      <w:szCs w:val="21"/>
                    </w:rPr>
                    <w:t>%</w:t>
                  </w:r>
                </w:p>
              </w:tc>
              <w:tc>
                <w:tcPr>
                  <w:tcW w:w="656" w:type="pct"/>
                  <w:noWrap w:val="0"/>
                  <w:vAlign w:val="center"/>
                </w:tcPr>
                <w:p w14:paraId="33FFDAA4">
                  <w:pPr>
                    <w:jc w:val="center"/>
                    <w:rPr>
                      <w:rFonts w:hint="default" w:ascii="Times New Roman" w:hAnsi="Times New Roman" w:cs="Times New Roman"/>
                      <w:b/>
                      <w:bCs/>
                      <w:color w:val="auto"/>
                      <w:szCs w:val="21"/>
                    </w:rPr>
                  </w:pPr>
                  <w:r>
                    <w:rPr>
                      <w:rFonts w:hint="default" w:ascii="Times New Roman" w:hAnsi="Times New Roman" w:cs="Times New Roman"/>
                      <w:b/>
                      <w:bCs/>
                      <w:color w:val="auto"/>
                      <w:spacing w:val="9"/>
                      <w:szCs w:val="21"/>
                    </w:rPr>
                    <w:t>达标情</w:t>
                  </w:r>
                  <w:r>
                    <w:rPr>
                      <w:rFonts w:hint="default" w:ascii="Times New Roman" w:hAnsi="Times New Roman" w:cs="Times New Roman"/>
                      <w:b/>
                      <w:bCs/>
                      <w:color w:val="auto"/>
                      <w:spacing w:val="8"/>
                      <w:szCs w:val="21"/>
                    </w:rPr>
                    <w:t>况</w:t>
                  </w:r>
                </w:p>
              </w:tc>
            </w:tr>
            <w:tr w14:paraId="7ADDEC5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noWrap w:val="0"/>
                  <w:vAlign w:val="center"/>
                </w:tcPr>
                <w:p w14:paraId="5FD19C49">
                  <w:pPr>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pacing w:val="1"/>
                      <w:position w:val="-1"/>
                      <w:szCs w:val="21"/>
                      <w:vertAlign w:val="subscript"/>
                    </w:rPr>
                    <w:t>2</w:t>
                  </w:r>
                </w:p>
              </w:tc>
              <w:tc>
                <w:tcPr>
                  <w:tcW w:w="1486" w:type="pct"/>
                  <w:noWrap w:val="0"/>
                  <w:vAlign w:val="center"/>
                </w:tcPr>
                <w:p w14:paraId="02D46FCC">
                  <w:pPr>
                    <w:jc w:val="center"/>
                    <w:rPr>
                      <w:rFonts w:hint="default" w:ascii="Times New Roman" w:hAnsi="Times New Roman" w:cs="Times New Roman"/>
                      <w:color w:val="auto"/>
                      <w:szCs w:val="21"/>
                    </w:rPr>
                  </w:pPr>
                  <w:r>
                    <w:rPr>
                      <w:rFonts w:hint="default" w:ascii="Times New Roman" w:hAnsi="Times New Roman" w:cs="Times New Roman"/>
                      <w:color w:val="auto"/>
                      <w:spacing w:val="8"/>
                      <w:szCs w:val="21"/>
                    </w:rPr>
                    <w:t>年平均浓</w:t>
                  </w:r>
                  <w:r>
                    <w:rPr>
                      <w:rFonts w:hint="default" w:ascii="Times New Roman" w:hAnsi="Times New Roman" w:cs="Times New Roman"/>
                      <w:color w:val="auto"/>
                      <w:spacing w:val="7"/>
                      <w:szCs w:val="21"/>
                    </w:rPr>
                    <w:t>度</w:t>
                  </w:r>
                </w:p>
              </w:tc>
              <w:tc>
                <w:tcPr>
                  <w:tcW w:w="1342" w:type="dxa"/>
                  <w:noWrap w:val="0"/>
                  <w:vAlign w:val="center"/>
                </w:tcPr>
                <w:p w14:paraId="1529BED2">
                  <w:pPr>
                    <w:jc w:val="center"/>
                    <w:rPr>
                      <w:rFonts w:hint="default" w:ascii="Times New Roman" w:hAnsi="Times New Roman" w:cs="Times New Roman"/>
                      <w:color w:val="auto"/>
                      <w:szCs w:val="21"/>
                    </w:rPr>
                  </w:pPr>
                  <w:r>
                    <w:rPr>
                      <w:rFonts w:hint="eastAsia" w:cs="宋体"/>
                      <w:color w:val="auto"/>
                      <w:szCs w:val="21"/>
                      <w:lang w:val="en-US" w:eastAsia="zh-CN"/>
                    </w:rPr>
                    <w:t>8</w:t>
                  </w:r>
                </w:p>
              </w:tc>
              <w:tc>
                <w:tcPr>
                  <w:tcW w:w="1763" w:type="dxa"/>
                  <w:noWrap w:val="0"/>
                  <w:vAlign w:val="center"/>
                </w:tcPr>
                <w:p w14:paraId="6489D591">
                  <w:pPr>
                    <w:jc w:val="center"/>
                    <w:rPr>
                      <w:rFonts w:hint="default" w:ascii="Times New Roman" w:hAnsi="Times New Roman" w:cs="Times New Roman"/>
                      <w:color w:val="auto"/>
                      <w:szCs w:val="21"/>
                    </w:rPr>
                  </w:pPr>
                  <w:r>
                    <w:rPr>
                      <w:rFonts w:hint="default" w:ascii="Times New Roman" w:hAnsi="Times New Roman" w:cs="Times New Roman"/>
                      <w:color w:val="auto"/>
                      <w:spacing w:val="1"/>
                      <w:szCs w:val="21"/>
                    </w:rPr>
                    <w:t>6</w:t>
                  </w:r>
                  <w:r>
                    <w:rPr>
                      <w:rFonts w:hint="default" w:ascii="Times New Roman" w:hAnsi="Times New Roman" w:cs="Times New Roman"/>
                      <w:color w:val="auto"/>
                      <w:szCs w:val="21"/>
                    </w:rPr>
                    <w:t>0</w:t>
                  </w:r>
                </w:p>
              </w:tc>
              <w:tc>
                <w:tcPr>
                  <w:tcW w:w="1174" w:type="dxa"/>
                  <w:noWrap w:val="0"/>
                  <w:vAlign w:val="center"/>
                </w:tcPr>
                <w:p w14:paraId="384A7044">
                  <w:pPr>
                    <w:jc w:val="center"/>
                    <w:rPr>
                      <w:rFonts w:hint="default" w:ascii="Times New Roman" w:hAnsi="Times New Roman" w:cs="Times New Roman"/>
                      <w:color w:val="auto"/>
                      <w:szCs w:val="21"/>
                    </w:rPr>
                  </w:pPr>
                  <w:r>
                    <w:rPr>
                      <w:rFonts w:hint="default" w:ascii="Times New Roman" w:hAnsi="Times New Roman" w:eastAsia="宋体" w:cs="宋体"/>
                      <w:color w:val="auto"/>
                      <w:szCs w:val="21"/>
                      <w:lang w:val="en-US" w:eastAsia="zh-CN"/>
                    </w:rPr>
                    <w:t>1</w:t>
                  </w:r>
                  <w:r>
                    <w:rPr>
                      <w:rFonts w:hint="eastAsia" w:cs="宋体"/>
                      <w:color w:val="auto"/>
                      <w:szCs w:val="21"/>
                      <w:lang w:val="en-US" w:eastAsia="zh-CN"/>
                    </w:rPr>
                    <w:t>3.33</w:t>
                  </w:r>
                </w:p>
              </w:tc>
              <w:tc>
                <w:tcPr>
                  <w:tcW w:w="1158" w:type="dxa"/>
                  <w:noWrap w:val="0"/>
                  <w:vAlign w:val="center"/>
                </w:tcPr>
                <w:p w14:paraId="1A6E8625">
                  <w:pPr>
                    <w:jc w:val="center"/>
                    <w:rPr>
                      <w:rFonts w:hint="default" w:ascii="Times New Roman" w:hAnsi="Times New Roman" w:cs="Times New Roman"/>
                      <w:color w:val="auto"/>
                      <w:szCs w:val="21"/>
                    </w:rPr>
                  </w:pPr>
                  <w:r>
                    <w:rPr>
                      <w:rFonts w:hint="default" w:ascii="Times New Roman" w:hAnsi="Times New Roman" w:cs="Times New Roman"/>
                      <w:color w:val="auto"/>
                      <w:spacing w:val="5"/>
                      <w:szCs w:val="21"/>
                    </w:rPr>
                    <w:t>达标</w:t>
                  </w:r>
                </w:p>
              </w:tc>
            </w:tr>
            <w:tr w14:paraId="405748D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52" w:hRule="atLeast"/>
                <w:jc w:val="center"/>
              </w:trPr>
              <w:tc>
                <w:tcPr>
                  <w:tcW w:w="428" w:type="pct"/>
                  <w:noWrap w:val="0"/>
                  <w:vAlign w:val="center"/>
                </w:tcPr>
                <w:p w14:paraId="212FDCAD">
                  <w:pPr>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pacing w:val="21"/>
                      <w:position w:val="-1"/>
                      <w:szCs w:val="21"/>
                      <w:vertAlign w:val="subscript"/>
                    </w:rPr>
                    <w:t>2</w:t>
                  </w:r>
                </w:p>
              </w:tc>
              <w:tc>
                <w:tcPr>
                  <w:tcW w:w="1486" w:type="pct"/>
                  <w:noWrap w:val="0"/>
                  <w:vAlign w:val="center"/>
                </w:tcPr>
                <w:p w14:paraId="11302CA8">
                  <w:pPr>
                    <w:jc w:val="center"/>
                    <w:rPr>
                      <w:rFonts w:hint="default" w:ascii="Times New Roman" w:hAnsi="Times New Roman" w:cs="Times New Roman"/>
                      <w:color w:val="auto"/>
                      <w:szCs w:val="21"/>
                    </w:rPr>
                  </w:pPr>
                  <w:r>
                    <w:rPr>
                      <w:rFonts w:hint="default" w:ascii="Times New Roman" w:hAnsi="Times New Roman" w:cs="Times New Roman"/>
                      <w:color w:val="auto"/>
                      <w:spacing w:val="8"/>
                      <w:szCs w:val="21"/>
                    </w:rPr>
                    <w:t>年平均浓</w:t>
                  </w:r>
                  <w:r>
                    <w:rPr>
                      <w:rFonts w:hint="default" w:ascii="Times New Roman" w:hAnsi="Times New Roman" w:cs="Times New Roman"/>
                      <w:color w:val="auto"/>
                      <w:spacing w:val="7"/>
                      <w:szCs w:val="21"/>
                    </w:rPr>
                    <w:t>度</w:t>
                  </w:r>
                </w:p>
              </w:tc>
              <w:tc>
                <w:tcPr>
                  <w:tcW w:w="1342" w:type="dxa"/>
                  <w:noWrap w:val="0"/>
                  <w:vAlign w:val="center"/>
                </w:tcPr>
                <w:p w14:paraId="38D3ACDC">
                  <w:pPr>
                    <w:jc w:val="center"/>
                    <w:rPr>
                      <w:rFonts w:hint="default" w:ascii="Times New Roman" w:hAnsi="Times New Roman" w:cs="Times New Roman"/>
                      <w:color w:val="auto"/>
                      <w:szCs w:val="21"/>
                    </w:rPr>
                  </w:pPr>
                  <w:r>
                    <w:rPr>
                      <w:rFonts w:hint="eastAsia" w:cs="宋体"/>
                      <w:color w:val="auto"/>
                      <w:szCs w:val="21"/>
                      <w:lang w:val="en-US" w:eastAsia="zh-CN"/>
                    </w:rPr>
                    <w:t>31</w:t>
                  </w:r>
                </w:p>
              </w:tc>
              <w:tc>
                <w:tcPr>
                  <w:tcW w:w="1763" w:type="dxa"/>
                  <w:noWrap w:val="0"/>
                  <w:vAlign w:val="center"/>
                </w:tcPr>
                <w:p w14:paraId="5F7CB800">
                  <w:pPr>
                    <w:jc w:val="center"/>
                    <w:rPr>
                      <w:rFonts w:hint="default" w:ascii="Times New Roman" w:hAnsi="Times New Roman" w:cs="Times New Roman"/>
                      <w:color w:val="auto"/>
                      <w:szCs w:val="21"/>
                    </w:rPr>
                  </w:pPr>
                  <w:r>
                    <w:rPr>
                      <w:rFonts w:hint="eastAsia" w:cs="Times New Roman"/>
                      <w:color w:val="auto"/>
                      <w:spacing w:val="1"/>
                      <w:szCs w:val="21"/>
                      <w:lang w:val="en-US" w:eastAsia="zh-CN"/>
                    </w:rPr>
                    <w:t>4</w:t>
                  </w:r>
                  <w:r>
                    <w:rPr>
                      <w:rFonts w:hint="default" w:ascii="Times New Roman" w:hAnsi="Times New Roman" w:cs="Times New Roman"/>
                      <w:color w:val="auto"/>
                      <w:spacing w:val="1"/>
                      <w:szCs w:val="21"/>
                    </w:rPr>
                    <w:t>0</w:t>
                  </w:r>
                </w:p>
              </w:tc>
              <w:tc>
                <w:tcPr>
                  <w:tcW w:w="1174" w:type="dxa"/>
                  <w:noWrap w:val="0"/>
                  <w:vAlign w:val="center"/>
                </w:tcPr>
                <w:p w14:paraId="713DAA3D">
                  <w:pPr>
                    <w:jc w:val="center"/>
                    <w:rPr>
                      <w:rFonts w:hint="default" w:ascii="Times New Roman" w:hAnsi="Times New Roman" w:cs="Times New Roman"/>
                      <w:color w:val="auto"/>
                      <w:szCs w:val="21"/>
                    </w:rPr>
                  </w:pPr>
                  <w:r>
                    <w:rPr>
                      <w:rFonts w:hint="eastAsia" w:cs="宋体"/>
                      <w:color w:val="auto"/>
                      <w:szCs w:val="21"/>
                      <w:lang w:val="en-US" w:eastAsia="zh-CN"/>
                    </w:rPr>
                    <w:t>77.5</w:t>
                  </w:r>
                </w:p>
              </w:tc>
              <w:tc>
                <w:tcPr>
                  <w:tcW w:w="1158" w:type="dxa"/>
                  <w:noWrap w:val="0"/>
                  <w:vAlign w:val="center"/>
                </w:tcPr>
                <w:p w14:paraId="5019271C">
                  <w:pPr>
                    <w:jc w:val="center"/>
                    <w:rPr>
                      <w:rFonts w:hint="default" w:ascii="Times New Roman" w:hAnsi="Times New Roman" w:cs="Times New Roman"/>
                      <w:color w:val="auto"/>
                      <w:szCs w:val="21"/>
                    </w:rPr>
                  </w:pPr>
                  <w:r>
                    <w:rPr>
                      <w:rFonts w:hint="default" w:ascii="Times New Roman" w:hAnsi="Times New Roman" w:cs="Times New Roman"/>
                      <w:color w:val="auto"/>
                      <w:spacing w:val="5"/>
                      <w:szCs w:val="21"/>
                    </w:rPr>
                    <w:t>达标</w:t>
                  </w:r>
                </w:p>
              </w:tc>
            </w:tr>
            <w:tr w14:paraId="13B9250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noWrap w:val="0"/>
                  <w:vAlign w:val="center"/>
                </w:tcPr>
                <w:p w14:paraId="0516D1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pacing w:val="9"/>
                      <w:position w:val="-1"/>
                      <w:sz w:val="21"/>
                      <w:szCs w:val="21"/>
                      <w:vertAlign w:val="subscript"/>
                    </w:rPr>
                    <w:t>1</w:t>
                  </w:r>
                  <w:r>
                    <w:rPr>
                      <w:rFonts w:hint="default" w:ascii="Times New Roman" w:hAnsi="Times New Roman" w:cs="Times New Roman"/>
                      <w:color w:val="auto"/>
                      <w:spacing w:val="8"/>
                      <w:position w:val="-1"/>
                      <w:sz w:val="21"/>
                      <w:szCs w:val="21"/>
                      <w:vertAlign w:val="subscript"/>
                    </w:rPr>
                    <w:t>0</w:t>
                  </w:r>
                </w:p>
              </w:tc>
              <w:tc>
                <w:tcPr>
                  <w:tcW w:w="1486" w:type="pct"/>
                  <w:noWrap w:val="0"/>
                  <w:vAlign w:val="center"/>
                </w:tcPr>
                <w:p w14:paraId="06451A4B">
                  <w:pPr>
                    <w:jc w:val="center"/>
                    <w:rPr>
                      <w:rFonts w:hint="default" w:ascii="Times New Roman" w:hAnsi="Times New Roman" w:cs="Times New Roman"/>
                      <w:color w:val="auto"/>
                      <w:szCs w:val="21"/>
                    </w:rPr>
                  </w:pPr>
                  <w:r>
                    <w:rPr>
                      <w:rFonts w:hint="default" w:ascii="Times New Roman" w:hAnsi="Times New Roman" w:cs="Times New Roman"/>
                      <w:color w:val="auto"/>
                      <w:spacing w:val="8"/>
                      <w:szCs w:val="21"/>
                    </w:rPr>
                    <w:t>年平均浓</w:t>
                  </w:r>
                  <w:r>
                    <w:rPr>
                      <w:rFonts w:hint="default" w:ascii="Times New Roman" w:hAnsi="Times New Roman" w:cs="Times New Roman"/>
                      <w:color w:val="auto"/>
                      <w:spacing w:val="7"/>
                      <w:szCs w:val="21"/>
                    </w:rPr>
                    <w:t>度</w:t>
                  </w:r>
                </w:p>
              </w:tc>
              <w:tc>
                <w:tcPr>
                  <w:tcW w:w="1342" w:type="dxa"/>
                  <w:noWrap w:val="0"/>
                  <w:vAlign w:val="center"/>
                </w:tcPr>
                <w:p w14:paraId="2FE660D0">
                  <w:pPr>
                    <w:jc w:val="center"/>
                    <w:rPr>
                      <w:rFonts w:hint="default" w:ascii="Times New Roman" w:hAnsi="Times New Roman" w:cs="Times New Roman"/>
                      <w:color w:val="auto"/>
                      <w:szCs w:val="21"/>
                    </w:rPr>
                  </w:pPr>
                  <w:r>
                    <w:rPr>
                      <w:rFonts w:hint="eastAsia" w:cs="宋体"/>
                      <w:color w:val="auto"/>
                      <w:szCs w:val="21"/>
                      <w:lang w:val="en-US" w:eastAsia="zh-CN"/>
                    </w:rPr>
                    <w:t>66</w:t>
                  </w:r>
                </w:p>
              </w:tc>
              <w:tc>
                <w:tcPr>
                  <w:tcW w:w="1763" w:type="dxa"/>
                  <w:noWrap w:val="0"/>
                  <w:vAlign w:val="center"/>
                </w:tcPr>
                <w:p w14:paraId="5E4218A8">
                  <w:pPr>
                    <w:jc w:val="center"/>
                    <w:rPr>
                      <w:rFonts w:hint="default" w:ascii="Times New Roman" w:hAnsi="Times New Roman" w:cs="Times New Roman"/>
                      <w:color w:val="auto"/>
                      <w:szCs w:val="21"/>
                    </w:rPr>
                  </w:pPr>
                  <w:r>
                    <w:rPr>
                      <w:rFonts w:hint="default" w:ascii="Times New Roman" w:hAnsi="Times New Roman" w:cs="Times New Roman"/>
                      <w:color w:val="auto"/>
                      <w:spacing w:val="1"/>
                      <w:szCs w:val="21"/>
                    </w:rPr>
                    <w:t>70</w:t>
                  </w:r>
                </w:p>
              </w:tc>
              <w:tc>
                <w:tcPr>
                  <w:tcW w:w="1174" w:type="dxa"/>
                  <w:noWrap w:val="0"/>
                  <w:vAlign w:val="center"/>
                </w:tcPr>
                <w:p w14:paraId="51233F1E">
                  <w:pPr>
                    <w:jc w:val="center"/>
                    <w:rPr>
                      <w:rFonts w:hint="default" w:ascii="Times New Roman" w:hAnsi="Times New Roman" w:cs="Times New Roman"/>
                      <w:color w:val="auto"/>
                      <w:szCs w:val="21"/>
                    </w:rPr>
                  </w:pPr>
                  <w:r>
                    <w:rPr>
                      <w:rFonts w:hint="eastAsia" w:cs="宋体"/>
                      <w:color w:val="auto"/>
                      <w:szCs w:val="21"/>
                      <w:lang w:val="en-US" w:eastAsia="zh-CN"/>
                    </w:rPr>
                    <w:t>9</w:t>
                  </w:r>
                  <w:r>
                    <w:rPr>
                      <w:rFonts w:hint="default" w:ascii="Times New Roman" w:hAnsi="Times New Roman" w:eastAsia="宋体" w:cs="宋体"/>
                      <w:color w:val="auto"/>
                      <w:szCs w:val="21"/>
                      <w:lang w:val="en-US" w:eastAsia="zh-CN"/>
                    </w:rPr>
                    <w:t xml:space="preserve">4.29 </w:t>
                  </w:r>
                </w:p>
              </w:tc>
              <w:tc>
                <w:tcPr>
                  <w:tcW w:w="1158" w:type="dxa"/>
                  <w:noWrap w:val="0"/>
                  <w:vAlign w:val="center"/>
                </w:tcPr>
                <w:p w14:paraId="70E35395">
                  <w:pPr>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达</w:t>
                  </w:r>
                  <w:r>
                    <w:rPr>
                      <w:rFonts w:hint="default" w:ascii="Times New Roman" w:hAnsi="Times New Roman" w:cs="Times New Roman"/>
                      <w:color w:val="auto"/>
                      <w:spacing w:val="5"/>
                      <w:szCs w:val="21"/>
                    </w:rPr>
                    <w:t>标</w:t>
                  </w:r>
                </w:p>
              </w:tc>
            </w:tr>
            <w:tr w14:paraId="5881F8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noWrap w:val="0"/>
                  <w:vAlign w:val="center"/>
                </w:tcPr>
                <w:p w14:paraId="3117B9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rPr>
                    <w:t>.5</w:t>
                  </w:r>
                </w:p>
              </w:tc>
              <w:tc>
                <w:tcPr>
                  <w:tcW w:w="1486" w:type="pct"/>
                  <w:noWrap w:val="0"/>
                  <w:vAlign w:val="center"/>
                </w:tcPr>
                <w:p w14:paraId="7C028EAB">
                  <w:pPr>
                    <w:jc w:val="center"/>
                    <w:rPr>
                      <w:rFonts w:hint="default" w:ascii="Times New Roman" w:hAnsi="Times New Roman" w:cs="Times New Roman"/>
                      <w:color w:val="auto"/>
                      <w:szCs w:val="21"/>
                    </w:rPr>
                  </w:pPr>
                  <w:r>
                    <w:rPr>
                      <w:rFonts w:hint="default" w:ascii="Times New Roman" w:hAnsi="Times New Roman" w:cs="Times New Roman"/>
                      <w:color w:val="auto"/>
                      <w:spacing w:val="8"/>
                      <w:szCs w:val="21"/>
                    </w:rPr>
                    <w:t>年平均浓</w:t>
                  </w:r>
                  <w:r>
                    <w:rPr>
                      <w:rFonts w:hint="default" w:ascii="Times New Roman" w:hAnsi="Times New Roman" w:cs="Times New Roman"/>
                      <w:color w:val="auto"/>
                      <w:spacing w:val="7"/>
                      <w:szCs w:val="21"/>
                    </w:rPr>
                    <w:t>度</w:t>
                  </w:r>
                </w:p>
              </w:tc>
              <w:tc>
                <w:tcPr>
                  <w:tcW w:w="1342" w:type="dxa"/>
                  <w:noWrap w:val="0"/>
                  <w:vAlign w:val="center"/>
                </w:tcPr>
                <w:p w14:paraId="1B7D55B4">
                  <w:pPr>
                    <w:jc w:val="center"/>
                    <w:rPr>
                      <w:rFonts w:hint="default" w:ascii="Times New Roman" w:hAnsi="Times New Roman" w:cs="Times New Roman"/>
                      <w:color w:val="auto"/>
                      <w:szCs w:val="21"/>
                    </w:rPr>
                  </w:pPr>
                  <w:r>
                    <w:rPr>
                      <w:rFonts w:hint="default" w:ascii="Times New Roman" w:hAnsi="Times New Roman" w:eastAsia="宋体" w:cs="宋体"/>
                      <w:color w:val="auto"/>
                      <w:szCs w:val="21"/>
                      <w:lang w:val="en-US" w:eastAsia="zh-CN"/>
                    </w:rPr>
                    <w:t>3</w:t>
                  </w:r>
                  <w:r>
                    <w:rPr>
                      <w:rFonts w:hint="eastAsia" w:cs="宋体"/>
                      <w:color w:val="auto"/>
                      <w:szCs w:val="21"/>
                      <w:lang w:val="en-US" w:eastAsia="zh-CN"/>
                    </w:rPr>
                    <w:t>8</w:t>
                  </w:r>
                </w:p>
              </w:tc>
              <w:tc>
                <w:tcPr>
                  <w:tcW w:w="1763" w:type="dxa"/>
                  <w:noWrap w:val="0"/>
                  <w:vAlign w:val="center"/>
                </w:tcPr>
                <w:p w14:paraId="4CA3E281">
                  <w:pPr>
                    <w:jc w:val="center"/>
                    <w:rPr>
                      <w:rFonts w:hint="default" w:ascii="Times New Roman" w:hAnsi="Times New Roman" w:cs="Times New Roman"/>
                      <w:color w:val="auto"/>
                      <w:szCs w:val="21"/>
                    </w:rPr>
                  </w:pPr>
                  <w:r>
                    <w:rPr>
                      <w:rFonts w:hint="default" w:ascii="Times New Roman" w:hAnsi="Times New Roman" w:cs="Times New Roman"/>
                      <w:color w:val="auto"/>
                      <w:spacing w:val="1"/>
                      <w:szCs w:val="21"/>
                    </w:rPr>
                    <w:t>3</w:t>
                  </w:r>
                  <w:r>
                    <w:rPr>
                      <w:rFonts w:hint="default" w:ascii="Times New Roman" w:hAnsi="Times New Roman" w:cs="Times New Roman"/>
                      <w:color w:val="auto"/>
                      <w:szCs w:val="21"/>
                    </w:rPr>
                    <w:t>5</w:t>
                  </w:r>
                </w:p>
              </w:tc>
              <w:tc>
                <w:tcPr>
                  <w:tcW w:w="1174" w:type="dxa"/>
                  <w:noWrap w:val="0"/>
                  <w:vAlign w:val="center"/>
                </w:tcPr>
                <w:p w14:paraId="0DA2EC63">
                  <w:pPr>
                    <w:jc w:val="center"/>
                    <w:rPr>
                      <w:rFonts w:hint="default" w:ascii="Times New Roman" w:hAnsi="Times New Roman" w:cs="Times New Roman"/>
                      <w:color w:val="auto"/>
                      <w:szCs w:val="21"/>
                    </w:rPr>
                  </w:pPr>
                  <w:r>
                    <w:rPr>
                      <w:rFonts w:hint="default" w:ascii="Times New Roman" w:hAnsi="Times New Roman" w:eastAsia="宋体" w:cs="宋体"/>
                      <w:color w:val="auto"/>
                      <w:szCs w:val="21"/>
                      <w:lang w:val="en-US" w:eastAsia="zh-CN"/>
                    </w:rPr>
                    <w:t>10</w:t>
                  </w:r>
                  <w:r>
                    <w:rPr>
                      <w:rFonts w:hint="eastAsia" w:cs="宋体"/>
                      <w:color w:val="auto"/>
                      <w:szCs w:val="21"/>
                      <w:lang w:val="en-US" w:eastAsia="zh-CN"/>
                    </w:rPr>
                    <w:t>8.57</w:t>
                  </w:r>
                  <w:r>
                    <w:rPr>
                      <w:rFonts w:hint="default" w:ascii="Times New Roman" w:hAnsi="Times New Roman" w:eastAsia="宋体" w:cs="宋体"/>
                      <w:color w:val="auto"/>
                      <w:szCs w:val="21"/>
                      <w:lang w:val="en-US" w:eastAsia="zh-CN"/>
                    </w:rPr>
                    <w:t xml:space="preserve"> </w:t>
                  </w:r>
                </w:p>
              </w:tc>
              <w:tc>
                <w:tcPr>
                  <w:tcW w:w="1158" w:type="dxa"/>
                  <w:noWrap w:val="0"/>
                  <w:vAlign w:val="center"/>
                </w:tcPr>
                <w:p w14:paraId="3578CEA2">
                  <w:pPr>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不达</w:t>
                  </w:r>
                  <w:r>
                    <w:rPr>
                      <w:rFonts w:hint="default" w:ascii="Times New Roman" w:hAnsi="Times New Roman" w:cs="Times New Roman"/>
                      <w:color w:val="auto"/>
                      <w:spacing w:val="5"/>
                      <w:szCs w:val="21"/>
                    </w:rPr>
                    <w:t>标</w:t>
                  </w:r>
                </w:p>
              </w:tc>
            </w:tr>
            <w:tr w14:paraId="39FD567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4" w:hRule="atLeast"/>
                <w:jc w:val="center"/>
              </w:trPr>
              <w:tc>
                <w:tcPr>
                  <w:tcW w:w="428" w:type="pct"/>
                  <w:noWrap w:val="0"/>
                  <w:vAlign w:val="center"/>
                </w:tcPr>
                <w:p w14:paraId="3AF10DE5">
                  <w:pPr>
                    <w:jc w:val="center"/>
                    <w:rPr>
                      <w:rFonts w:hint="default" w:ascii="Times New Roman" w:hAnsi="Times New Roman" w:cs="Times New Roman"/>
                      <w:color w:val="auto"/>
                      <w:szCs w:val="21"/>
                    </w:rPr>
                  </w:pPr>
                  <w:r>
                    <w:rPr>
                      <w:rFonts w:hint="default" w:ascii="Times New Roman" w:hAnsi="Times New Roman" w:cs="Times New Roman"/>
                      <w:color w:val="auto"/>
                      <w:spacing w:val="2"/>
                      <w:szCs w:val="21"/>
                    </w:rPr>
                    <w:t>CO</w:t>
                  </w:r>
                </w:p>
              </w:tc>
              <w:tc>
                <w:tcPr>
                  <w:tcW w:w="1486" w:type="pct"/>
                  <w:noWrap w:val="0"/>
                  <w:vAlign w:val="center"/>
                </w:tcPr>
                <w:p w14:paraId="34647CE2">
                  <w:pPr>
                    <w:jc w:val="center"/>
                    <w:rPr>
                      <w:rFonts w:hint="default" w:ascii="Times New Roman" w:hAnsi="Times New Roman" w:cs="Times New Roman"/>
                      <w:color w:val="auto"/>
                      <w:szCs w:val="21"/>
                    </w:rPr>
                  </w:pPr>
                  <w:r>
                    <w:rPr>
                      <w:rFonts w:hint="default" w:ascii="Times New Roman" w:hAnsi="Times New Roman" w:cs="Times New Roman"/>
                      <w:color w:val="auto"/>
                      <w:spacing w:val="1"/>
                      <w:szCs w:val="21"/>
                    </w:rPr>
                    <w:t>日均值第 95 百</w:t>
                  </w:r>
                  <w:r>
                    <w:rPr>
                      <w:rFonts w:hint="default" w:ascii="Times New Roman" w:hAnsi="Times New Roman" w:cs="Times New Roman"/>
                      <w:color w:val="auto"/>
                      <w:szCs w:val="21"/>
                    </w:rPr>
                    <w:t>分位浓度</w:t>
                  </w:r>
                </w:p>
              </w:tc>
              <w:tc>
                <w:tcPr>
                  <w:tcW w:w="1342" w:type="dxa"/>
                  <w:noWrap w:val="0"/>
                  <w:vAlign w:val="center"/>
                </w:tcPr>
                <w:p w14:paraId="7A16D2E5">
                  <w:pPr>
                    <w:jc w:val="center"/>
                    <w:rPr>
                      <w:rFonts w:hint="default" w:ascii="Times New Roman" w:hAnsi="Times New Roman" w:cs="Times New Roman"/>
                      <w:color w:val="auto"/>
                      <w:szCs w:val="21"/>
                    </w:rPr>
                  </w:pPr>
                  <w:r>
                    <w:rPr>
                      <w:rFonts w:hint="eastAsia" w:cs="宋体"/>
                      <w:color w:val="auto"/>
                      <w:szCs w:val="21"/>
                      <w:lang w:val="en-US" w:eastAsia="zh-CN"/>
                    </w:rPr>
                    <w:t>9</w:t>
                  </w:r>
                  <w:r>
                    <w:rPr>
                      <w:rFonts w:hint="default" w:ascii="Times New Roman" w:hAnsi="Times New Roman" w:eastAsia="宋体" w:cs="宋体"/>
                      <w:color w:val="auto"/>
                      <w:szCs w:val="21"/>
                      <w:lang w:val="en-US" w:eastAsia="zh-CN"/>
                    </w:rPr>
                    <w:t>00</w:t>
                  </w:r>
                </w:p>
              </w:tc>
              <w:tc>
                <w:tcPr>
                  <w:tcW w:w="1763" w:type="dxa"/>
                  <w:noWrap w:val="0"/>
                  <w:vAlign w:val="center"/>
                </w:tcPr>
                <w:p w14:paraId="2E2A1BD8">
                  <w:pPr>
                    <w:jc w:val="center"/>
                    <w:rPr>
                      <w:rFonts w:hint="default" w:ascii="Times New Roman" w:hAnsi="Times New Roman" w:cs="Times New Roman"/>
                      <w:color w:val="auto"/>
                      <w:szCs w:val="21"/>
                    </w:rPr>
                  </w:pPr>
                  <w:r>
                    <w:rPr>
                      <w:rFonts w:hint="default" w:ascii="Times New Roman" w:hAnsi="Times New Roman" w:cs="Times New Roman"/>
                      <w:color w:val="auto"/>
                      <w:spacing w:val="4"/>
                      <w:szCs w:val="21"/>
                    </w:rPr>
                    <w:t>400</w:t>
                  </w:r>
                  <w:r>
                    <w:rPr>
                      <w:rFonts w:hint="default" w:ascii="Times New Roman" w:hAnsi="Times New Roman" w:cs="Times New Roman"/>
                      <w:color w:val="auto"/>
                      <w:spacing w:val="3"/>
                      <w:szCs w:val="21"/>
                    </w:rPr>
                    <w:t>0</w:t>
                  </w:r>
                </w:p>
              </w:tc>
              <w:tc>
                <w:tcPr>
                  <w:tcW w:w="1174" w:type="dxa"/>
                  <w:noWrap w:val="0"/>
                  <w:vAlign w:val="center"/>
                </w:tcPr>
                <w:p w14:paraId="3F67C7B2">
                  <w:pPr>
                    <w:jc w:val="center"/>
                    <w:rPr>
                      <w:rFonts w:hint="default" w:ascii="Times New Roman" w:hAnsi="Times New Roman" w:cs="Times New Roman"/>
                      <w:color w:val="auto"/>
                      <w:szCs w:val="21"/>
                      <w:lang w:val="en-US"/>
                    </w:rPr>
                  </w:pPr>
                  <w:r>
                    <w:rPr>
                      <w:rFonts w:hint="default" w:ascii="Times New Roman" w:hAnsi="Times New Roman" w:eastAsia="宋体" w:cs="宋体"/>
                      <w:color w:val="auto"/>
                      <w:szCs w:val="21"/>
                      <w:lang w:val="en-US" w:eastAsia="zh-CN"/>
                    </w:rPr>
                    <w:t>2</w:t>
                  </w:r>
                  <w:r>
                    <w:rPr>
                      <w:rFonts w:hint="eastAsia" w:cs="宋体"/>
                      <w:color w:val="auto"/>
                      <w:szCs w:val="21"/>
                      <w:lang w:val="en-US" w:eastAsia="zh-CN"/>
                    </w:rPr>
                    <w:t>2.5</w:t>
                  </w:r>
                </w:p>
              </w:tc>
              <w:tc>
                <w:tcPr>
                  <w:tcW w:w="1158" w:type="dxa"/>
                  <w:noWrap w:val="0"/>
                  <w:vAlign w:val="center"/>
                </w:tcPr>
                <w:p w14:paraId="3776F332">
                  <w:pPr>
                    <w:jc w:val="center"/>
                    <w:rPr>
                      <w:rFonts w:hint="default" w:ascii="Times New Roman" w:hAnsi="Times New Roman" w:cs="Times New Roman"/>
                      <w:color w:val="auto"/>
                      <w:szCs w:val="21"/>
                    </w:rPr>
                  </w:pPr>
                  <w:r>
                    <w:rPr>
                      <w:rFonts w:hint="default" w:ascii="Times New Roman" w:hAnsi="Times New Roman" w:cs="Times New Roman"/>
                      <w:color w:val="auto"/>
                      <w:spacing w:val="5"/>
                      <w:szCs w:val="21"/>
                    </w:rPr>
                    <w:t>达标</w:t>
                  </w:r>
                </w:p>
              </w:tc>
            </w:tr>
            <w:tr w14:paraId="6063209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8" w:type="dxa"/>
                  <w:bottom w:w="0" w:type="dxa"/>
                  <w:right w:w="108" w:type="dxa"/>
                </w:tblCellMar>
              </w:tblPrEx>
              <w:trPr>
                <w:trHeight w:val="315" w:hRule="atLeast"/>
                <w:jc w:val="center"/>
              </w:trPr>
              <w:tc>
                <w:tcPr>
                  <w:tcW w:w="428" w:type="pct"/>
                  <w:noWrap w:val="0"/>
                  <w:vAlign w:val="center"/>
                </w:tcPr>
                <w:p w14:paraId="606CC5D2">
                  <w:pPr>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pacing w:val="2"/>
                      <w:position w:val="-1"/>
                      <w:szCs w:val="21"/>
                      <w:vertAlign w:val="subscript"/>
                    </w:rPr>
                    <w:t>3</w:t>
                  </w:r>
                </w:p>
              </w:tc>
              <w:tc>
                <w:tcPr>
                  <w:tcW w:w="1486" w:type="pct"/>
                  <w:noWrap w:val="0"/>
                  <w:vAlign w:val="center"/>
                </w:tcPr>
                <w:p w14:paraId="052C693A">
                  <w:pPr>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8</w:t>
                  </w:r>
                  <w:r>
                    <w:rPr>
                      <w:rFonts w:hint="default" w:ascii="Times New Roman" w:hAnsi="Times New Roman" w:cs="Times New Roman"/>
                      <w:color w:val="auto"/>
                      <w:spacing w:val="5"/>
                      <w:szCs w:val="21"/>
                    </w:rPr>
                    <w:t xml:space="preserve"> </w:t>
                  </w:r>
                  <w:r>
                    <w:rPr>
                      <w:rFonts w:hint="default" w:ascii="Times New Roman" w:hAnsi="Times New Roman" w:cs="Times New Roman"/>
                      <w:color w:val="auto"/>
                      <w:spacing w:val="3"/>
                      <w:szCs w:val="21"/>
                    </w:rPr>
                    <w:t>小时平均值第 90 百分位数</w:t>
                  </w:r>
                </w:p>
              </w:tc>
              <w:tc>
                <w:tcPr>
                  <w:tcW w:w="1342" w:type="dxa"/>
                  <w:noWrap w:val="0"/>
                  <w:vAlign w:val="center"/>
                </w:tcPr>
                <w:p w14:paraId="4FEB6E09">
                  <w:pPr>
                    <w:jc w:val="center"/>
                    <w:rPr>
                      <w:rFonts w:hint="default" w:ascii="Times New Roman" w:hAnsi="Times New Roman" w:cs="Times New Roman"/>
                      <w:color w:val="auto"/>
                      <w:szCs w:val="21"/>
                    </w:rPr>
                  </w:pPr>
                  <w:r>
                    <w:rPr>
                      <w:rFonts w:hint="default" w:ascii="Times New Roman" w:hAnsi="Times New Roman" w:eastAsia="宋体" w:cs="宋体"/>
                      <w:color w:val="auto"/>
                      <w:szCs w:val="21"/>
                      <w:lang w:val="en-US" w:eastAsia="zh-CN"/>
                    </w:rPr>
                    <w:t>1</w:t>
                  </w:r>
                  <w:r>
                    <w:rPr>
                      <w:rFonts w:hint="eastAsia" w:cs="宋体"/>
                      <w:color w:val="auto"/>
                      <w:szCs w:val="21"/>
                      <w:lang w:val="en-US" w:eastAsia="zh-CN"/>
                    </w:rPr>
                    <w:t>59</w:t>
                  </w:r>
                </w:p>
              </w:tc>
              <w:tc>
                <w:tcPr>
                  <w:tcW w:w="1763" w:type="dxa"/>
                  <w:noWrap w:val="0"/>
                  <w:vAlign w:val="center"/>
                </w:tcPr>
                <w:p w14:paraId="0E65652E">
                  <w:pPr>
                    <w:jc w:val="center"/>
                    <w:rPr>
                      <w:rFonts w:hint="default" w:ascii="Times New Roman" w:hAnsi="Times New Roman" w:cs="Times New Roman"/>
                      <w:color w:val="auto"/>
                      <w:szCs w:val="21"/>
                    </w:rPr>
                  </w:pPr>
                  <w:r>
                    <w:rPr>
                      <w:rFonts w:hint="default" w:ascii="Times New Roman" w:hAnsi="Times New Roman" w:cs="Times New Roman"/>
                      <w:color w:val="auto"/>
                      <w:spacing w:val="-3"/>
                      <w:szCs w:val="21"/>
                    </w:rPr>
                    <w:t>160</w:t>
                  </w:r>
                </w:p>
              </w:tc>
              <w:tc>
                <w:tcPr>
                  <w:tcW w:w="1174" w:type="dxa"/>
                  <w:noWrap w:val="0"/>
                  <w:vAlign w:val="center"/>
                </w:tcPr>
                <w:p w14:paraId="5AC754D7">
                  <w:pPr>
                    <w:jc w:val="center"/>
                    <w:rPr>
                      <w:rFonts w:hint="default" w:ascii="Times New Roman" w:hAnsi="Times New Roman" w:cs="Times New Roman"/>
                      <w:color w:val="auto"/>
                      <w:szCs w:val="21"/>
                    </w:rPr>
                  </w:pPr>
                  <w:r>
                    <w:rPr>
                      <w:rFonts w:hint="eastAsia" w:cs="宋体"/>
                      <w:color w:val="auto"/>
                      <w:szCs w:val="21"/>
                      <w:lang w:val="en-US" w:eastAsia="zh-CN"/>
                    </w:rPr>
                    <w:t>99.375</w:t>
                  </w:r>
                </w:p>
              </w:tc>
              <w:tc>
                <w:tcPr>
                  <w:tcW w:w="1158" w:type="dxa"/>
                  <w:noWrap w:val="0"/>
                  <w:vAlign w:val="center"/>
                </w:tcPr>
                <w:p w14:paraId="64EC1347">
                  <w:pPr>
                    <w:jc w:val="center"/>
                    <w:rPr>
                      <w:rFonts w:hint="default" w:ascii="Times New Roman" w:hAnsi="Times New Roman" w:cs="Times New Roman"/>
                      <w:color w:val="auto"/>
                      <w:szCs w:val="21"/>
                    </w:rPr>
                  </w:pPr>
                  <w:r>
                    <w:rPr>
                      <w:rFonts w:hint="default" w:ascii="Times New Roman" w:hAnsi="Times New Roman" w:cs="Times New Roman"/>
                      <w:color w:val="auto"/>
                      <w:spacing w:val="5"/>
                      <w:szCs w:val="21"/>
                    </w:rPr>
                    <w:t>达标</w:t>
                  </w:r>
                </w:p>
              </w:tc>
            </w:tr>
          </w:tbl>
          <w:p w14:paraId="5F16D3D5">
            <w:pPr>
              <w:numPr>
                <w:ilvl w:val="0"/>
                <w:numId w:val="0"/>
              </w:numPr>
              <w:spacing w:line="360" w:lineRule="auto"/>
              <w:ind w:firstLine="480" w:firstLineChars="200"/>
              <w:rPr>
                <w:rFonts w:hint="default" w:ascii="Times New Roman" w:hAnsi="Times New Roman" w:eastAsia="宋体" w:cs="Times New Roman"/>
                <w:b/>
                <w:bCs/>
                <w:i w:val="0"/>
                <w:iCs w:val="0"/>
                <w:snapToGrid/>
                <w:color w:val="auto"/>
                <w:kern w:val="2"/>
                <w:sz w:val="24"/>
                <w:szCs w:val="24"/>
                <w:lang w:val="en-US" w:eastAsia="zh-CN" w:bidi="ar-SA"/>
              </w:rPr>
            </w:pPr>
            <w:r>
              <w:rPr>
                <w:rFonts w:hint="default" w:ascii="Times New Roman" w:hAnsi="Times New Roman" w:eastAsia="宋体" w:cs="Times New Roman"/>
                <w:color w:val="auto"/>
                <w:sz w:val="24"/>
                <w:szCs w:val="24"/>
              </w:rPr>
              <w:t>根据上表可知，项目所在区PM</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超标，因此判定为不达标区。</w:t>
            </w:r>
            <w:r>
              <w:rPr>
                <w:rFonts w:hint="default" w:ascii="Times New Roman" w:hAnsi="Times New Roman" w:eastAsia="宋体" w:cs="Times New Roman"/>
                <w:color w:val="000000"/>
                <w:kern w:val="0"/>
                <w:sz w:val="24"/>
                <w:szCs w:val="24"/>
                <w:lang w:val="en-US" w:eastAsia="zh-CN" w:bidi="ar"/>
              </w:rPr>
              <w:t>根据《安徽省生态环境保护委员会办公室关于印发&lt;安徽省2022年大气污染防治工作要点&gt;的通知》，</w:t>
            </w:r>
            <w:r>
              <w:rPr>
                <w:color w:val="auto"/>
                <w:sz w:val="24"/>
              </w:rPr>
              <w:t>《蚌埠市环境空气质量达标规划（2019-2030年）》，通过落实</w:t>
            </w:r>
            <w:r>
              <w:rPr>
                <w:rFonts w:hint="eastAsia"/>
                <w:color w:val="auto"/>
                <w:sz w:val="24"/>
                <w:lang w:eastAsia="zh-CN"/>
              </w:rPr>
              <w:t>各项</w:t>
            </w:r>
            <w:r>
              <w:rPr>
                <w:color w:val="auto"/>
                <w:sz w:val="24"/>
              </w:rPr>
              <w:t>具体措施，</w:t>
            </w:r>
            <w:r>
              <w:rPr>
                <w:rFonts w:hint="default" w:ascii="Times New Roman" w:hAnsi="Times New Roman" w:eastAsia="宋体" w:cs="Times New Roman"/>
                <w:color w:val="000000"/>
                <w:kern w:val="0"/>
                <w:sz w:val="24"/>
                <w:szCs w:val="24"/>
                <w:lang w:val="en-US" w:eastAsia="zh-CN" w:bidi="ar"/>
              </w:rPr>
              <w:t>大气环境质量状况可以得到进一步改善。</w:t>
            </w:r>
          </w:p>
          <w:p w14:paraId="336F87C9">
            <w:pPr>
              <w:numPr>
                <w:ilvl w:val="0"/>
                <w:numId w:val="0"/>
              </w:numPr>
              <w:spacing w:line="360" w:lineRule="auto"/>
              <w:ind w:firstLine="482" w:firstLineChars="200"/>
              <w:rPr>
                <w:rFonts w:hint="default" w:ascii="Times New Roman" w:hAnsi="Times New Roman" w:eastAsia="宋体" w:cs="Times New Roman"/>
                <w:b/>
                <w:bCs/>
                <w:i w:val="0"/>
                <w:iCs w:val="0"/>
                <w:snapToGrid/>
                <w:color w:val="auto"/>
                <w:kern w:val="2"/>
                <w:sz w:val="24"/>
                <w:szCs w:val="24"/>
                <w:lang w:val="en-US" w:eastAsia="zh-CN" w:bidi="ar-SA"/>
              </w:rPr>
            </w:pPr>
            <w:r>
              <w:rPr>
                <w:rFonts w:hint="default" w:ascii="Times New Roman" w:hAnsi="Times New Roman" w:eastAsia="宋体" w:cs="Times New Roman"/>
                <w:b/>
                <w:bCs/>
                <w:i w:val="0"/>
                <w:iCs w:val="0"/>
                <w:snapToGrid/>
                <w:color w:val="auto"/>
                <w:kern w:val="2"/>
                <w:sz w:val="24"/>
                <w:szCs w:val="24"/>
                <w:lang w:val="en-US" w:eastAsia="zh-CN" w:bidi="ar-SA"/>
              </w:rPr>
              <w:t>（2）</w:t>
            </w:r>
            <w:r>
              <w:rPr>
                <w:rFonts w:hint="default" w:ascii="Times New Roman" w:hAnsi="Times New Roman" w:eastAsia="宋体" w:cs="Times New Roman"/>
                <w:b/>
                <w:bCs/>
                <w:color w:val="auto"/>
                <w:sz w:val="24"/>
                <w:szCs w:val="24"/>
                <w:lang w:eastAsia="zh-CN"/>
              </w:rPr>
              <w:t>特征污染物</w:t>
            </w:r>
          </w:p>
          <w:p w14:paraId="5E47E6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snapToGrid/>
                <w:color w:val="auto"/>
                <w:kern w:val="2"/>
                <w:sz w:val="24"/>
                <w:szCs w:val="24"/>
                <w:lang w:val="en-US" w:eastAsia="zh-CN" w:bidi="ar-SA"/>
              </w:rPr>
              <w:t>本项目特征因子</w:t>
            </w:r>
            <w:r>
              <w:rPr>
                <w:rFonts w:hint="eastAsia" w:cs="Times New Roman"/>
                <w:snapToGrid/>
                <w:color w:val="auto"/>
                <w:kern w:val="2"/>
                <w:sz w:val="24"/>
                <w:szCs w:val="24"/>
                <w:lang w:val="en-US" w:eastAsia="zh-CN" w:bidi="ar-SA"/>
              </w:rPr>
              <w:t>TSP</w:t>
            </w:r>
            <w:r>
              <w:rPr>
                <w:rFonts w:hint="eastAsia" w:cs="Times New Roman"/>
                <w:color w:val="auto"/>
                <w:kern w:val="0"/>
                <w:sz w:val="24"/>
                <w:szCs w:val="24"/>
                <w:highlight w:val="none"/>
                <w:lang w:val="en-US" w:eastAsia="zh-CN" w:bidi="ar"/>
              </w:rPr>
              <w:t>、HCl</w:t>
            </w:r>
            <w:r>
              <w:rPr>
                <w:rFonts w:hint="eastAsia" w:cs="Times New Roman"/>
                <w:snapToGrid/>
                <w:color w:val="auto"/>
                <w:kern w:val="2"/>
                <w:sz w:val="24"/>
                <w:szCs w:val="24"/>
                <w:highlight w:val="none"/>
                <w:lang w:val="en-US" w:eastAsia="zh-CN" w:bidi="ar-SA"/>
              </w:rPr>
              <w:t>监测数据</w:t>
            </w:r>
            <w:r>
              <w:rPr>
                <w:rFonts w:hint="default" w:ascii="Times New Roman" w:hAnsi="Times New Roman" w:eastAsia="宋体" w:cs="Times New Roman"/>
                <w:snapToGrid/>
                <w:color w:val="auto"/>
                <w:kern w:val="2"/>
                <w:sz w:val="24"/>
                <w:szCs w:val="24"/>
                <w:highlight w:val="none"/>
                <w:lang w:val="en-US" w:eastAsia="zh-CN" w:bidi="ar-SA"/>
              </w:rPr>
              <w:t>引用</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bCs/>
                <w:color w:val="auto"/>
                <w:kern w:val="0"/>
                <w:sz w:val="24"/>
                <w:lang w:eastAsia="zh-CN"/>
              </w:rPr>
              <w:t>安徽中运通物联科技有限公司新建50万米智能环保长距离大型输送设备及年产1000万米智能煤矿用整芯阻燃输送带项目</w:t>
            </w:r>
            <w:r>
              <w:rPr>
                <w:rFonts w:hint="eastAsia" w:cs="Times New Roman"/>
                <w:color w:val="auto"/>
                <w:kern w:val="0"/>
                <w:sz w:val="24"/>
                <w:szCs w:val="24"/>
                <w:highlight w:val="none"/>
                <w:lang w:val="en-US" w:eastAsia="zh-CN" w:bidi="ar"/>
              </w:rPr>
              <w:t>环境影响报告书</w:t>
            </w:r>
            <w:r>
              <w:rPr>
                <w:rFonts w:hint="default" w:ascii="Times New Roman" w:hAnsi="Times New Roman" w:eastAsia="宋体" w:cs="Times New Roman"/>
                <w:color w:val="auto"/>
                <w:kern w:val="0"/>
                <w:sz w:val="24"/>
                <w:szCs w:val="24"/>
                <w:highlight w:val="none"/>
                <w:lang w:val="en-US" w:eastAsia="zh-CN" w:bidi="ar"/>
              </w:rPr>
              <w:t>》中</w:t>
            </w:r>
            <w:r>
              <w:rPr>
                <w:rFonts w:hint="eastAsia" w:cs="Times New Roman"/>
                <w:color w:val="auto"/>
                <w:kern w:val="0"/>
                <w:sz w:val="24"/>
                <w:szCs w:val="24"/>
                <w:highlight w:val="none"/>
                <w:lang w:val="en-US" w:eastAsia="zh-CN" w:bidi="ar"/>
              </w:rPr>
              <w:t>监测数据予以分析</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该报告</w:t>
            </w:r>
            <w:r>
              <w:rPr>
                <w:rFonts w:hint="eastAsia" w:ascii="Times New Roman" w:hAnsi="Times New Roman" w:eastAsia="宋体" w:cs="Times New Roman"/>
                <w:color w:val="auto"/>
                <w:sz w:val="24"/>
                <w:szCs w:val="24"/>
                <w:lang w:val="en-US" w:eastAsia="zh-CN"/>
              </w:rPr>
              <w:t>委托</w:t>
            </w:r>
            <w:r>
              <w:rPr>
                <w:rFonts w:hint="eastAsia" w:ascii="Times New Roman" w:hAnsi="Times New Roman" w:eastAsia="宋体" w:cs="Times New Roman"/>
                <w:color w:val="auto"/>
                <w:sz w:val="24"/>
                <w:szCs w:val="24"/>
                <w:lang w:eastAsia="zh-CN"/>
              </w:rPr>
              <w:t>安徽鑫程检测科技</w:t>
            </w:r>
            <w:r>
              <w:rPr>
                <w:rFonts w:hint="eastAsia" w:ascii="Times New Roman" w:hAnsi="Times New Roman" w:eastAsia="宋体" w:cs="Times New Roman"/>
                <w:color w:val="auto"/>
                <w:sz w:val="24"/>
                <w:szCs w:val="24"/>
              </w:rPr>
              <w:t>有限公司</w:t>
            </w:r>
            <w:r>
              <w:rPr>
                <w:rFonts w:hint="default" w:ascii="Times New Roman" w:hAnsi="Times New Roman" w:eastAsia="宋体" w:cs="Times New Roman"/>
                <w:color w:val="auto"/>
                <w:kern w:val="0"/>
                <w:sz w:val="24"/>
                <w:szCs w:val="24"/>
                <w:highlight w:val="none"/>
                <w:lang w:val="en-US" w:eastAsia="zh-CN" w:bidi="ar"/>
              </w:rPr>
              <w:t>于202</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年1</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日～1</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日</w:t>
            </w:r>
            <w:r>
              <w:rPr>
                <w:rFonts w:hint="eastAsia" w:cs="Times New Roman"/>
                <w:color w:val="auto"/>
                <w:kern w:val="0"/>
                <w:sz w:val="24"/>
                <w:szCs w:val="24"/>
                <w:highlight w:val="none"/>
                <w:lang w:val="en-US" w:eastAsia="zh-CN" w:bidi="ar"/>
              </w:rPr>
              <w:t>对区域进行</w:t>
            </w:r>
            <w:r>
              <w:rPr>
                <w:rFonts w:hint="default" w:ascii="Times New Roman" w:hAnsi="Times New Roman" w:cs="Times New Roman"/>
                <w:color w:val="auto"/>
                <w:kern w:val="0"/>
                <w:sz w:val="24"/>
                <w:szCs w:val="24"/>
                <w:highlight w:val="none"/>
                <w:lang w:val="en-US" w:eastAsia="zh-CN" w:bidi="ar"/>
              </w:rPr>
              <w:t>监测</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snapToGrid/>
                <w:color w:val="auto"/>
                <w:kern w:val="2"/>
                <w:sz w:val="24"/>
                <w:szCs w:val="24"/>
                <w:highlight w:val="none"/>
                <w:lang w:val="en-US" w:eastAsia="zh-CN"/>
              </w:rPr>
              <w:t>监测点位</w:t>
            </w:r>
            <w:r>
              <w:rPr>
                <w:rFonts w:hint="eastAsia" w:ascii="Times New Roman" w:hAnsi="Times New Roman" w:eastAsia="宋体" w:cs="Times New Roman"/>
                <w:snapToGrid/>
                <w:color w:val="auto"/>
                <w:kern w:val="2"/>
                <w:sz w:val="24"/>
                <w:szCs w:val="24"/>
                <w:highlight w:val="none"/>
                <w:lang w:val="en-US" w:eastAsia="zh-CN"/>
              </w:rPr>
              <w:t>为</w:t>
            </w:r>
            <w:r>
              <w:rPr>
                <w:rFonts w:hint="default" w:ascii="Times New Roman" w:hAnsi="Times New Roman" w:eastAsia="宋体" w:cs="Times New Roman"/>
                <w:snapToGrid/>
                <w:color w:val="auto"/>
                <w:kern w:val="2"/>
                <w:sz w:val="24"/>
                <w:szCs w:val="24"/>
                <w:highlight w:val="none"/>
                <w:lang w:val="en-US" w:eastAsia="zh-CN"/>
              </w:rPr>
              <w:t>G</w:t>
            </w:r>
            <w:r>
              <w:rPr>
                <w:rFonts w:hint="eastAsia" w:cs="Times New Roman"/>
                <w:snapToGrid/>
                <w:color w:val="auto"/>
                <w:kern w:val="2"/>
                <w:sz w:val="24"/>
                <w:szCs w:val="24"/>
                <w:highlight w:val="none"/>
                <w:lang w:val="en-US" w:eastAsia="zh-CN"/>
              </w:rPr>
              <w:t>1陈坝</w:t>
            </w:r>
            <w:r>
              <w:rPr>
                <w:rFonts w:hint="default" w:ascii="Times New Roman" w:hAnsi="Times New Roman" w:eastAsia="宋体" w:cs="Times New Roman"/>
                <w:snapToGrid/>
                <w:color w:val="auto"/>
                <w:kern w:val="2"/>
                <w:sz w:val="24"/>
                <w:szCs w:val="24"/>
                <w:highlight w:val="none"/>
                <w:lang w:val="en-US" w:eastAsia="zh-CN"/>
              </w:rPr>
              <w:t>，位于项目</w:t>
            </w:r>
            <w:r>
              <w:rPr>
                <w:rFonts w:hint="eastAsia" w:cs="Times New Roman"/>
                <w:snapToGrid/>
                <w:color w:val="auto"/>
                <w:kern w:val="2"/>
                <w:sz w:val="24"/>
                <w:szCs w:val="24"/>
                <w:highlight w:val="none"/>
                <w:lang w:val="en-US" w:eastAsia="zh-CN"/>
              </w:rPr>
              <w:t>西南1251</w:t>
            </w:r>
            <w:r>
              <w:rPr>
                <w:rFonts w:hint="default" w:ascii="Times New Roman" w:hAnsi="Times New Roman" w:eastAsia="宋体" w:cs="Times New Roman"/>
                <w:snapToGrid/>
                <w:color w:val="auto"/>
                <w:kern w:val="2"/>
                <w:sz w:val="24"/>
                <w:szCs w:val="24"/>
                <w:highlight w:val="none"/>
                <w:lang w:val="en-US" w:eastAsia="zh-CN"/>
              </w:rPr>
              <w:t>m，符合引用要求。</w:t>
            </w:r>
            <w:r>
              <w:rPr>
                <w:rFonts w:hint="default" w:ascii="Times New Roman" w:hAnsi="Times New Roman" w:eastAsia="宋体" w:cs="Times New Roman"/>
                <w:color w:val="auto"/>
                <w:kern w:val="0"/>
                <w:sz w:val="24"/>
                <w:szCs w:val="24"/>
                <w:highlight w:val="none"/>
                <w:lang w:val="en-US" w:eastAsia="zh-CN" w:bidi="ar"/>
              </w:rPr>
              <w:t>监测数</w:t>
            </w:r>
            <w:r>
              <w:rPr>
                <w:rFonts w:hint="eastAsia" w:ascii="宋体" w:hAnsi="宋体" w:eastAsia="宋体" w:cs="宋体"/>
                <w:color w:val="auto"/>
                <w:kern w:val="0"/>
                <w:sz w:val="24"/>
                <w:szCs w:val="24"/>
                <w:highlight w:val="none"/>
                <w:lang w:val="en-US" w:eastAsia="zh-CN" w:bidi="ar"/>
              </w:rPr>
              <w:t>据见下表。</w:t>
            </w:r>
          </w:p>
          <w:p w14:paraId="7165E450">
            <w:pPr>
              <w:tabs>
                <w:tab w:val="left" w:pos="1401"/>
                <w:tab w:val="left" w:pos="5853"/>
              </w:tabs>
              <w:spacing w:before="0" w:after="37"/>
              <w:ind w:left="0" w:right="18" w:firstLine="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highlight w:val="none"/>
              </w:rPr>
              <w:t>表3-2</w:t>
            </w:r>
            <w:r>
              <w:rPr>
                <w:rFonts w:hint="eastAsia"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大气现状监测</w:t>
            </w:r>
            <w:r>
              <w:rPr>
                <w:rFonts w:hint="default" w:ascii="Times New Roman" w:hAnsi="Times New Roman" w:eastAsia="宋体" w:cs="Times New Roman"/>
                <w:b/>
                <w:color w:val="auto"/>
                <w:sz w:val="21"/>
                <w:szCs w:val="21"/>
              </w:rPr>
              <w:t>点布设</w:t>
            </w:r>
          </w:p>
          <w:tbl>
            <w:tblPr>
              <w:tblStyle w:val="25"/>
              <w:tblW w:w="88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7"/>
              <w:gridCol w:w="1486"/>
              <w:gridCol w:w="2490"/>
              <w:gridCol w:w="3055"/>
            </w:tblGrid>
            <w:tr w14:paraId="2F831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9" w:type="pct"/>
                  <w:tcBorders>
                    <w:right w:val="single" w:color="auto" w:sz="4" w:space="0"/>
                  </w:tcBorders>
                  <w:noWrap w:val="0"/>
                  <w:vAlign w:val="center"/>
                </w:tcPr>
                <w:p w14:paraId="627E9B40">
                  <w:pPr>
                    <w:pStyle w:val="61"/>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default" w:ascii="Times New Roman" w:hAnsi="Times New Roman" w:eastAsia="宋体" w:cs="Times New Roman"/>
                      <w:b w:val="0"/>
                      <w:bCs w:val="0"/>
                      <w:snapToGrid w:val="0"/>
                      <w:color w:val="auto"/>
                      <w:spacing w:val="-2"/>
                      <w:kern w:val="2"/>
                      <w:sz w:val="21"/>
                      <w:szCs w:val="21"/>
                    </w:rPr>
                    <w:t>位置</w:t>
                  </w:r>
                </w:p>
              </w:tc>
              <w:tc>
                <w:tcPr>
                  <w:tcW w:w="835" w:type="pct"/>
                  <w:tcBorders>
                    <w:left w:val="single" w:color="auto" w:sz="4" w:space="0"/>
                  </w:tcBorders>
                  <w:noWrap w:val="0"/>
                  <w:vAlign w:val="center"/>
                </w:tcPr>
                <w:p w14:paraId="275DCC00">
                  <w:pPr>
                    <w:pStyle w:val="61"/>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eastAsia" w:cs="Times New Roman"/>
                      <w:b w:val="0"/>
                      <w:bCs w:val="0"/>
                      <w:snapToGrid w:val="0"/>
                      <w:color w:val="auto"/>
                      <w:spacing w:val="-2"/>
                      <w:kern w:val="2"/>
                      <w:sz w:val="21"/>
                      <w:szCs w:val="21"/>
                      <w:lang w:eastAsia="zh-CN"/>
                    </w:rPr>
                    <w:t>点位编号</w:t>
                  </w:r>
                </w:p>
              </w:tc>
              <w:tc>
                <w:tcPr>
                  <w:tcW w:w="1399" w:type="pct"/>
                  <w:noWrap w:val="0"/>
                  <w:vAlign w:val="center"/>
                </w:tcPr>
                <w:p w14:paraId="1BCECA8A">
                  <w:pPr>
                    <w:pStyle w:val="61"/>
                    <w:adjustRightInd w:val="0"/>
                    <w:snapToGrid w:val="0"/>
                    <w:jc w:val="center"/>
                    <w:rPr>
                      <w:rFonts w:hint="default" w:ascii="Times New Roman" w:hAnsi="Times New Roman" w:eastAsia="宋体" w:cs="Times New Roman"/>
                      <w:b w:val="0"/>
                      <w:bCs w:val="0"/>
                      <w:snapToGrid w:val="0"/>
                      <w:color w:val="auto"/>
                      <w:spacing w:val="-2"/>
                      <w:kern w:val="2"/>
                      <w:sz w:val="21"/>
                      <w:szCs w:val="21"/>
                    </w:rPr>
                  </w:pPr>
                  <w:r>
                    <w:rPr>
                      <w:rFonts w:hint="default" w:ascii="Times New Roman" w:hAnsi="Times New Roman" w:eastAsia="宋体" w:cs="Times New Roman"/>
                      <w:b w:val="0"/>
                      <w:bCs w:val="0"/>
                      <w:snapToGrid w:val="0"/>
                      <w:color w:val="auto"/>
                      <w:spacing w:val="-2"/>
                      <w:kern w:val="2"/>
                      <w:sz w:val="21"/>
                      <w:szCs w:val="21"/>
                      <w:lang w:val="en-US" w:eastAsia="zh-CN"/>
                    </w:rPr>
                    <w:t>距本项目</w:t>
                  </w:r>
                  <w:r>
                    <w:rPr>
                      <w:rFonts w:hint="default" w:ascii="Times New Roman" w:hAnsi="Times New Roman" w:eastAsia="宋体" w:cs="Times New Roman"/>
                      <w:b w:val="0"/>
                      <w:bCs w:val="0"/>
                      <w:snapToGrid w:val="0"/>
                      <w:color w:val="auto"/>
                      <w:spacing w:val="-2"/>
                      <w:kern w:val="2"/>
                      <w:sz w:val="21"/>
                      <w:szCs w:val="21"/>
                    </w:rPr>
                    <w:t>方位及距离</w:t>
                  </w:r>
                </w:p>
              </w:tc>
              <w:tc>
                <w:tcPr>
                  <w:tcW w:w="1716" w:type="pct"/>
                  <w:noWrap w:val="0"/>
                  <w:vAlign w:val="center"/>
                </w:tcPr>
                <w:p w14:paraId="73C120A8">
                  <w:pPr>
                    <w:pStyle w:val="61"/>
                    <w:adjustRightInd w:val="0"/>
                    <w:snapToGrid w:val="0"/>
                    <w:jc w:val="center"/>
                    <w:rPr>
                      <w:rFonts w:hint="default" w:ascii="Times New Roman" w:hAnsi="Times New Roman" w:eastAsia="宋体" w:cs="Times New Roman"/>
                      <w:b w:val="0"/>
                      <w:bCs w:val="0"/>
                      <w:snapToGrid w:val="0"/>
                      <w:color w:val="auto"/>
                      <w:spacing w:val="-2"/>
                      <w:kern w:val="2"/>
                      <w:sz w:val="21"/>
                      <w:szCs w:val="21"/>
                      <w:lang w:val="en-US" w:eastAsia="zh-CN"/>
                    </w:rPr>
                  </w:pPr>
                  <w:r>
                    <w:rPr>
                      <w:rFonts w:hint="default" w:ascii="Times New Roman" w:hAnsi="Times New Roman" w:eastAsia="宋体" w:cs="Times New Roman"/>
                      <w:b w:val="0"/>
                      <w:bCs w:val="0"/>
                      <w:snapToGrid w:val="0"/>
                      <w:color w:val="auto"/>
                      <w:spacing w:val="-2"/>
                      <w:kern w:val="2"/>
                      <w:sz w:val="21"/>
                      <w:szCs w:val="21"/>
                      <w:lang w:val="en-US" w:eastAsia="zh-CN"/>
                    </w:rPr>
                    <w:t>引用</w:t>
                  </w:r>
                  <w:r>
                    <w:rPr>
                      <w:rFonts w:hint="default" w:ascii="Times New Roman" w:hAnsi="Times New Roman" w:eastAsia="宋体" w:cs="Times New Roman"/>
                      <w:b w:val="0"/>
                      <w:bCs w:val="0"/>
                      <w:snapToGrid w:val="0"/>
                      <w:color w:val="auto"/>
                      <w:spacing w:val="-2"/>
                      <w:kern w:val="2"/>
                      <w:sz w:val="21"/>
                      <w:szCs w:val="21"/>
                    </w:rPr>
                    <w:t>监测</w:t>
                  </w:r>
                  <w:r>
                    <w:rPr>
                      <w:rFonts w:hint="default" w:ascii="Times New Roman" w:hAnsi="Times New Roman" w:eastAsia="宋体" w:cs="Times New Roman"/>
                      <w:b w:val="0"/>
                      <w:bCs w:val="0"/>
                      <w:snapToGrid w:val="0"/>
                      <w:color w:val="auto"/>
                      <w:spacing w:val="-2"/>
                      <w:kern w:val="2"/>
                      <w:sz w:val="21"/>
                      <w:szCs w:val="21"/>
                      <w:lang w:val="en-US" w:eastAsia="zh-CN"/>
                    </w:rPr>
                    <w:t>因子</w:t>
                  </w:r>
                </w:p>
              </w:tc>
            </w:tr>
            <w:tr w14:paraId="57F85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49" w:type="pct"/>
                  <w:tcBorders>
                    <w:right w:val="single" w:color="auto" w:sz="4" w:space="0"/>
                  </w:tcBorders>
                  <w:noWrap w:val="0"/>
                  <w:vAlign w:val="center"/>
                </w:tcPr>
                <w:p w14:paraId="659261B3">
                  <w:pPr>
                    <w:pStyle w:val="61"/>
                    <w:adjustRightInd w:val="0"/>
                    <w:snapToGrid w:val="0"/>
                    <w:jc w:val="center"/>
                    <w:rPr>
                      <w:rFonts w:hint="default" w:ascii="Times New Roman" w:hAnsi="Times New Roman" w:eastAsia="宋体"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陈坝</w:t>
                  </w:r>
                </w:p>
              </w:tc>
              <w:tc>
                <w:tcPr>
                  <w:tcW w:w="835" w:type="pct"/>
                  <w:tcBorders>
                    <w:left w:val="single" w:color="auto" w:sz="4" w:space="0"/>
                  </w:tcBorders>
                  <w:noWrap w:val="0"/>
                  <w:vAlign w:val="top"/>
                </w:tcPr>
                <w:p w14:paraId="5244338B">
                  <w:pPr>
                    <w:widowControl w:val="0"/>
                    <w:kinsoku/>
                    <w:autoSpaceDE/>
                    <w:autoSpaceDN/>
                    <w:adjustRightInd/>
                    <w:snapToGrid/>
                    <w:spacing w:line="320" w:lineRule="exact"/>
                    <w:jc w:val="center"/>
                    <w:textAlignment w:val="auto"/>
                    <w:rPr>
                      <w:rFonts w:hint="default" w:cs="Times New Roman"/>
                      <w:snapToGrid w:val="0"/>
                      <w:color w:val="auto"/>
                      <w:spacing w:val="-2"/>
                      <w:kern w:val="2"/>
                      <w:sz w:val="21"/>
                      <w:szCs w:val="21"/>
                      <w:lang w:val="en-US" w:eastAsia="zh-CN"/>
                    </w:rPr>
                  </w:pPr>
                  <w:r>
                    <w:rPr>
                      <w:rFonts w:hint="default" w:ascii="Times New Roman" w:hAnsi="Times New Roman" w:eastAsia="宋体" w:cs="Times New Roman"/>
                      <w:b w:val="0"/>
                      <w:bCs/>
                      <w:snapToGrid/>
                      <w:color w:val="auto"/>
                      <w:kern w:val="2"/>
                      <w:szCs w:val="21"/>
                      <w:lang w:eastAsia="zh-CN"/>
                    </w:rPr>
                    <w:t>G</w:t>
                  </w:r>
                  <w:r>
                    <w:rPr>
                      <w:rFonts w:hint="eastAsia" w:cs="Times New Roman"/>
                      <w:b w:val="0"/>
                      <w:bCs/>
                      <w:snapToGrid/>
                      <w:color w:val="auto"/>
                      <w:kern w:val="2"/>
                      <w:szCs w:val="21"/>
                      <w:lang w:val="en-US" w:eastAsia="zh-CN"/>
                    </w:rPr>
                    <w:t>1</w:t>
                  </w:r>
                </w:p>
              </w:tc>
              <w:tc>
                <w:tcPr>
                  <w:tcW w:w="1399" w:type="pct"/>
                  <w:noWrap w:val="0"/>
                  <w:vAlign w:val="center"/>
                </w:tcPr>
                <w:p w14:paraId="1498A1D5">
                  <w:pPr>
                    <w:pStyle w:val="61"/>
                    <w:adjustRightInd w:val="0"/>
                    <w:snapToGrid w:val="0"/>
                    <w:jc w:val="center"/>
                    <w:rPr>
                      <w:rFonts w:hint="default" w:ascii="Times New Roman" w:hAnsi="Times New Roman" w:eastAsia="宋体" w:cs="Times New Roman"/>
                      <w:snapToGrid w:val="0"/>
                      <w:color w:val="auto"/>
                      <w:spacing w:val="-2"/>
                      <w:kern w:val="2"/>
                      <w:sz w:val="21"/>
                      <w:szCs w:val="21"/>
                      <w:highlight w:val="none"/>
                      <w:lang w:eastAsia="zh-CN"/>
                    </w:rPr>
                  </w:pPr>
                  <w:r>
                    <w:rPr>
                      <w:rFonts w:hint="eastAsia" w:cs="Times New Roman"/>
                      <w:snapToGrid w:val="0"/>
                      <w:color w:val="auto"/>
                      <w:spacing w:val="-2"/>
                      <w:kern w:val="2"/>
                      <w:sz w:val="21"/>
                      <w:szCs w:val="21"/>
                      <w:highlight w:val="none"/>
                      <w:lang w:val="en-US" w:eastAsia="zh-CN"/>
                    </w:rPr>
                    <w:t>西南</w:t>
                  </w:r>
                  <w:r>
                    <w:rPr>
                      <w:rFonts w:hint="default" w:ascii="Times New Roman" w:hAnsi="Times New Roman" w:eastAsia="宋体" w:cs="Times New Roman"/>
                      <w:snapToGrid w:val="0"/>
                      <w:color w:val="auto"/>
                      <w:spacing w:val="-2"/>
                      <w:kern w:val="2"/>
                      <w:sz w:val="21"/>
                      <w:szCs w:val="21"/>
                      <w:highlight w:val="none"/>
                      <w:lang w:eastAsia="zh-CN"/>
                    </w:rPr>
                    <w:t>，</w:t>
                  </w:r>
                  <w:r>
                    <w:rPr>
                      <w:rFonts w:hint="eastAsia" w:cs="Times New Roman"/>
                      <w:snapToGrid w:val="0"/>
                      <w:color w:val="auto"/>
                      <w:spacing w:val="-2"/>
                      <w:kern w:val="2"/>
                      <w:sz w:val="21"/>
                      <w:szCs w:val="21"/>
                      <w:highlight w:val="none"/>
                      <w:lang w:val="en-US" w:eastAsia="zh-CN"/>
                    </w:rPr>
                    <w:t>1251</w:t>
                  </w:r>
                  <w:r>
                    <w:rPr>
                      <w:rFonts w:hint="default" w:ascii="Times New Roman" w:hAnsi="Times New Roman" w:eastAsia="宋体" w:cs="Times New Roman"/>
                      <w:snapToGrid w:val="0"/>
                      <w:color w:val="auto"/>
                      <w:spacing w:val="-2"/>
                      <w:kern w:val="2"/>
                      <w:sz w:val="21"/>
                      <w:szCs w:val="21"/>
                      <w:highlight w:val="none"/>
                      <w:lang w:val="en-US" w:eastAsia="zh-CN"/>
                    </w:rPr>
                    <w:t>m</w:t>
                  </w:r>
                </w:p>
              </w:tc>
              <w:tc>
                <w:tcPr>
                  <w:tcW w:w="1716" w:type="pct"/>
                  <w:tcBorders>
                    <w:bottom w:val="single" w:color="auto" w:sz="4" w:space="0"/>
                  </w:tcBorders>
                  <w:noWrap w:val="0"/>
                  <w:vAlign w:val="center"/>
                </w:tcPr>
                <w:p w14:paraId="7C7F8052">
                  <w:pPr>
                    <w:pStyle w:val="61"/>
                    <w:adjustRightInd w:val="0"/>
                    <w:snapToGrid w:val="0"/>
                    <w:jc w:val="center"/>
                    <w:rPr>
                      <w:rFonts w:hint="default" w:ascii="Times New Roman" w:hAnsi="Times New Roman" w:eastAsia="宋体" w:cs="Times New Roman"/>
                      <w:snapToGrid w:val="0"/>
                      <w:color w:val="auto"/>
                      <w:spacing w:val="-2"/>
                      <w:kern w:val="2"/>
                      <w:sz w:val="21"/>
                      <w:szCs w:val="21"/>
                      <w:lang w:val="en-US" w:eastAsia="zh-CN"/>
                    </w:rPr>
                  </w:pPr>
                  <w:r>
                    <w:rPr>
                      <w:rFonts w:hint="eastAsia" w:cs="Times New Roman"/>
                      <w:snapToGrid/>
                      <w:color w:val="auto"/>
                      <w:kern w:val="2"/>
                      <w:sz w:val="21"/>
                      <w:szCs w:val="21"/>
                      <w:lang w:val="en-US" w:eastAsia="zh-CN" w:bidi="ar-SA"/>
                    </w:rPr>
                    <w:t>TSP、</w:t>
                  </w:r>
                  <w:r>
                    <w:rPr>
                      <w:rFonts w:hint="eastAsia" w:cs="Times New Roman"/>
                      <w:color w:val="auto"/>
                      <w:kern w:val="0"/>
                      <w:sz w:val="21"/>
                      <w:szCs w:val="21"/>
                      <w:highlight w:val="none"/>
                      <w:lang w:val="en-US" w:eastAsia="zh-CN" w:bidi="ar"/>
                    </w:rPr>
                    <w:t>HCl</w:t>
                  </w:r>
                </w:p>
              </w:tc>
            </w:tr>
          </w:tbl>
          <w:p w14:paraId="00D6715D">
            <w:pPr>
              <w:tabs>
                <w:tab w:val="left" w:pos="1401"/>
                <w:tab w:val="left" w:pos="5853"/>
              </w:tabs>
              <w:spacing w:before="0" w:after="37"/>
              <w:ind w:left="0" w:right="18" w:firstLine="0"/>
              <w:jc w:val="center"/>
              <w:rPr>
                <w:rFonts w:hint="default" w:ascii="Times New Roman" w:hAnsi="Times New Roman" w:eastAsia="宋体" w:cs="Times New Roman"/>
                <w:b/>
                <w:color w:val="auto"/>
                <w:sz w:val="21"/>
                <w:szCs w:val="21"/>
              </w:rPr>
            </w:pPr>
          </w:p>
          <w:p w14:paraId="170B8FD2">
            <w:pPr>
              <w:tabs>
                <w:tab w:val="left" w:pos="1401"/>
                <w:tab w:val="left" w:pos="5853"/>
              </w:tabs>
              <w:spacing w:before="0" w:after="37"/>
              <w:ind w:left="0" w:right="18" w:firstLine="0"/>
              <w:jc w:val="center"/>
              <w:rPr>
                <w:rFonts w:hint="default" w:ascii="Times New Roman" w:hAnsi="Times New Roman" w:eastAsia="宋体" w:cs="Times New Roman"/>
                <w:b/>
                <w:color w:val="auto"/>
                <w:sz w:val="21"/>
                <w:szCs w:val="21"/>
              </w:rPr>
            </w:pPr>
          </w:p>
          <w:p w14:paraId="714506D2">
            <w:pPr>
              <w:tabs>
                <w:tab w:val="left" w:pos="1401"/>
                <w:tab w:val="left" w:pos="5853"/>
              </w:tabs>
              <w:spacing w:before="0" w:after="37"/>
              <w:ind w:left="0" w:right="18" w:firstLine="0"/>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 xml:space="preserve">3-3  </w:t>
            </w:r>
            <w:r>
              <w:rPr>
                <w:rFonts w:hint="default" w:ascii="Times New Roman" w:hAnsi="Times New Roman" w:eastAsia="宋体" w:cs="Times New Roman"/>
                <w:b/>
                <w:color w:val="auto"/>
                <w:sz w:val="21"/>
                <w:szCs w:val="21"/>
              </w:rPr>
              <w:t>环境空气现状监测评价结果表</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单位：mg/</w:t>
            </w:r>
            <w:r>
              <w:rPr>
                <w:rFonts w:hint="default" w:ascii="Times New Roman" w:hAnsi="Times New Roman" w:eastAsia="宋体" w:cs="Times New Roman"/>
                <w:b/>
                <w:color w:val="auto"/>
                <w:sz w:val="21"/>
                <w:szCs w:val="21"/>
                <w:lang w:eastAsia="zh-CN"/>
              </w:rPr>
              <w:t>m</w:t>
            </w:r>
            <w:r>
              <w:rPr>
                <w:rFonts w:hint="default" w:ascii="Times New Roman" w:hAnsi="Times New Roman" w:eastAsia="宋体" w:cs="Times New Roman"/>
                <w:b/>
                <w:color w:val="auto"/>
                <w:sz w:val="21"/>
                <w:szCs w:val="21"/>
                <w:vertAlign w:val="superscript"/>
                <w:lang w:eastAsia="zh-CN"/>
              </w:rPr>
              <w:t>3</w:t>
            </w:r>
          </w:p>
          <w:tbl>
            <w:tblPr>
              <w:tblStyle w:val="25"/>
              <w:tblW w:w="889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58"/>
              <w:gridCol w:w="738"/>
              <w:gridCol w:w="885"/>
              <w:gridCol w:w="990"/>
              <w:gridCol w:w="1035"/>
              <w:gridCol w:w="930"/>
              <w:gridCol w:w="1050"/>
              <w:gridCol w:w="967"/>
              <w:gridCol w:w="660"/>
              <w:gridCol w:w="584"/>
            </w:tblGrid>
            <w:tr w14:paraId="21EC10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58" w:type="dxa"/>
                  <w:vMerge w:val="restart"/>
                  <w:tcBorders>
                    <w:top w:val="single" w:color="auto" w:sz="4" w:space="0"/>
                    <w:left w:val="single" w:color="auto" w:sz="4" w:space="0"/>
                    <w:bottom w:val="single" w:color="000000" w:sz="4" w:space="0"/>
                    <w:right w:val="single" w:color="auto" w:sz="4" w:space="0"/>
                  </w:tcBorders>
                  <w:noWrap w:val="0"/>
                  <w:vAlign w:val="center"/>
                </w:tcPr>
                <w:p w14:paraId="23346980">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eastAsia" w:cs="Times New Roman"/>
                      <w:b w:val="0"/>
                      <w:bCs w:val="0"/>
                      <w:color w:val="auto"/>
                      <w:spacing w:val="-2"/>
                      <w:kern w:val="0"/>
                      <w:sz w:val="21"/>
                      <w:szCs w:val="21"/>
                      <w:lang w:val="en-US" w:eastAsia="zh-CN" w:bidi="ar"/>
                    </w:rPr>
                    <w:t>监测点位</w:t>
                  </w:r>
                </w:p>
              </w:tc>
              <w:tc>
                <w:tcPr>
                  <w:tcW w:w="1623" w:type="dxa"/>
                  <w:gridSpan w:val="2"/>
                  <w:tcBorders>
                    <w:top w:val="single" w:color="auto" w:sz="4" w:space="0"/>
                    <w:left w:val="single" w:color="auto" w:sz="4" w:space="0"/>
                    <w:bottom w:val="single" w:color="000000" w:sz="4" w:space="0"/>
                    <w:right w:val="single" w:color="000000" w:sz="4" w:space="0"/>
                  </w:tcBorders>
                  <w:noWrap w:val="0"/>
                  <w:vAlign w:val="center"/>
                </w:tcPr>
                <w:p w14:paraId="00E3CCB1">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b w:val="0"/>
                      <w:bCs w:val="0"/>
                      <w:color w:val="auto"/>
                      <w:spacing w:val="-2"/>
                      <w:kern w:val="0"/>
                      <w:sz w:val="21"/>
                      <w:szCs w:val="21"/>
                      <w:lang w:val="en-US" w:eastAsia="zh-CN" w:bidi="ar"/>
                    </w:rPr>
                  </w:pPr>
                  <w:r>
                    <w:rPr>
                      <w:rFonts w:hint="eastAsia" w:cs="Times New Roman"/>
                      <w:b w:val="0"/>
                      <w:bCs w:val="0"/>
                      <w:color w:val="auto"/>
                      <w:spacing w:val="-2"/>
                      <w:kern w:val="0"/>
                      <w:sz w:val="21"/>
                      <w:szCs w:val="21"/>
                      <w:lang w:val="en-US" w:eastAsia="zh-CN" w:bidi="ar"/>
                    </w:rPr>
                    <w:t>监测点坐标/m</w:t>
                  </w:r>
                </w:p>
              </w:tc>
              <w:tc>
                <w:tcPr>
                  <w:tcW w:w="990" w:type="dxa"/>
                  <w:vMerge w:val="restart"/>
                  <w:tcBorders>
                    <w:top w:val="single" w:color="auto" w:sz="4" w:space="0"/>
                    <w:left w:val="nil"/>
                    <w:bottom w:val="single" w:color="000000" w:sz="4" w:space="0"/>
                    <w:right w:val="single" w:color="000000" w:sz="4" w:space="0"/>
                  </w:tcBorders>
                  <w:noWrap w:val="0"/>
                  <w:vAlign w:val="center"/>
                </w:tcPr>
                <w:p w14:paraId="4CB1C126">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污染物</w:t>
                  </w:r>
                </w:p>
              </w:tc>
              <w:tc>
                <w:tcPr>
                  <w:tcW w:w="1035" w:type="dxa"/>
                  <w:vMerge w:val="restart"/>
                  <w:tcBorders>
                    <w:top w:val="single" w:color="auto" w:sz="4" w:space="0"/>
                    <w:left w:val="nil"/>
                    <w:right w:val="single" w:color="000000" w:sz="4" w:space="0"/>
                  </w:tcBorders>
                  <w:noWrap w:val="0"/>
                  <w:vAlign w:val="center"/>
                </w:tcPr>
                <w:p w14:paraId="3AA9BB0D">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eastAsia" w:cs="Times New Roman"/>
                      <w:b w:val="0"/>
                      <w:bCs w:val="0"/>
                      <w:color w:val="auto"/>
                      <w:kern w:val="0"/>
                      <w:sz w:val="21"/>
                      <w:szCs w:val="21"/>
                      <w:lang w:val="en-US" w:eastAsia="zh-CN" w:bidi="ar"/>
                    </w:rPr>
                    <w:t>平均时间</w:t>
                  </w:r>
                </w:p>
              </w:tc>
              <w:tc>
                <w:tcPr>
                  <w:tcW w:w="930" w:type="dxa"/>
                  <w:vMerge w:val="restart"/>
                  <w:tcBorders>
                    <w:top w:val="single" w:color="auto" w:sz="4" w:space="0"/>
                    <w:left w:val="nil"/>
                    <w:bottom w:val="single" w:color="000000" w:sz="4" w:space="0"/>
                    <w:right w:val="single" w:color="auto" w:sz="4" w:space="0"/>
                  </w:tcBorders>
                  <w:noWrap w:val="0"/>
                  <w:vAlign w:val="center"/>
                </w:tcPr>
                <w:p w14:paraId="0EDED539">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评价标准</w:t>
                  </w:r>
                  <w:r>
                    <w:rPr>
                      <w:rFonts w:hint="eastAsia" w:cs="Times New Roman"/>
                      <w:b w:val="0"/>
                      <w:bCs w:val="0"/>
                      <w:color w:val="auto"/>
                      <w:spacing w:val="-2"/>
                      <w:kern w:val="0"/>
                      <w:sz w:val="21"/>
                      <w:szCs w:val="21"/>
                      <w:lang w:val="en-US" w:eastAsia="zh-CN" w:bidi="ar"/>
                    </w:rPr>
                    <w:t>u</w:t>
                  </w:r>
                  <w:r>
                    <w:rPr>
                      <w:rFonts w:hint="default" w:ascii="Times New Roman" w:hAnsi="Times New Roman" w:eastAsia="宋体" w:cs="Times New Roman"/>
                      <w:b w:val="0"/>
                      <w:bCs w:val="0"/>
                      <w:color w:val="auto"/>
                      <w:spacing w:val="-2"/>
                      <w:kern w:val="0"/>
                      <w:sz w:val="21"/>
                      <w:szCs w:val="21"/>
                      <w:lang w:val="en-US" w:eastAsia="zh-CN" w:bidi="ar"/>
                    </w:rPr>
                    <w:t>g/m</w:t>
                  </w:r>
                  <w:r>
                    <w:rPr>
                      <w:rFonts w:hint="default" w:ascii="Times New Roman" w:hAnsi="Times New Roman" w:eastAsia="宋体" w:cs="Times New Roman"/>
                      <w:b w:val="0"/>
                      <w:bCs w:val="0"/>
                      <w:color w:val="auto"/>
                      <w:spacing w:val="-2"/>
                      <w:kern w:val="0"/>
                      <w:sz w:val="21"/>
                      <w:szCs w:val="21"/>
                      <w:vertAlign w:val="superscript"/>
                      <w:lang w:val="en-US" w:eastAsia="zh-CN" w:bidi="ar"/>
                    </w:rPr>
                    <w:t>3</w:t>
                  </w:r>
                </w:p>
              </w:tc>
              <w:tc>
                <w:tcPr>
                  <w:tcW w:w="1050" w:type="dxa"/>
                  <w:vMerge w:val="restart"/>
                  <w:tcBorders>
                    <w:top w:val="single" w:color="auto" w:sz="4" w:space="0"/>
                    <w:left w:val="single" w:color="auto" w:sz="4" w:space="0"/>
                    <w:bottom w:val="single" w:color="000000" w:sz="4" w:space="0"/>
                    <w:right w:val="single" w:color="000000" w:sz="4" w:space="0"/>
                  </w:tcBorders>
                  <w:noWrap w:val="0"/>
                  <w:vAlign w:val="center"/>
                </w:tcPr>
                <w:p w14:paraId="1D94F4FC">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lang w:val="en-US" w:eastAsia="zh-CN" w:bidi="ar"/>
                    </w:rPr>
                  </w:pPr>
                  <w:r>
                    <w:rPr>
                      <w:rFonts w:hint="eastAsia" w:cs="Times New Roman"/>
                      <w:b w:val="0"/>
                      <w:bCs w:val="0"/>
                      <w:color w:val="auto"/>
                      <w:spacing w:val="-2"/>
                      <w:kern w:val="0"/>
                      <w:sz w:val="21"/>
                      <w:szCs w:val="21"/>
                      <w:lang w:val="en-US" w:eastAsia="zh-CN" w:bidi="ar"/>
                    </w:rPr>
                    <w:t>监测</w:t>
                  </w:r>
                  <w:r>
                    <w:rPr>
                      <w:rFonts w:hint="default" w:ascii="Times New Roman" w:hAnsi="Times New Roman" w:eastAsia="宋体" w:cs="Times New Roman"/>
                      <w:b w:val="0"/>
                      <w:bCs w:val="0"/>
                      <w:color w:val="auto"/>
                      <w:spacing w:val="-2"/>
                      <w:kern w:val="0"/>
                      <w:sz w:val="21"/>
                      <w:szCs w:val="21"/>
                      <w:lang w:val="en-US" w:eastAsia="zh-CN" w:bidi="ar"/>
                    </w:rPr>
                    <w:t>浓度范围</w:t>
                  </w:r>
                  <w:r>
                    <w:rPr>
                      <w:rFonts w:hint="eastAsia" w:cs="Times New Roman"/>
                      <w:b w:val="0"/>
                      <w:bCs w:val="0"/>
                      <w:color w:val="auto"/>
                      <w:spacing w:val="-2"/>
                      <w:kern w:val="0"/>
                      <w:sz w:val="21"/>
                      <w:szCs w:val="21"/>
                      <w:lang w:val="en-US" w:eastAsia="zh-CN" w:bidi="ar"/>
                    </w:rPr>
                    <w:t>u</w:t>
                  </w:r>
                  <w:r>
                    <w:rPr>
                      <w:rFonts w:hint="default" w:ascii="Times New Roman" w:hAnsi="Times New Roman" w:eastAsia="宋体" w:cs="Times New Roman"/>
                      <w:b w:val="0"/>
                      <w:bCs w:val="0"/>
                      <w:color w:val="auto"/>
                      <w:spacing w:val="-2"/>
                      <w:kern w:val="0"/>
                      <w:sz w:val="21"/>
                      <w:szCs w:val="21"/>
                      <w:lang w:val="en-US" w:eastAsia="zh-CN" w:bidi="ar"/>
                    </w:rPr>
                    <w:t>g/m</w:t>
                  </w:r>
                  <w:r>
                    <w:rPr>
                      <w:rFonts w:hint="default" w:ascii="Times New Roman" w:hAnsi="Times New Roman" w:eastAsia="宋体" w:cs="Times New Roman"/>
                      <w:b w:val="0"/>
                      <w:bCs w:val="0"/>
                      <w:color w:val="auto"/>
                      <w:spacing w:val="-2"/>
                      <w:kern w:val="0"/>
                      <w:sz w:val="21"/>
                      <w:szCs w:val="21"/>
                      <w:vertAlign w:val="superscript"/>
                      <w:lang w:val="en-US" w:eastAsia="zh-CN" w:bidi="ar"/>
                    </w:rPr>
                    <w:t>3</w:t>
                  </w:r>
                </w:p>
              </w:tc>
              <w:tc>
                <w:tcPr>
                  <w:tcW w:w="967" w:type="dxa"/>
                  <w:vMerge w:val="restart"/>
                  <w:tcBorders>
                    <w:top w:val="single" w:color="auto" w:sz="4" w:space="0"/>
                    <w:left w:val="nil"/>
                    <w:bottom w:val="single" w:color="000000" w:sz="4" w:space="0"/>
                    <w:right w:val="single" w:color="000000" w:sz="4" w:space="0"/>
                  </w:tcBorders>
                  <w:noWrap w:val="0"/>
                  <w:vAlign w:val="center"/>
                </w:tcPr>
                <w:p w14:paraId="2776CEC3">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最大浓度占标率%</w:t>
                  </w:r>
                </w:p>
              </w:tc>
              <w:tc>
                <w:tcPr>
                  <w:tcW w:w="660" w:type="dxa"/>
                  <w:vMerge w:val="restart"/>
                  <w:tcBorders>
                    <w:top w:val="single" w:color="auto" w:sz="4" w:space="0"/>
                    <w:left w:val="nil"/>
                    <w:bottom w:val="single" w:color="000000" w:sz="4" w:space="0"/>
                    <w:right w:val="single" w:color="000000" w:sz="4" w:space="0"/>
                  </w:tcBorders>
                  <w:noWrap w:val="0"/>
                  <w:vAlign w:val="center"/>
                </w:tcPr>
                <w:p w14:paraId="22771304">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超标率%</w:t>
                  </w:r>
                </w:p>
              </w:tc>
              <w:tc>
                <w:tcPr>
                  <w:tcW w:w="584" w:type="dxa"/>
                  <w:vMerge w:val="restart"/>
                  <w:tcBorders>
                    <w:top w:val="single" w:color="auto" w:sz="4" w:space="0"/>
                    <w:left w:val="nil"/>
                    <w:bottom w:val="single" w:color="000000" w:sz="4" w:space="0"/>
                    <w:right w:val="single" w:color="auto" w:sz="4" w:space="0"/>
                  </w:tcBorders>
                  <w:noWrap w:val="0"/>
                  <w:vAlign w:val="center"/>
                </w:tcPr>
                <w:p w14:paraId="4B96C00C">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rPr>
                  </w:pPr>
                  <w:r>
                    <w:rPr>
                      <w:rFonts w:hint="default" w:ascii="Times New Roman" w:hAnsi="Times New Roman" w:eastAsia="宋体" w:cs="Times New Roman"/>
                      <w:b w:val="0"/>
                      <w:bCs w:val="0"/>
                      <w:color w:val="auto"/>
                      <w:spacing w:val="-2"/>
                      <w:kern w:val="0"/>
                      <w:sz w:val="21"/>
                      <w:szCs w:val="21"/>
                      <w:lang w:val="en-US" w:eastAsia="zh-CN" w:bidi="ar"/>
                    </w:rPr>
                    <w:t>达标情况</w:t>
                  </w:r>
                </w:p>
              </w:tc>
            </w:tr>
            <w:tr w14:paraId="2D81D4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058" w:type="dxa"/>
                  <w:vMerge w:val="continue"/>
                  <w:tcBorders>
                    <w:top w:val="single" w:color="auto" w:sz="4" w:space="0"/>
                    <w:left w:val="single" w:color="auto" w:sz="4" w:space="0"/>
                    <w:bottom w:val="single" w:color="000000" w:sz="4" w:space="0"/>
                    <w:right w:val="single" w:color="auto" w:sz="4" w:space="0"/>
                  </w:tcBorders>
                  <w:noWrap w:val="0"/>
                  <w:vAlign w:val="center"/>
                </w:tcPr>
                <w:p w14:paraId="60A0957A">
                  <w:pPr>
                    <w:rPr>
                      <w:rFonts w:hint="default" w:ascii="Times New Roman" w:hAnsi="Times New Roman" w:eastAsia="宋体" w:cs="Times New Roman"/>
                      <w:color w:val="auto"/>
                      <w:sz w:val="21"/>
                      <w:szCs w:val="21"/>
                    </w:rPr>
                  </w:pPr>
                </w:p>
              </w:tc>
              <w:tc>
                <w:tcPr>
                  <w:tcW w:w="738" w:type="dxa"/>
                  <w:tcBorders>
                    <w:top w:val="single" w:color="auto" w:sz="4" w:space="0"/>
                    <w:left w:val="single" w:color="auto" w:sz="4" w:space="0"/>
                    <w:right w:val="single" w:color="auto" w:sz="4" w:space="0"/>
                  </w:tcBorders>
                  <w:noWrap w:val="0"/>
                  <w:vAlign w:val="center"/>
                </w:tcPr>
                <w:p w14:paraId="133D4795">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X</w:t>
                  </w:r>
                </w:p>
              </w:tc>
              <w:tc>
                <w:tcPr>
                  <w:tcW w:w="885" w:type="dxa"/>
                  <w:tcBorders>
                    <w:top w:val="single" w:color="auto" w:sz="4" w:space="0"/>
                    <w:left w:val="single" w:color="auto" w:sz="4" w:space="0"/>
                    <w:right w:val="single" w:color="000000" w:sz="4" w:space="0"/>
                  </w:tcBorders>
                  <w:noWrap w:val="0"/>
                  <w:vAlign w:val="center"/>
                </w:tcPr>
                <w:p w14:paraId="633EDE4D">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Y</w:t>
                  </w:r>
                </w:p>
              </w:tc>
              <w:tc>
                <w:tcPr>
                  <w:tcW w:w="990" w:type="dxa"/>
                  <w:vMerge w:val="continue"/>
                  <w:tcBorders>
                    <w:top w:val="single" w:color="auto" w:sz="4" w:space="0"/>
                    <w:left w:val="nil"/>
                    <w:bottom w:val="single" w:color="000000" w:sz="4" w:space="0"/>
                    <w:right w:val="single" w:color="000000" w:sz="4" w:space="0"/>
                  </w:tcBorders>
                  <w:noWrap w:val="0"/>
                  <w:vAlign w:val="center"/>
                </w:tcPr>
                <w:p w14:paraId="5EB69274">
                  <w:pPr>
                    <w:rPr>
                      <w:rFonts w:hint="default" w:ascii="Times New Roman" w:hAnsi="Times New Roman" w:eastAsia="宋体" w:cs="Times New Roman"/>
                      <w:color w:val="auto"/>
                      <w:sz w:val="21"/>
                      <w:szCs w:val="21"/>
                    </w:rPr>
                  </w:pPr>
                </w:p>
              </w:tc>
              <w:tc>
                <w:tcPr>
                  <w:tcW w:w="1035" w:type="dxa"/>
                  <w:vMerge w:val="continue"/>
                  <w:tcBorders>
                    <w:left w:val="nil"/>
                    <w:right w:val="single" w:color="000000" w:sz="4" w:space="0"/>
                  </w:tcBorders>
                  <w:noWrap w:val="0"/>
                  <w:vAlign w:val="center"/>
                </w:tcPr>
                <w:p w14:paraId="2F061A8C">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b w:val="0"/>
                      <w:bCs w:val="0"/>
                      <w:color w:val="auto"/>
                      <w:spacing w:val="-2"/>
                      <w:kern w:val="0"/>
                      <w:sz w:val="21"/>
                      <w:szCs w:val="21"/>
                      <w:lang w:val="en-US" w:eastAsia="zh-CN" w:bidi="ar"/>
                    </w:rPr>
                  </w:pPr>
                </w:p>
              </w:tc>
              <w:tc>
                <w:tcPr>
                  <w:tcW w:w="930" w:type="dxa"/>
                  <w:vMerge w:val="continue"/>
                  <w:tcBorders>
                    <w:top w:val="single" w:color="auto" w:sz="4" w:space="0"/>
                    <w:left w:val="nil"/>
                    <w:bottom w:val="single" w:color="000000" w:sz="4" w:space="0"/>
                    <w:right w:val="single" w:color="auto" w:sz="4" w:space="0"/>
                  </w:tcBorders>
                  <w:noWrap w:val="0"/>
                  <w:vAlign w:val="center"/>
                </w:tcPr>
                <w:p w14:paraId="77CE9178">
                  <w:pPr>
                    <w:rPr>
                      <w:rFonts w:hint="default" w:ascii="Times New Roman" w:hAnsi="Times New Roman" w:eastAsia="宋体" w:cs="Times New Roman"/>
                      <w:color w:val="auto"/>
                      <w:sz w:val="21"/>
                      <w:szCs w:val="21"/>
                    </w:rPr>
                  </w:pPr>
                </w:p>
              </w:tc>
              <w:tc>
                <w:tcPr>
                  <w:tcW w:w="1050" w:type="dxa"/>
                  <w:vMerge w:val="continue"/>
                  <w:tcBorders>
                    <w:top w:val="single" w:color="auto" w:sz="4" w:space="0"/>
                    <w:left w:val="single" w:color="auto" w:sz="4" w:space="0"/>
                    <w:bottom w:val="single" w:color="000000" w:sz="4" w:space="0"/>
                    <w:right w:val="single" w:color="000000" w:sz="4" w:space="0"/>
                  </w:tcBorders>
                  <w:noWrap w:val="0"/>
                  <w:vAlign w:val="center"/>
                </w:tcPr>
                <w:p w14:paraId="7B5366BE">
                  <w:pPr>
                    <w:rPr>
                      <w:rFonts w:hint="default" w:ascii="Times New Roman" w:hAnsi="Times New Roman" w:eastAsia="宋体" w:cs="Times New Roman"/>
                      <w:color w:val="auto"/>
                      <w:sz w:val="21"/>
                      <w:szCs w:val="21"/>
                    </w:rPr>
                  </w:pPr>
                </w:p>
              </w:tc>
              <w:tc>
                <w:tcPr>
                  <w:tcW w:w="967" w:type="dxa"/>
                  <w:vMerge w:val="continue"/>
                  <w:tcBorders>
                    <w:top w:val="single" w:color="auto" w:sz="4" w:space="0"/>
                    <w:left w:val="nil"/>
                    <w:bottom w:val="single" w:color="000000" w:sz="4" w:space="0"/>
                    <w:right w:val="single" w:color="000000" w:sz="4" w:space="0"/>
                  </w:tcBorders>
                  <w:noWrap w:val="0"/>
                  <w:vAlign w:val="center"/>
                </w:tcPr>
                <w:p w14:paraId="601EDC4D">
                  <w:pPr>
                    <w:rPr>
                      <w:rFonts w:hint="default" w:ascii="Times New Roman" w:hAnsi="Times New Roman" w:eastAsia="宋体" w:cs="Times New Roman"/>
                      <w:color w:val="auto"/>
                      <w:sz w:val="21"/>
                      <w:szCs w:val="21"/>
                    </w:rPr>
                  </w:pPr>
                </w:p>
              </w:tc>
              <w:tc>
                <w:tcPr>
                  <w:tcW w:w="660" w:type="dxa"/>
                  <w:vMerge w:val="continue"/>
                  <w:tcBorders>
                    <w:top w:val="single" w:color="auto" w:sz="4" w:space="0"/>
                    <w:left w:val="nil"/>
                    <w:bottom w:val="single" w:color="000000" w:sz="4" w:space="0"/>
                    <w:right w:val="single" w:color="000000" w:sz="4" w:space="0"/>
                  </w:tcBorders>
                  <w:noWrap w:val="0"/>
                  <w:vAlign w:val="center"/>
                </w:tcPr>
                <w:p w14:paraId="575F9685">
                  <w:pPr>
                    <w:rPr>
                      <w:rFonts w:hint="default" w:ascii="Times New Roman" w:hAnsi="Times New Roman" w:eastAsia="宋体" w:cs="Times New Roman"/>
                      <w:color w:val="auto"/>
                      <w:sz w:val="21"/>
                      <w:szCs w:val="21"/>
                    </w:rPr>
                  </w:pPr>
                </w:p>
              </w:tc>
              <w:tc>
                <w:tcPr>
                  <w:tcW w:w="584" w:type="dxa"/>
                  <w:vMerge w:val="continue"/>
                  <w:tcBorders>
                    <w:top w:val="single" w:color="auto" w:sz="4" w:space="0"/>
                    <w:left w:val="nil"/>
                    <w:bottom w:val="single" w:color="000000" w:sz="4" w:space="0"/>
                    <w:right w:val="single" w:color="auto" w:sz="4" w:space="0"/>
                  </w:tcBorders>
                  <w:noWrap w:val="0"/>
                  <w:vAlign w:val="center"/>
                </w:tcPr>
                <w:p w14:paraId="424B32C1">
                  <w:pPr>
                    <w:rPr>
                      <w:rFonts w:hint="default" w:ascii="Times New Roman" w:hAnsi="Times New Roman" w:eastAsia="宋体" w:cs="Times New Roman"/>
                      <w:color w:val="auto"/>
                      <w:sz w:val="21"/>
                      <w:szCs w:val="21"/>
                    </w:rPr>
                  </w:pPr>
                </w:p>
              </w:tc>
            </w:tr>
            <w:tr w14:paraId="316820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058" w:type="dxa"/>
                  <w:vMerge w:val="restart"/>
                  <w:tcBorders>
                    <w:left w:val="single" w:color="auto" w:sz="4" w:space="0"/>
                    <w:right w:val="single" w:color="auto" w:sz="4" w:space="0"/>
                  </w:tcBorders>
                  <w:noWrap w:val="0"/>
                  <w:vAlign w:val="center"/>
                </w:tcPr>
                <w:p w14:paraId="6048571E">
                  <w:pPr>
                    <w:pStyle w:val="61"/>
                    <w:adjustRightInd w:val="0"/>
                    <w:snapToGrid w:val="0"/>
                    <w:jc w:val="center"/>
                    <w:rPr>
                      <w:rFonts w:hint="eastAsia"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陈坝</w:t>
                  </w:r>
                  <w:r>
                    <w:rPr>
                      <w:rFonts w:hint="default" w:ascii="Times New Roman" w:hAnsi="Times New Roman" w:eastAsia="宋体" w:cs="Times New Roman"/>
                      <w:b w:val="0"/>
                      <w:bCs/>
                      <w:snapToGrid/>
                      <w:color w:val="auto"/>
                      <w:kern w:val="2"/>
                      <w:sz w:val="21"/>
                      <w:szCs w:val="21"/>
                      <w:lang w:val="en-US" w:eastAsia="zh-CN"/>
                    </w:rPr>
                    <w:t>（G</w:t>
                  </w:r>
                  <w:r>
                    <w:rPr>
                      <w:rFonts w:hint="eastAsia" w:cs="Times New Roman"/>
                      <w:b w:val="0"/>
                      <w:bCs/>
                      <w:snapToGrid/>
                      <w:color w:val="auto"/>
                      <w:kern w:val="2"/>
                      <w:sz w:val="21"/>
                      <w:szCs w:val="21"/>
                      <w:lang w:val="en-US" w:eastAsia="zh-CN"/>
                    </w:rPr>
                    <w:t>1</w:t>
                  </w:r>
                  <w:r>
                    <w:rPr>
                      <w:rFonts w:hint="default" w:ascii="Times New Roman" w:hAnsi="Times New Roman" w:eastAsia="宋体" w:cs="Times New Roman"/>
                      <w:b w:val="0"/>
                      <w:bCs/>
                      <w:snapToGrid/>
                      <w:color w:val="auto"/>
                      <w:kern w:val="2"/>
                      <w:sz w:val="21"/>
                      <w:szCs w:val="21"/>
                      <w:lang w:val="en-US" w:eastAsia="zh-CN"/>
                    </w:rPr>
                    <w:t>）</w:t>
                  </w:r>
                </w:p>
              </w:tc>
              <w:tc>
                <w:tcPr>
                  <w:tcW w:w="738" w:type="dxa"/>
                  <w:vMerge w:val="restart"/>
                  <w:tcBorders>
                    <w:left w:val="single" w:color="auto" w:sz="4" w:space="0"/>
                    <w:right w:val="single" w:color="auto" w:sz="4" w:space="0"/>
                  </w:tcBorders>
                  <w:noWrap w:val="0"/>
                  <w:vAlign w:val="center"/>
                </w:tcPr>
                <w:p w14:paraId="3D800C90">
                  <w:pPr>
                    <w:pStyle w:val="61"/>
                    <w:adjustRightInd w:val="0"/>
                    <w:snapToGrid w:val="0"/>
                    <w:jc w:val="center"/>
                    <w:rPr>
                      <w:rFonts w:hint="default"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-1236</w:t>
                  </w:r>
                </w:p>
              </w:tc>
              <w:tc>
                <w:tcPr>
                  <w:tcW w:w="885" w:type="dxa"/>
                  <w:vMerge w:val="restart"/>
                  <w:tcBorders>
                    <w:left w:val="single" w:color="auto" w:sz="4" w:space="0"/>
                    <w:right w:val="single" w:color="000000" w:sz="4" w:space="0"/>
                  </w:tcBorders>
                  <w:noWrap w:val="0"/>
                  <w:vAlign w:val="center"/>
                </w:tcPr>
                <w:p w14:paraId="441B87D4">
                  <w:pPr>
                    <w:pStyle w:val="61"/>
                    <w:adjustRightInd w:val="0"/>
                    <w:snapToGrid w:val="0"/>
                    <w:jc w:val="center"/>
                    <w:rPr>
                      <w:rFonts w:hint="default" w:cs="Times New Roman"/>
                      <w:snapToGrid w:val="0"/>
                      <w:color w:val="auto"/>
                      <w:spacing w:val="-2"/>
                      <w:kern w:val="2"/>
                      <w:sz w:val="21"/>
                      <w:szCs w:val="21"/>
                      <w:lang w:val="en-US" w:eastAsia="zh-CN"/>
                    </w:rPr>
                  </w:pPr>
                  <w:r>
                    <w:rPr>
                      <w:rFonts w:hint="eastAsia" w:cs="Times New Roman"/>
                      <w:snapToGrid w:val="0"/>
                      <w:color w:val="auto"/>
                      <w:spacing w:val="-2"/>
                      <w:kern w:val="2"/>
                      <w:sz w:val="21"/>
                      <w:szCs w:val="21"/>
                      <w:lang w:val="en-US" w:eastAsia="zh-CN"/>
                    </w:rPr>
                    <w:t>-170</w:t>
                  </w:r>
                </w:p>
              </w:tc>
              <w:tc>
                <w:tcPr>
                  <w:tcW w:w="990" w:type="dxa"/>
                  <w:tcBorders>
                    <w:top w:val="single" w:color="000000" w:sz="4" w:space="0"/>
                    <w:left w:val="nil"/>
                    <w:bottom w:val="single" w:color="000000" w:sz="4" w:space="0"/>
                    <w:right w:val="single" w:color="000000" w:sz="4" w:space="0"/>
                  </w:tcBorders>
                  <w:noWrap w:val="0"/>
                  <w:vAlign w:val="center"/>
                </w:tcPr>
                <w:p w14:paraId="24B5FD5A">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eastAsia"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rPr>
                    <w:t>TSP</w:t>
                  </w:r>
                </w:p>
              </w:tc>
              <w:tc>
                <w:tcPr>
                  <w:tcW w:w="1035" w:type="dxa"/>
                  <w:tcBorders>
                    <w:top w:val="single" w:color="000000" w:sz="4" w:space="0"/>
                    <w:left w:val="nil"/>
                    <w:bottom w:val="single" w:color="000000" w:sz="4" w:space="0"/>
                    <w:right w:val="single" w:color="000000" w:sz="4" w:space="0"/>
                  </w:tcBorders>
                  <w:noWrap w:val="0"/>
                  <w:vAlign w:val="center"/>
                </w:tcPr>
                <w:p w14:paraId="5074C1CA">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24h平均</w:t>
                  </w:r>
                </w:p>
              </w:tc>
              <w:tc>
                <w:tcPr>
                  <w:tcW w:w="930" w:type="dxa"/>
                  <w:tcBorders>
                    <w:top w:val="single" w:color="000000" w:sz="4" w:space="0"/>
                    <w:left w:val="nil"/>
                    <w:bottom w:val="single" w:color="000000" w:sz="4" w:space="0"/>
                    <w:right w:val="single" w:color="auto" w:sz="4" w:space="0"/>
                  </w:tcBorders>
                  <w:noWrap w:val="0"/>
                  <w:vAlign w:val="center"/>
                </w:tcPr>
                <w:p w14:paraId="5145E247">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300</w:t>
                  </w:r>
                </w:p>
              </w:tc>
              <w:tc>
                <w:tcPr>
                  <w:tcW w:w="1050" w:type="dxa"/>
                  <w:tcBorders>
                    <w:top w:val="single" w:color="000000" w:sz="4" w:space="0"/>
                    <w:left w:val="single" w:color="auto" w:sz="4" w:space="0"/>
                    <w:bottom w:val="single" w:color="000000" w:sz="4" w:space="0"/>
                    <w:right w:val="single" w:color="000000" w:sz="4" w:space="0"/>
                  </w:tcBorders>
                  <w:noWrap w:val="0"/>
                  <w:vAlign w:val="center"/>
                </w:tcPr>
                <w:p w14:paraId="71BBE44F">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119-128</w:t>
                  </w:r>
                </w:p>
              </w:tc>
              <w:tc>
                <w:tcPr>
                  <w:tcW w:w="967" w:type="dxa"/>
                  <w:tcBorders>
                    <w:top w:val="single" w:color="000000" w:sz="4" w:space="0"/>
                    <w:left w:val="nil"/>
                    <w:bottom w:val="single" w:color="000000" w:sz="4" w:space="0"/>
                    <w:right w:val="single" w:color="000000" w:sz="4" w:space="0"/>
                  </w:tcBorders>
                  <w:noWrap w:val="0"/>
                  <w:vAlign w:val="center"/>
                </w:tcPr>
                <w:p w14:paraId="7C333CBD">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42.7</w:t>
                  </w:r>
                </w:p>
              </w:tc>
              <w:tc>
                <w:tcPr>
                  <w:tcW w:w="660" w:type="dxa"/>
                  <w:tcBorders>
                    <w:top w:val="single" w:color="000000" w:sz="4" w:space="0"/>
                    <w:left w:val="nil"/>
                    <w:bottom w:val="single" w:color="000000" w:sz="4" w:space="0"/>
                    <w:right w:val="single" w:color="000000" w:sz="4" w:space="0"/>
                  </w:tcBorders>
                  <w:noWrap w:val="0"/>
                  <w:vAlign w:val="center"/>
                </w:tcPr>
                <w:p w14:paraId="7183B218">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0</w:t>
                  </w:r>
                </w:p>
              </w:tc>
              <w:tc>
                <w:tcPr>
                  <w:tcW w:w="584" w:type="dxa"/>
                  <w:tcBorders>
                    <w:top w:val="single" w:color="000000" w:sz="4" w:space="0"/>
                    <w:left w:val="nil"/>
                    <w:bottom w:val="single" w:color="000000" w:sz="4" w:space="0"/>
                    <w:right w:val="single" w:color="auto" w:sz="4" w:space="0"/>
                  </w:tcBorders>
                  <w:noWrap w:val="0"/>
                  <w:vAlign w:val="center"/>
                </w:tcPr>
                <w:p w14:paraId="1A0C72D9">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达标</w:t>
                  </w:r>
                </w:p>
              </w:tc>
            </w:tr>
            <w:tr w14:paraId="3F692C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1058" w:type="dxa"/>
                  <w:vMerge w:val="continue"/>
                  <w:tcBorders>
                    <w:left w:val="single" w:color="auto" w:sz="4" w:space="0"/>
                    <w:right w:val="single" w:color="auto" w:sz="4" w:space="0"/>
                  </w:tcBorders>
                  <w:noWrap w:val="0"/>
                  <w:vAlign w:val="center"/>
                </w:tcPr>
                <w:p w14:paraId="6CB2D72F">
                  <w:pPr>
                    <w:pStyle w:val="61"/>
                    <w:adjustRightInd w:val="0"/>
                    <w:snapToGrid w:val="0"/>
                    <w:jc w:val="center"/>
                    <w:rPr>
                      <w:rFonts w:hint="eastAsia" w:cs="Times New Roman"/>
                      <w:snapToGrid w:val="0"/>
                      <w:color w:val="auto"/>
                      <w:spacing w:val="-2"/>
                      <w:kern w:val="2"/>
                      <w:sz w:val="21"/>
                      <w:szCs w:val="21"/>
                      <w:lang w:val="en-US" w:eastAsia="zh-CN"/>
                    </w:rPr>
                  </w:pPr>
                </w:p>
              </w:tc>
              <w:tc>
                <w:tcPr>
                  <w:tcW w:w="738" w:type="dxa"/>
                  <w:vMerge w:val="continue"/>
                  <w:tcBorders>
                    <w:left w:val="single" w:color="auto" w:sz="4" w:space="0"/>
                    <w:right w:val="single" w:color="auto" w:sz="4" w:space="0"/>
                  </w:tcBorders>
                  <w:noWrap w:val="0"/>
                  <w:vAlign w:val="center"/>
                </w:tcPr>
                <w:p w14:paraId="229B79AE">
                  <w:pPr>
                    <w:pStyle w:val="61"/>
                    <w:adjustRightInd w:val="0"/>
                    <w:snapToGrid w:val="0"/>
                    <w:jc w:val="center"/>
                    <w:rPr>
                      <w:rFonts w:hint="eastAsia" w:cs="Times New Roman"/>
                      <w:snapToGrid w:val="0"/>
                      <w:color w:val="auto"/>
                      <w:spacing w:val="-2"/>
                      <w:kern w:val="2"/>
                      <w:sz w:val="21"/>
                      <w:szCs w:val="21"/>
                      <w:lang w:val="en-US" w:eastAsia="zh-CN"/>
                    </w:rPr>
                  </w:pPr>
                </w:p>
              </w:tc>
              <w:tc>
                <w:tcPr>
                  <w:tcW w:w="885" w:type="dxa"/>
                  <w:vMerge w:val="continue"/>
                  <w:tcBorders>
                    <w:left w:val="single" w:color="auto" w:sz="4" w:space="0"/>
                    <w:right w:val="single" w:color="000000" w:sz="4" w:space="0"/>
                  </w:tcBorders>
                  <w:noWrap w:val="0"/>
                  <w:vAlign w:val="center"/>
                </w:tcPr>
                <w:p w14:paraId="2CF85F32">
                  <w:pPr>
                    <w:pStyle w:val="61"/>
                    <w:adjustRightInd w:val="0"/>
                    <w:snapToGrid w:val="0"/>
                    <w:jc w:val="center"/>
                    <w:rPr>
                      <w:rFonts w:hint="eastAsia" w:cs="Times New Roman"/>
                      <w:snapToGrid w:val="0"/>
                      <w:color w:val="auto"/>
                      <w:spacing w:val="-2"/>
                      <w:kern w:val="2"/>
                      <w:sz w:val="21"/>
                      <w:szCs w:val="21"/>
                      <w:lang w:val="en-US" w:eastAsia="zh-CN"/>
                    </w:rPr>
                  </w:pPr>
                </w:p>
              </w:tc>
              <w:tc>
                <w:tcPr>
                  <w:tcW w:w="990" w:type="dxa"/>
                  <w:tcBorders>
                    <w:top w:val="single" w:color="000000" w:sz="4" w:space="0"/>
                    <w:left w:val="nil"/>
                    <w:bottom w:val="single" w:color="auto" w:sz="4" w:space="0"/>
                    <w:right w:val="single" w:color="000000" w:sz="4" w:space="0"/>
                  </w:tcBorders>
                  <w:noWrap w:val="0"/>
                  <w:vAlign w:val="center"/>
                </w:tcPr>
                <w:p w14:paraId="563B4BF9">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rPr>
                  </w:pPr>
                  <w:r>
                    <w:rPr>
                      <w:rFonts w:hint="eastAsia" w:cs="Times New Roman"/>
                      <w:color w:val="auto"/>
                      <w:kern w:val="0"/>
                      <w:sz w:val="21"/>
                      <w:szCs w:val="21"/>
                      <w:highlight w:val="none"/>
                      <w:lang w:val="en-US" w:eastAsia="zh-CN" w:bidi="ar"/>
                    </w:rPr>
                    <w:t>HCl</w:t>
                  </w:r>
                </w:p>
              </w:tc>
              <w:tc>
                <w:tcPr>
                  <w:tcW w:w="1035" w:type="dxa"/>
                  <w:tcBorders>
                    <w:top w:val="single" w:color="000000" w:sz="4" w:space="0"/>
                    <w:left w:val="nil"/>
                    <w:bottom w:val="single" w:color="auto" w:sz="4" w:space="0"/>
                    <w:right w:val="single" w:color="000000" w:sz="4" w:space="0"/>
                  </w:tcBorders>
                  <w:noWrap w:val="0"/>
                  <w:vAlign w:val="center"/>
                </w:tcPr>
                <w:p w14:paraId="1460EF97">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1h平均</w:t>
                  </w:r>
                </w:p>
              </w:tc>
              <w:tc>
                <w:tcPr>
                  <w:tcW w:w="930" w:type="dxa"/>
                  <w:tcBorders>
                    <w:top w:val="single" w:color="000000" w:sz="4" w:space="0"/>
                    <w:left w:val="nil"/>
                    <w:bottom w:val="single" w:color="auto" w:sz="4" w:space="0"/>
                    <w:right w:val="single" w:color="auto" w:sz="4" w:space="0"/>
                  </w:tcBorders>
                  <w:noWrap w:val="0"/>
                  <w:vAlign w:val="center"/>
                </w:tcPr>
                <w:p w14:paraId="0E429F80">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rPr>
                  </w:pPr>
                  <w:r>
                    <w:rPr>
                      <w:rFonts w:hint="eastAsia" w:cs="Times New Roman"/>
                      <w:color w:val="auto"/>
                      <w:spacing w:val="-2"/>
                      <w:kern w:val="0"/>
                      <w:sz w:val="21"/>
                      <w:szCs w:val="21"/>
                      <w:lang w:val="en-US" w:eastAsia="zh-CN"/>
                    </w:rPr>
                    <w:t>50</w:t>
                  </w:r>
                </w:p>
              </w:tc>
              <w:tc>
                <w:tcPr>
                  <w:tcW w:w="1050" w:type="dxa"/>
                  <w:tcBorders>
                    <w:top w:val="single" w:color="000000" w:sz="4" w:space="0"/>
                    <w:left w:val="single" w:color="auto" w:sz="4" w:space="0"/>
                    <w:bottom w:val="single" w:color="auto" w:sz="4" w:space="0"/>
                    <w:right w:val="single" w:color="000000" w:sz="4" w:space="0"/>
                  </w:tcBorders>
                  <w:noWrap w:val="0"/>
                  <w:vAlign w:val="center"/>
                </w:tcPr>
                <w:p w14:paraId="2E130E0F">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eastAsia" w:cs="Times New Roman"/>
                      <w:color w:val="auto"/>
                      <w:spacing w:val="-2"/>
                      <w:kern w:val="0"/>
                      <w:sz w:val="21"/>
                      <w:szCs w:val="21"/>
                      <w:lang w:val="en-US" w:eastAsia="zh-CN"/>
                    </w:rPr>
                  </w:pPr>
                  <w:r>
                    <w:rPr>
                      <w:rFonts w:hint="eastAsia" w:cs="Times New Roman"/>
                      <w:color w:val="auto"/>
                      <w:spacing w:val="-2"/>
                      <w:kern w:val="0"/>
                      <w:sz w:val="21"/>
                      <w:szCs w:val="21"/>
                      <w:lang w:val="en-US" w:eastAsia="zh-CN" w:bidi="ar"/>
                    </w:rPr>
                    <w:t>ND</w:t>
                  </w:r>
                </w:p>
              </w:tc>
              <w:tc>
                <w:tcPr>
                  <w:tcW w:w="967" w:type="dxa"/>
                  <w:tcBorders>
                    <w:top w:val="single" w:color="000000" w:sz="4" w:space="0"/>
                    <w:left w:val="nil"/>
                    <w:bottom w:val="single" w:color="auto" w:sz="4" w:space="0"/>
                    <w:right w:val="single" w:color="000000" w:sz="4" w:space="0"/>
                  </w:tcBorders>
                  <w:noWrap w:val="0"/>
                  <w:vAlign w:val="center"/>
                </w:tcPr>
                <w:p w14:paraId="5595FFCD">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w:t>
                  </w:r>
                </w:p>
              </w:tc>
              <w:tc>
                <w:tcPr>
                  <w:tcW w:w="660" w:type="dxa"/>
                  <w:tcBorders>
                    <w:top w:val="single" w:color="000000" w:sz="4" w:space="0"/>
                    <w:left w:val="nil"/>
                    <w:bottom w:val="single" w:color="auto" w:sz="4" w:space="0"/>
                    <w:right w:val="single" w:color="000000" w:sz="4" w:space="0"/>
                  </w:tcBorders>
                  <w:noWrap w:val="0"/>
                  <w:vAlign w:val="center"/>
                </w:tcPr>
                <w:p w14:paraId="4C645B32">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eastAsia" w:cs="Times New Roman"/>
                      <w:color w:val="auto"/>
                      <w:spacing w:val="-2"/>
                      <w:kern w:val="0"/>
                      <w:sz w:val="21"/>
                      <w:szCs w:val="21"/>
                      <w:lang w:val="en-US" w:eastAsia="zh-CN" w:bidi="ar"/>
                    </w:rPr>
                    <w:t>/</w:t>
                  </w:r>
                </w:p>
              </w:tc>
              <w:tc>
                <w:tcPr>
                  <w:tcW w:w="584" w:type="dxa"/>
                  <w:tcBorders>
                    <w:top w:val="single" w:color="000000" w:sz="4" w:space="0"/>
                    <w:left w:val="nil"/>
                    <w:bottom w:val="single" w:color="auto" w:sz="4" w:space="0"/>
                    <w:right w:val="single" w:color="auto" w:sz="4" w:space="0"/>
                  </w:tcBorders>
                  <w:noWrap w:val="0"/>
                  <w:vAlign w:val="center"/>
                </w:tcPr>
                <w:p w14:paraId="51078A20">
                  <w:pPr>
                    <w:keepNext w:val="0"/>
                    <w:keepLines w:val="0"/>
                    <w:widowControl w:val="0"/>
                    <w:suppressLineNumbers w:val="0"/>
                    <w:autoSpaceDE w:val="0"/>
                    <w:autoSpaceDN/>
                    <w:spacing w:before="0" w:beforeAutospacing="0" w:after="0" w:afterAutospacing="0" w:line="300" w:lineRule="exact"/>
                    <w:ind w:left="-105" w:leftChars="-50" w:right="-105" w:rightChars="-50"/>
                    <w:jc w:val="center"/>
                    <w:rPr>
                      <w:rFonts w:hint="default" w:ascii="Times New Roman" w:hAnsi="Times New Roman" w:eastAsia="宋体" w:cs="Times New Roman"/>
                      <w:color w:val="auto"/>
                      <w:spacing w:val="-2"/>
                      <w:kern w:val="0"/>
                      <w:sz w:val="21"/>
                      <w:szCs w:val="21"/>
                      <w:lang w:val="en-US" w:eastAsia="zh-CN" w:bidi="ar"/>
                    </w:rPr>
                  </w:pPr>
                  <w:r>
                    <w:rPr>
                      <w:rFonts w:hint="default" w:ascii="Times New Roman" w:hAnsi="Times New Roman" w:eastAsia="宋体" w:cs="Times New Roman"/>
                      <w:color w:val="auto"/>
                      <w:spacing w:val="-2"/>
                      <w:kern w:val="0"/>
                      <w:sz w:val="21"/>
                      <w:szCs w:val="21"/>
                      <w:lang w:val="en-US" w:eastAsia="zh-CN" w:bidi="ar"/>
                    </w:rPr>
                    <w:t>达标</w:t>
                  </w:r>
                </w:p>
              </w:tc>
            </w:tr>
          </w:tbl>
          <w:p w14:paraId="12703A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napToGrid/>
                <w:color w:val="auto"/>
                <w:kern w:val="2"/>
                <w:sz w:val="24"/>
                <w:szCs w:val="24"/>
                <w:lang w:val="en-US" w:eastAsia="zh-CN" w:bidi="ar-SA"/>
              </w:rPr>
              <w:t>监测及评价结果表明，本项目区域TSP满足《环境空气质量标准》（GB3095-2012）</w:t>
            </w:r>
            <w:r>
              <w:rPr>
                <w:rFonts w:hint="eastAsia" w:cs="Times New Roman"/>
                <w:snapToGrid/>
                <w:color w:val="auto"/>
                <w:kern w:val="2"/>
                <w:sz w:val="24"/>
                <w:szCs w:val="24"/>
                <w:lang w:val="en-US" w:eastAsia="zh-CN" w:bidi="ar-SA"/>
              </w:rPr>
              <w:t>中的二级标准要求</w:t>
            </w:r>
            <w:r>
              <w:rPr>
                <w:rFonts w:hint="default" w:ascii="Times New Roman" w:hAnsi="Times New Roman" w:eastAsia="宋体" w:cs="Times New Roman"/>
                <w:snapToGrid/>
                <w:color w:val="auto"/>
                <w:kern w:val="2"/>
                <w:sz w:val="24"/>
                <w:szCs w:val="24"/>
                <w:lang w:val="en-US" w:eastAsia="zh-CN" w:bidi="ar-SA"/>
              </w:rPr>
              <w:t>，</w:t>
            </w:r>
            <w:r>
              <w:rPr>
                <w:sz w:val="24"/>
                <w:szCs w:val="24"/>
              </w:rPr>
              <w:t>氯化氢环境质量标准满足《环境影响评价技术导则大气环境》（HJ2.2-2018）附录 D 中“其他污染物空气质量浓度参考限值”要求</w:t>
            </w:r>
            <w:r>
              <w:rPr>
                <w:rFonts w:hint="eastAsia"/>
                <w:sz w:val="24"/>
                <w:szCs w:val="24"/>
              </w:rPr>
              <w:t>。</w:t>
            </w:r>
            <w:r>
              <w:rPr>
                <w:rFonts w:hint="default" w:ascii="Times New Roman" w:hAnsi="Times New Roman" w:eastAsia="宋体" w:cs="Times New Roman"/>
                <w:snapToGrid/>
                <w:color w:val="auto"/>
                <w:kern w:val="2"/>
                <w:sz w:val="24"/>
                <w:szCs w:val="24"/>
                <w:lang w:val="en-US" w:eastAsia="zh-CN" w:bidi="ar-SA"/>
              </w:rPr>
              <w:t>项目所在区域空气环境质量良好。</w:t>
            </w:r>
          </w:p>
          <w:p w14:paraId="0C60B6C2">
            <w:pPr>
              <w:pStyle w:val="20"/>
              <w:spacing w:line="360" w:lineRule="auto"/>
              <w:ind w:right="105" w:rightChars="50" w:firstLine="0" w:firstLineChars="0"/>
              <w:rPr>
                <w:rFonts w:ascii="Times New Roman" w:hAnsi="Times New Roman"/>
                <w:b/>
                <w:color w:val="auto"/>
                <w:sz w:val="24"/>
              </w:rPr>
            </w:pPr>
            <w:r>
              <w:rPr>
                <w:rFonts w:hint="eastAsia" w:ascii="Times New Roman" w:hAnsi="Times New Roman"/>
                <w:b/>
                <w:color w:val="auto"/>
                <w:sz w:val="24"/>
              </w:rPr>
              <w:t>2、</w:t>
            </w:r>
            <w:r>
              <w:rPr>
                <w:rFonts w:ascii="Times New Roman" w:hAnsi="Times New Roman"/>
                <w:b/>
                <w:color w:val="auto"/>
                <w:sz w:val="24"/>
              </w:rPr>
              <w:t>地表水环境</w:t>
            </w:r>
          </w:p>
          <w:p w14:paraId="2489CC6E">
            <w:pPr>
              <w:keepNext w:val="0"/>
              <w:keepLines w:val="0"/>
              <w:pageBreakBefore w:val="0"/>
              <w:kinsoku/>
              <w:wordWrap/>
              <w:overflowPunct/>
              <w:topLinePunct w:val="0"/>
              <w:bidi w:val="0"/>
              <w:snapToGrid/>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b w:val="0"/>
                <w:bCs/>
                <w:color w:val="auto"/>
                <w:sz w:val="24"/>
                <w:szCs w:val="24"/>
                <w:lang w:eastAsia="zh-CN"/>
              </w:rPr>
              <w:t>项目</w:t>
            </w:r>
            <w:r>
              <w:rPr>
                <w:rFonts w:hint="default" w:ascii="Times New Roman" w:hAnsi="Times New Roman" w:cs="Times New Roman"/>
                <w:color w:val="auto"/>
                <w:sz w:val="24"/>
                <w:szCs w:val="24"/>
                <w:lang w:val="en-US" w:eastAsia="zh-CN"/>
              </w:rPr>
              <w:t>区域地表水环境引用</w:t>
            </w:r>
            <w:r>
              <w:rPr>
                <w:rFonts w:hint="default" w:ascii="Times New Roman" w:hAnsi="Times New Roman" w:eastAsia="宋体" w:cs="Times New Roman"/>
                <w:color w:val="auto"/>
                <w:sz w:val="24"/>
                <w:szCs w:val="24"/>
              </w:rPr>
              <w:t>蚌埠市环境</w:t>
            </w:r>
            <w:r>
              <w:rPr>
                <w:rFonts w:hint="default" w:ascii="Times New Roman" w:hAnsi="Times New Roman" w:eastAsia="宋体" w:cs="Times New Roman"/>
                <w:color w:val="auto"/>
                <w:kern w:val="0"/>
                <w:sz w:val="24"/>
                <w:szCs w:val="24"/>
                <w:lang w:val="en-US" w:eastAsia="zh-CN"/>
              </w:rPr>
              <w:t>监测站发布的《2023年蚌埠市生态环境质量状况公报》，具体如下：</w:t>
            </w:r>
          </w:p>
          <w:p w14:paraId="537B367D">
            <w:pPr>
              <w:keepNext w:val="0"/>
              <w:keepLines w:val="0"/>
              <w:pageBreakBefore w:val="0"/>
              <w:kinsoku/>
              <w:wordWrap/>
              <w:overflowPunct/>
              <w:topLinePunct w:val="0"/>
              <w:bidi w:val="0"/>
              <w:snapToGrid/>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（1）国控断面</w:t>
            </w:r>
          </w:p>
          <w:p w14:paraId="46591550">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2023年，蚌埠市“十四五”地表水国控监测断面（点位）包括8个河流断面（2个淮河干流和6个支流断面）和4个湖泊点位。</w:t>
            </w:r>
          </w:p>
          <w:p w14:paraId="131011BF">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淮河干流蚌埠段：蚌埠闸上、沫河口2个断面水质类别均符合《地表水环境质量标准》（GB3838-2002）中Ⅲ类标准，水质状况良好，同比无明显变化。</w:t>
            </w:r>
          </w:p>
          <w:p w14:paraId="1988B3CE">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淮河蚌埠段支流：北淝河入淮河口、怀洪新河五河、浍河蚌埠固镇、沱河关咀、茨淮新河上桥闸上、涡河怀远三桥6个断面水质类别均符合Ⅲ类标准，水质状况良好。北淝河入淮河口断面水质状况同比有所好转、首次达到Ⅲ类，其它5个断面水质状况同比均无明显变化。</w:t>
            </w:r>
          </w:p>
          <w:p w14:paraId="5C56CE91">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湖泊：天河、沱湖、天井湖、四方湖4个监测点位水质类别均符合Ⅳ类标准，水质状况轻度污染。4个湖泊监测点位水质状况同比均无明显变化。</w:t>
            </w:r>
          </w:p>
          <w:p w14:paraId="77DA237D">
            <w:pPr>
              <w:pStyle w:val="23"/>
              <w:keepNext w:val="0"/>
              <w:keepLines w:val="0"/>
              <w:pageBreakBefore w:val="0"/>
              <w:widowControl/>
              <w:numPr>
                <w:ilvl w:val="0"/>
                <w:numId w:val="0"/>
              </w:numPr>
              <w:suppressLineNumbers w:val="0"/>
              <w:kinsoku/>
              <w:wordWrap/>
              <w:overflowPunct/>
              <w:topLinePunct w:val="0"/>
              <w:autoSpaceDE w:val="0"/>
              <w:autoSpaceDN/>
              <w:bidi w:val="0"/>
              <w:snapToGrid/>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kern w:val="0"/>
                <w:sz w:val="24"/>
                <w:szCs w:val="24"/>
                <w:lang w:val="en-US" w:eastAsia="zh-CN" w:bidi="ar-SA"/>
              </w:rPr>
              <w:t>（2）</w:t>
            </w:r>
            <w:r>
              <w:rPr>
                <w:rFonts w:hint="default" w:ascii="Times New Roman" w:hAnsi="Times New Roman" w:eastAsia="宋体" w:cs="Times New Roman"/>
                <w:b w:val="0"/>
                <w:bCs w:val="0"/>
                <w:sz w:val="24"/>
                <w:szCs w:val="24"/>
              </w:rPr>
              <w:t>省控断面。</w:t>
            </w:r>
          </w:p>
          <w:p w14:paraId="598F8BE1">
            <w:pPr>
              <w:pStyle w:val="23"/>
              <w:keepNext w:val="0"/>
              <w:keepLines w:val="0"/>
              <w:pageBreakBefore w:val="0"/>
              <w:widowControl/>
              <w:numPr>
                <w:ilvl w:val="0"/>
                <w:numId w:val="0"/>
              </w:numPr>
              <w:suppressLineNumbers w:val="0"/>
              <w:kinsoku/>
              <w:wordWrap/>
              <w:overflowPunct/>
              <w:topLinePunct w:val="0"/>
              <w:autoSpaceDE w:val="0"/>
              <w:autoSpaceDN/>
              <w:bidi w:val="0"/>
              <w:snapToGrid/>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2023年，蚌埠市“十四五”地表水省控监测断面（点位）包括7个河流断面（3个淮河干流和4个支流）和2个湖泊点位。</w:t>
            </w:r>
          </w:p>
          <w:p w14:paraId="5F54FF2E">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淮河干流蚌埠段：黄盆窑、新城、晶源水务取水口3个断面水质类别均符合《地表水环境质量标准》（GB3838-2002）中Ⅲ类标准，水质状况良好，同比均无明显变化。</w:t>
            </w:r>
          </w:p>
          <w:p w14:paraId="0721E1B7">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 xml:space="preserve">淮河蚌埠段支流：怀洪新河取水口、怀洪新河固镇、新开沱河闸、窑河入淮口4个断面水质类别均符合Ⅲ类标准，水质状况良好，同比均无明显变化。 </w:t>
            </w:r>
          </w:p>
          <w:p w14:paraId="128367F4">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湖泊：龙子湖和芡河湖2个监测点位水质类别符合Ⅳ类标准，水质状况轻度污染。与上年相比，龙子湖监测点位水质状况无明显变化，芡河湖监测点位水质状况有所好转。</w:t>
            </w:r>
          </w:p>
          <w:p w14:paraId="03F11159">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w:t>
            </w:r>
            <w:r>
              <w:rPr>
                <w:rFonts w:hint="eastAsia"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）集中式饮用水水源地。</w:t>
            </w:r>
          </w:p>
          <w:p w14:paraId="03D653AF">
            <w:pPr>
              <w:pStyle w:val="23"/>
              <w:keepNext w:val="0"/>
              <w:keepLines w:val="0"/>
              <w:pageBreakBefore w:val="0"/>
              <w:widowControl/>
              <w:suppressLineNumbers w:val="0"/>
              <w:kinsoku/>
              <w:wordWrap/>
              <w:overflowPunct/>
              <w:topLinePunct w:val="0"/>
              <w:autoSpaceDE w:val="0"/>
              <w:autoSpaceDN/>
              <w:bidi w:val="0"/>
              <w:snapToGrid/>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市级：2023年，1个市级集中式饮用水水源地（地表水水源地）水质达标率为100%，同比无变化。</w:t>
            </w:r>
          </w:p>
          <w:p w14:paraId="1AE1FBE1">
            <w:pPr>
              <w:pStyle w:val="31"/>
              <w:spacing w:line="360" w:lineRule="auto"/>
              <w:ind w:firstLine="480"/>
              <w:rPr>
                <w:rFonts w:hint="eastAsia" w:ascii="Times New Roman"/>
                <w:b w:val="0"/>
                <w:bCs w:val="0"/>
                <w:color w:val="auto"/>
                <w:lang w:eastAsia="zh-CN"/>
              </w:rPr>
            </w:pPr>
            <w:r>
              <w:rPr>
                <w:rFonts w:hint="default" w:ascii="Times New Roman" w:hAnsi="Times New Roman" w:eastAsia="宋体" w:cs="Times New Roman"/>
                <w:b w:val="0"/>
                <w:bCs w:val="0"/>
                <w:sz w:val="24"/>
                <w:szCs w:val="24"/>
              </w:rPr>
              <w:t>县级：2023年，6个县级集中式饮用水水源地（地表水水源地）水质达标率为100%，同比无变化。</w:t>
            </w:r>
          </w:p>
          <w:p w14:paraId="45099613">
            <w:pPr>
              <w:spacing w:line="360" w:lineRule="auto"/>
              <w:rPr>
                <w:b/>
                <w:sz w:val="24"/>
              </w:rPr>
            </w:pPr>
            <w:r>
              <w:rPr>
                <w:rFonts w:hint="eastAsia"/>
                <w:b/>
                <w:sz w:val="24"/>
              </w:rPr>
              <w:t>3、</w:t>
            </w:r>
            <w:r>
              <w:rPr>
                <w:b/>
                <w:sz w:val="24"/>
              </w:rPr>
              <w:t>声环境</w:t>
            </w:r>
          </w:p>
          <w:p w14:paraId="4532693B">
            <w:pPr>
              <w:spacing w:line="360" w:lineRule="auto"/>
              <w:ind w:firstLine="480" w:firstLineChars="200"/>
              <w:rPr>
                <w:rFonts w:hint="default" w:ascii="Times New Roman" w:hAnsi="Times New Roman" w:cs="Times New Roman"/>
                <w:color w:val="auto"/>
                <w:kern w:val="0"/>
                <w:sz w:val="24"/>
                <w:szCs w:val="20"/>
              </w:rPr>
            </w:pPr>
            <w:r>
              <w:rPr>
                <w:rFonts w:hint="eastAsia"/>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固镇经济开发区门东路南侧、经二路西侧</w:t>
            </w:r>
            <w:r>
              <w:rPr>
                <w:rFonts w:hint="eastAsia"/>
                <w:color w:val="auto"/>
                <w:sz w:val="24"/>
                <w:szCs w:val="24"/>
              </w:rPr>
              <w:t>，周边50m范围内无声环境保护目标</w:t>
            </w:r>
            <w:r>
              <w:rPr>
                <w:rFonts w:hint="eastAsia"/>
                <w:color w:val="auto"/>
                <w:sz w:val="24"/>
                <w:szCs w:val="24"/>
                <w:lang w:eastAsia="zh-CN"/>
              </w:rPr>
              <w:t>，</w:t>
            </w:r>
            <w:r>
              <w:rPr>
                <w:rFonts w:hint="default" w:ascii="Times New Roman" w:hAnsi="Times New Roman" w:cs="Times New Roman"/>
                <w:color w:val="auto"/>
                <w:kern w:val="0"/>
                <w:sz w:val="24"/>
                <w:szCs w:val="20"/>
              </w:rPr>
              <w:t>根据《建设项目环境影响报告表编制技术指南（污染影响类）（试行）》可不对声环境进行监测。</w:t>
            </w:r>
          </w:p>
          <w:p w14:paraId="35A8A61D">
            <w:pPr>
              <w:spacing w:line="360" w:lineRule="auto"/>
              <w:rPr>
                <w:b/>
                <w:color w:val="auto"/>
                <w:sz w:val="24"/>
              </w:rPr>
            </w:pP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w:t>
            </w:r>
            <w:r>
              <w:rPr>
                <w:rFonts w:hint="eastAsia"/>
                <w:b/>
                <w:color w:val="auto"/>
                <w:sz w:val="24"/>
                <w:lang w:eastAsia="zh-CN"/>
              </w:rPr>
              <w:t>地下水、土壤</w:t>
            </w:r>
            <w:r>
              <w:rPr>
                <w:b/>
                <w:color w:val="auto"/>
                <w:sz w:val="24"/>
              </w:rPr>
              <w:t>环境</w:t>
            </w:r>
          </w:p>
          <w:p w14:paraId="5B6194B5">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0"/>
                <w:lang w:val="en-US" w:eastAsia="zh-CN"/>
              </w:rPr>
              <w:t>根据《建设项目环境影响报告表编制技术指南（污染影响类）（试行）》中“地下水、土壤环境 原则上不开展环境质量现状调查”，本</w:t>
            </w:r>
            <w:r>
              <w:rPr>
                <w:rFonts w:hint="eastAsia"/>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固镇经济开发区门东路南侧、经二路西侧</w:t>
            </w:r>
            <w:r>
              <w:rPr>
                <w:rFonts w:hint="eastAsia"/>
                <w:color w:val="auto"/>
                <w:sz w:val="24"/>
                <w:szCs w:val="24"/>
              </w:rPr>
              <w:t>，</w:t>
            </w:r>
            <w:r>
              <w:rPr>
                <w:rFonts w:hint="eastAsia" w:cs="Times New Roman"/>
                <w:color w:val="auto"/>
                <w:kern w:val="0"/>
                <w:sz w:val="24"/>
                <w:szCs w:val="20"/>
                <w:lang w:val="en-US" w:eastAsia="zh-CN"/>
              </w:rPr>
              <w:t>本项目采取分区防渗措施后不对地下水及土壤造成污染</w:t>
            </w:r>
            <w:r>
              <w:rPr>
                <w:rFonts w:hint="eastAsia" w:ascii="Times New Roman" w:hAnsi="Times New Roman" w:eastAsia="宋体" w:cs="Times New Roman"/>
                <w:color w:val="auto"/>
                <w:kern w:val="0"/>
                <w:sz w:val="24"/>
                <w:szCs w:val="20"/>
                <w:lang w:val="en-US" w:eastAsia="zh-CN"/>
              </w:rPr>
              <w:t>，本评价不进行地下水及土壤环境质量现状评价。</w:t>
            </w:r>
          </w:p>
          <w:p w14:paraId="4AD86F12">
            <w:pPr>
              <w:spacing w:line="360" w:lineRule="auto"/>
              <w:rPr>
                <w:rFonts w:hint="default" w:ascii="Times New Roman" w:hAnsi="Times New Roman" w:eastAsia="宋体" w:cs="Times New Roman"/>
                <w:b/>
                <w:color w:val="auto"/>
                <w:sz w:val="24"/>
              </w:rPr>
            </w:pPr>
            <w:r>
              <w:rPr>
                <w:rFonts w:hint="eastAsia" w:cs="Times New Roman"/>
                <w:b/>
                <w:color w:val="auto"/>
                <w:sz w:val="24"/>
                <w:lang w:val="en-US" w:eastAsia="zh-CN"/>
              </w:rPr>
              <w:t>5</w:t>
            </w:r>
            <w:r>
              <w:rPr>
                <w:rFonts w:hint="default" w:ascii="Times New Roman" w:hAnsi="Times New Roman" w:eastAsia="宋体" w:cs="Times New Roman"/>
                <w:b/>
                <w:color w:val="auto"/>
                <w:sz w:val="24"/>
              </w:rPr>
              <w:t>、</w:t>
            </w:r>
            <w:r>
              <w:rPr>
                <w:rFonts w:hint="default" w:ascii="Times New Roman" w:hAnsi="Times New Roman" w:eastAsia="宋体" w:cs="Times New Roman"/>
                <w:b/>
                <w:color w:val="auto"/>
                <w:sz w:val="24"/>
                <w:lang w:eastAsia="zh-CN"/>
              </w:rPr>
              <w:t>生态</w:t>
            </w:r>
            <w:r>
              <w:rPr>
                <w:rFonts w:hint="default" w:ascii="Times New Roman" w:hAnsi="Times New Roman" w:eastAsia="宋体" w:cs="Times New Roman"/>
                <w:b/>
                <w:color w:val="auto"/>
                <w:sz w:val="24"/>
              </w:rPr>
              <w:t>环境</w:t>
            </w:r>
          </w:p>
          <w:p w14:paraId="27606AB4">
            <w:pPr>
              <w:spacing w:line="360" w:lineRule="auto"/>
              <w:ind w:firstLine="480" w:firstLineChars="200"/>
              <w:rPr>
                <w:rFonts w:hint="eastAsia" w:eastAsia="宋体"/>
                <w:b/>
                <w:bCs/>
                <w:sz w:val="24"/>
                <w:szCs w:val="24"/>
                <w:lang w:val="en-US" w:eastAsia="zh-CN"/>
              </w:rPr>
            </w:pPr>
            <w:r>
              <w:rPr>
                <w:rFonts w:hint="default" w:ascii="Times New Roman" w:hAnsi="Times New Roman" w:eastAsia="宋体" w:cs="Times New Roman"/>
                <w:color w:val="auto"/>
                <w:sz w:val="24"/>
                <w:szCs w:val="24"/>
              </w:rPr>
              <w:t>项目位于</w:t>
            </w:r>
            <w:r>
              <w:rPr>
                <w:rFonts w:hint="eastAsia"/>
                <w:color w:val="auto"/>
                <w:sz w:val="24"/>
                <w:szCs w:val="24"/>
                <w:lang w:eastAsia="zh-CN"/>
              </w:rPr>
              <w:t>蚌埠市</w:t>
            </w:r>
            <w:r>
              <w:rPr>
                <w:rFonts w:hint="eastAsia" w:cs="Times New Roman"/>
                <w:color w:val="auto"/>
                <w:spacing w:val="-2"/>
                <w:sz w:val="24"/>
                <w:szCs w:val="24"/>
                <w:lang w:val="en-US" w:eastAsia="zh-CN"/>
              </w:rPr>
              <w:t>固镇经济开发区门东路南侧、经二路西侧</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无新增用地，无生态环境保护目标，</w:t>
            </w:r>
            <w:r>
              <w:rPr>
                <w:rFonts w:hint="default" w:ascii="Times New Roman" w:hAnsi="Times New Roman" w:eastAsia="宋体" w:cs="Times New Roman"/>
                <w:sz w:val="24"/>
                <w:szCs w:val="24"/>
                <w:lang w:eastAsia="zh-CN"/>
              </w:rPr>
              <w:t>无需进行生态环境现状调查</w:t>
            </w:r>
            <w:r>
              <w:rPr>
                <w:rFonts w:hint="default" w:ascii="Times New Roman" w:hAnsi="Times New Roman" w:eastAsia="宋体" w:cs="Times New Roman"/>
                <w:sz w:val="24"/>
                <w:szCs w:val="24"/>
              </w:rPr>
              <w:t>。</w:t>
            </w:r>
          </w:p>
        </w:tc>
      </w:tr>
      <w:tr w14:paraId="36E7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70021A9B">
            <w:pPr>
              <w:adjustRightInd w:val="0"/>
              <w:snapToGrid w:val="0"/>
              <w:jc w:val="center"/>
              <w:rPr>
                <w:rFonts w:ascii="宋体" w:hAnsi="宋体" w:cs="宋体"/>
                <w:kern w:val="0"/>
                <w:sz w:val="24"/>
                <w:szCs w:val="24"/>
              </w:rPr>
            </w:pPr>
            <w:r>
              <w:rPr>
                <w:rFonts w:hint="eastAsia" w:ascii="宋体" w:hAnsi="宋体" w:cs="宋体"/>
                <w:kern w:val="0"/>
                <w:sz w:val="24"/>
                <w:szCs w:val="24"/>
              </w:rPr>
              <w:t>环境保护目标</w:t>
            </w:r>
          </w:p>
        </w:tc>
        <w:tc>
          <w:tcPr>
            <w:tcW w:w="9037" w:type="dxa"/>
          </w:tcPr>
          <w:p w14:paraId="5870CCC9">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rPr>
                <w:color w:val="auto"/>
                <w:sz w:val="24"/>
              </w:rPr>
            </w:pPr>
            <w:r>
              <w:rPr>
                <w:rFonts w:hint="default" w:ascii="Times New Roman" w:hAnsi="Times New Roman" w:eastAsia="宋体" w:cs="Times New Roman"/>
                <w:color w:val="auto"/>
                <w:kern w:val="0"/>
                <w:sz w:val="24"/>
                <w:szCs w:val="24"/>
                <w:lang w:val="en-US" w:eastAsia="zh-CN" w:bidi="ar"/>
              </w:rPr>
              <w:t>项目位于</w:t>
            </w:r>
            <w:r>
              <w:rPr>
                <w:rFonts w:hint="eastAsia"/>
                <w:sz w:val="24"/>
                <w:szCs w:val="24"/>
                <w:lang w:eastAsia="zh-CN"/>
              </w:rPr>
              <w:t>蚌埠市</w:t>
            </w:r>
            <w:r>
              <w:rPr>
                <w:rFonts w:hint="eastAsia"/>
                <w:color w:val="auto"/>
                <w:sz w:val="24"/>
                <w:szCs w:val="24"/>
                <w:lang w:eastAsia="zh-CN"/>
              </w:rPr>
              <w:t>蚌埠市</w:t>
            </w:r>
            <w:r>
              <w:rPr>
                <w:rFonts w:hint="eastAsia" w:cs="Times New Roman"/>
                <w:color w:val="auto"/>
                <w:spacing w:val="-2"/>
                <w:sz w:val="24"/>
                <w:szCs w:val="24"/>
                <w:lang w:val="en-US" w:eastAsia="zh-CN"/>
              </w:rPr>
              <w:t>固镇经济开发区门东路南侧、经二路西侧</w:t>
            </w:r>
            <w:r>
              <w:rPr>
                <w:rFonts w:hint="eastAsia"/>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根据现场踏勘建设项目周边情况，项目厂界外500米范围内无自然保护区、风景名胜区等特殊敏感环境保护目标，</w:t>
            </w:r>
            <w:r>
              <w:rPr>
                <w:rFonts w:hint="eastAsia"/>
                <w:color w:val="auto"/>
                <w:sz w:val="24"/>
              </w:rPr>
              <w:t>厂界外50米范围内无声环境保护目标</w:t>
            </w:r>
            <w:r>
              <w:rPr>
                <w:rFonts w:hint="eastAsia"/>
                <w:color w:val="auto"/>
                <w:sz w:val="24"/>
                <w:lang w:eastAsia="zh-CN"/>
              </w:rPr>
              <w:t>，</w:t>
            </w:r>
            <w:r>
              <w:rPr>
                <w:rFonts w:hint="eastAsia"/>
                <w:color w:val="auto"/>
                <w:sz w:val="24"/>
              </w:rPr>
              <w:t>厂界外500米范围内无地下水集中式饮用水水源和热水、矿泉水、温泉等特殊地下水资源</w:t>
            </w:r>
            <w:r>
              <w:rPr>
                <w:rFonts w:hint="default" w:ascii="Times New Roman" w:hAnsi="Times New Roman" w:eastAsia="宋体" w:cs="Times New Roman"/>
                <w:color w:val="auto"/>
                <w:kern w:val="0"/>
                <w:sz w:val="24"/>
                <w:szCs w:val="24"/>
                <w:lang w:val="en-US" w:eastAsia="zh-CN" w:bidi="ar"/>
              </w:rPr>
              <w:t>等地下水环境保护目标。项目位于工业园区内，因此也不涉及生态环境保护目标。</w:t>
            </w:r>
            <w:r>
              <w:rPr>
                <w:color w:val="auto"/>
                <w:sz w:val="24"/>
              </w:rPr>
              <w:t>总体上不因本项目的实施而改变区域环境现有功能。</w:t>
            </w:r>
          </w:p>
          <w:p w14:paraId="114518A3">
            <w:pPr>
              <w:ind w:left="29" w:leftChars="14" w:firstLine="422" w:firstLineChars="200"/>
              <w:jc w:val="center"/>
              <w:rPr>
                <w:rFonts w:hint="eastAsia" w:ascii="Times New Roman" w:hAnsi="Times New Roman" w:eastAsia="宋体"/>
                <w:b/>
                <w:bCs/>
                <w:color w:val="auto"/>
                <w:sz w:val="24"/>
                <w:szCs w:val="24"/>
                <w:lang w:eastAsia="zh-CN"/>
              </w:rPr>
            </w:pPr>
            <w:r>
              <w:rPr>
                <w:rFonts w:ascii="Times New Roman" w:hAnsi="Times New Roman"/>
                <w:b/>
                <w:bCs/>
                <w:color w:val="auto"/>
                <w:sz w:val="21"/>
                <w:szCs w:val="21"/>
              </w:rPr>
              <w:t>表</w:t>
            </w:r>
            <w:r>
              <w:rPr>
                <w:rFonts w:hint="eastAsia" w:ascii="Times New Roman" w:hAnsi="Times New Roman"/>
                <w:b/>
                <w:bCs/>
                <w:color w:val="auto"/>
                <w:sz w:val="21"/>
                <w:szCs w:val="21"/>
              </w:rPr>
              <w:t>3</w:t>
            </w:r>
            <w:r>
              <w:rPr>
                <w:rFonts w:ascii="Times New Roman" w:hAnsi="Times New Roman"/>
                <w:b/>
                <w:bCs/>
                <w:color w:val="auto"/>
                <w:sz w:val="21"/>
                <w:szCs w:val="21"/>
              </w:rPr>
              <w:t>-</w:t>
            </w:r>
            <w:r>
              <w:rPr>
                <w:rFonts w:hint="eastAsia"/>
                <w:b/>
                <w:bCs/>
                <w:color w:val="auto"/>
                <w:sz w:val="21"/>
                <w:szCs w:val="21"/>
                <w:lang w:val="en-US" w:eastAsia="zh-CN"/>
              </w:rPr>
              <w:t xml:space="preserve">4 </w:t>
            </w:r>
            <w:r>
              <w:rPr>
                <w:rFonts w:ascii="Times New Roman" w:hAnsi="Times New Roman"/>
                <w:b/>
                <w:bCs/>
                <w:color w:val="auto"/>
                <w:sz w:val="21"/>
                <w:szCs w:val="21"/>
              </w:rPr>
              <w:t>项目</w:t>
            </w:r>
            <w:r>
              <w:rPr>
                <w:rFonts w:hint="eastAsia"/>
                <w:b/>
                <w:bCs/>
                <w:color w:val="auto"/>
                <w:sz w:val="21"/>
                <w:szCs w:val="21"/>
                <w:lang w:eastAsia="zh-CN"/>
              </w:rPr>
              <w:t>主要</w:t>
            </w:r>
            <w:r>
              <w:rPr>
                <w:rFonts w:ascii="Times New Roman" w:hAnsi="Times New Roman"/>
                <w:b/>
                <w:bCs/>
                <w:color w:val="auto"/>
                <w:sz w:val="21"/>
                <w:szCs w:val="21"/>
              </w:rPr>
              <w:t>环境保护目标</w:t>
            </w:r>
            <w:r>
              <w:rPr>
                <w:rFonts w:hint="eastAsia"/>
                <w:b/>
                <w:bCs/>
                <w:color w:val="auto"/>
                <w:sz w:val="21"/>
                <w:szCs w:val="21"/>
                <w:lang w:eastAsia="zh-CN"/>
              </w:rPr>
              <w:t>一览表</w:t>
            </w:r>
          </w:p>
          <w:tbl>
            <w:tblPr>
              <w:tblStyle w:val="25"/>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95"/>
              <w:gridCol w:w="946"/>
              <w:gridCol w:w="900"/>
              <w:gridCol w:w="2574"/>
              <w:gridCol w:w="795"/>
              <w:gridCol w:w="1013"/>
            </w:tblGrid>
            <w:tr w14:paraId="69DA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vMerge w:val="restart"/>
                  <w:noWrap w:val="0"/>
                  <w:vAlign w:val="center"/>
                </w:tcPr>
                <w:p w14:paraId="637F127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环境类别</w:t>
                  </w:r>
                </w:p>
              </w:tc>
              <w:tc>
                <w:tcPr>
                  <w:tcW w:w="1595" w:type="dxa"/>
                  <w:vMerge w:val="restart"/>
                  <w:noWrap w:val="0"/>
                  <w:vAlign w:val="center"/>
                </w:tcPr>
                <w:p w14:paraId="0C05F4C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hint="eastAsia"/>
                      <w:b w:val="0"/>
                      <w:bCs/>
                      <w:color w:val="auto"/>
                      <w:sz w:val="21"/>
                      <w:szCs w:val="21"/>
                      <w:lang w:eastAsia="zh-CN"/>
                    </w:rPr>
                    <w:t>保护对象</w:t>
                  </w:r>
                </w:p>
              </w:tc>
              <w:tc>
                <w:tcPr>
                  <w:tcW w:w="1846" w:type="dxa"/>
                  <w:gridSpan w:val="2"/>
                  <w:noWrap w:val="0"/>
                  <w:vAlign w:val="center"/>
                </w:tcPr>
                <w:p w14:paraId="45DD1197">
                  <w:pPr>
                    <w:pStyle w:val="14"/>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坐标/m</w:t>
                  </w:r>
                </w:p>
              </w:tc>
              <w:tc>
                <w:tcPr>
                  <w:tcW w:w="2574" w:type="dxa"/>
                  <w:vMerge w:val="restart"/>
                  <w:noWrap w:val="0"/>
                  <w:vAlign w:val="center"/>
                </w:tcPr>
                <w:p w14:paraId="4101D60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环境功能区</w:t>
                  </w:r>
                </w:p>
              </w:tc>
              <w:tc>
                <w:tcPr>
                  <w:tcW w:w="795" w:type="dxa"/>
                  <w:vMerge w:val="restart"/>
                  <w:noWrap w:val="0"/>
                  <w:vAlign w:val="center"/>
                </w:tcPr>
                <w:p w14:paraId="1481E59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相对厂址方向</w:t>
                  </w:r>
                </w:p>
              </w:tc>
              <w:tc>
                <w:tcPr>
                  <w:tcW w:w="1013" w:type="dxa"/>
                  <w:vMerge w:val="restart"/>
                  <w:noWrap w:val="0"/>
                  <w:vAlign w:val="center"/>
                </w:tcPr>
                <w:p w14:paraId="0E04DA6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rFonts w:ascii="Times New Roman" w:hAnsi="Times New Roman"/>
                      <w:bCs/>
                      <w:color w:val="auto"/>
                      <w:sz w:val="21"/>
                      <w:szCs w:val="21"/>
                    </w:rPr>
                    <w:t>相对厂界距离/m</w:t>
                  </w:r>
                </w:p>
              </w:tc>
            </w:tr>
            <w:tr w14:paraId="0BF3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vMerge w:val="continue"/>
                  <w:noWrap w:val="0"/>
                  <w:vAlign w:val="center"/>
                </w:tcPr>
                <w:p w14:paraId="5D2B1D1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eastAsia="zh-CN"/>
                    </w:rPr>
                  </w:pPr>
                </w:p>
              </w:tc>
              <w:tc>
                <w:tcPr>
                  <w:tcW w:w="1595" w:type="dxa"/>
                  <w:vMerge w:val="continue"/>
                  <w:noWrap w:val="0"/>
                  <w:vAlign w:val="center"/>
                </w:tcPr>
                <w:p w14:paraId="06BCFE4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eastAsia="zh-CN"/>
                    </w:rPr>
                  </w:pPr>
                </w:p>
              </w:tc>
              <w:tc>
                <w:tcPr>
                  <w:tcW w:w="946" w:type="dxa"/>
                  <w:noWrap w:val="0"/>
                  <w:vAlign w:val="center"/>
                </w:tcPr>
                <w:p w14:paraId="2D806733">
                  <w:pPr>
                    <w:pStyle w:val="14"/>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X</w:t>
                  </w:r>
                </w:p>
              </w:tc>
              <w:tc>
                <w:tcPr>
                  <w:tcW w:w="900" w:type="dxa"/>
                  <w:noWrap w:val="0"/>
                  <w:vAlign w:val="center"/>
                </w:tcPr>
                <w:p w14:paraId="7784B265">
                  <w:pPr>
                    <w:pStyle w:val="14"/>
                    <w:keepNext w:val="0"/>
                    <w:keepLines w:val="0"/>
                    <w:pageBreakBefore w:val="0"/>
                    <w:widowControl w:val="0"/>
                    <w:tabs>
                      <w:tab w:val="left" w:pos="0"/>
                    </w:tabs>
                    <w:kinsoku/>
                    <w:wordWrap/>
                    <w:overflowPunct/>
                    <w:topLinePunct w:val="0"/>
                    <w:autoSpaceDE/>
                    <w:autoSpaceDN/>
                    <w:bidi w:val="0"/>
                    <w:adjustRightInd/>
                    <w:snapToGrid/>
                    <w:spacing w:line="240" w:lineRule="auto"/>
                    <w:ind w:left="-105" w:leftChars="-50" w:right="-105" w:rightChars="-50"/>
                    <w:jc w:val="center"/>
                    <w:textAlignment w:val="auto"/>
                    <w:rPr>
                      <w:rFonts w:hint="eastAsia"/>
                      <w:bCs/>
                      <w:color w:val="auto"/>
                      <w:sz w:val="21"/>
                      <w:szCs w:val="21"/>
                      <w:lang w:eastAsia="zh-CN"/>
                    </w:rPr>
                  </w:pPr>
                  <w:r>
                    <w:rPr>
                      <w:rFonts w:hint="default" w:ascii="Times New Roman" w:hAnsi="Times New Roman" w:eastAsia="宋体" w:cs="Times New Roman"/>
                      <w:b w:val="0"/>
                      <w:bCs/>
                      <w:color w:val="auto"/>
                      <w:sz w:val="21"/>
                      <w:szCs w:val="21"/>
                    </w:rPr>
                    <w:t>Y</w:t>
                  </w:r>
                </w:p>
              </w:tc>
              <w:tc>
                <w:tcPr>
                  <w:tcW w:w="2574" w:type="dxa"/>
                  <w:vMerge w:val="continue"/>
                  <w:noWrap w:val="0"/>
                  <w:vAlign w:val="center"/>
                </w:tcPr>
                <w:p w14:paraId="1E2D89A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c>
                <w:tcPr>
                  <w:tcW w:w="795" w:type="dxa"/>
                  <w:vMerge w:val="continue"/>
                  <w:noWrap w:val="0"/>
                  <w:vAlign w:val="center"/>
                </w:tcPr>
                <w:p w14:paraId="263A63E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c>
                <w:tcPr>
                  <w:tcW w:w="1013" w:type="dxa"/>
                  <w:vMerge w:val="continue"/>
                  <w:noWrap w:val="0"/>
                  <w:vAlign w:val="center"/>
                </w:tcPr>
                <w:p w14:paraId="5D6797A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p>
              </w:tc>
            </w:tr>
            <w:tr w14:paraId="5E18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5" w:type="dxa"/>
                  <w:noWrap w:val="0"/>
                  <w:vAlign w:val="center"/>
                </w:tcPr>
                <w:p w14:paraId="6D393D4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bCs/>
                      <w:color w:val="auto"/>
                      <w:sz w:val="21"/>
                      <w:szCs w:val="21"/>
                      <w:lang w:eastAsia="zh-CN"/>
                    </w:rPr>
                  </w:pPr>
                  <w:r>
                    <w:rPr>
                      <w:rFonts w:hint="eastAsia"/>
                      <w:bCs/>
                      <w:color w:val="auto"/>
                      <w:sz w:val="21"/>
                      <w:szCs w:val="21"/>
                      <w:lang w:eastAsia="zh-CN"/>
                    </w:rPr>
                    <w:t>大气环境</w:t>
                  </w:r>
                </w:p>
              </w:tc>
              <w:tc>
                <w:tcPr>
                  <w:tcW w:w="1595" w:type="dxa"/>
                  <w:noWrap w:val="0"/>
                  <w:vAlign w:val="center"/>
                </w:tcPr>
                <w:p w14:paraId="19BF371A">
                  <w:pPr>
                    <w:adjustRightInd w:val="0"/>
                    <w:snapToGrid w:val="0"/>
                    <w:jc w:val="center"/>
                    <w:rPr>
                      <w:rFonts w:hint="default" w:ascii="Times New Roman" w:hAnsi="Times New Roman" w:eastAsia="宋体"/>
                      <w:bCs/>
                      <w:color w:val="auto"/>
                      <w:sz w:val="21"/>
                      <w:szCs w:val="21"/>
                      <w:lang w:val="en-US" w:eastAsia="zh-CN"/>
                    </w:rPr>
                  </w:pPr>
                  <w:r>
                    <w:rPr>
                      <w:rFonts w:hint="eastAsia"/>
                      <w:bCs/>
                      <w:color w:val="auto"/>
                      <w:sz w:val="21"/>
                      <w:szCs w:val="21"/>
                      <w:lang w:val="en-US" w:eastAsia="zh-CN"/>
                    </w:rPr>
                    <w:t>固镇县连城派出所</w:t>
                  </w:r>
                </w:p>
              </w:tc>
              <w:tc>
                <w:tcPr>
                  <w:tcW w:w="946" w:type="dxa"/>
                  <w:noWrap w:val="0"/>
                  <w:vAlign w:val="center"/>
                </w:tcPr>
                <w:p w14:paraId="74DBE3E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bCs/>
                      <w:color w:val="auto"/>
                      <w:sz w:val="21"/>
                      <w:szCs w:val="21"/>
                      <w:lang w:val="en-US" w:eastAsia="zh-CN"/>
                    </w:rPr>
                  </w:pPr>
                  <w:r>
                    <w:rPr>
                      <w:rFonts w:hint="eastAsia"/>
                      <w:bCs/>
                      <w:color w:val="auto"/>
                      <w:sz w:val="21"/>
                      <w:szCs w:val="21"/>
                      <w:lang w:val="en-US" w:eastAsia="zh-CN"/>
                    </w:rPr>
                    <w:t>-52</w:t>
                  </w:r>
                </w:p>
              </w:tc>
              <w:tc>
                <w:tcPr>
                  <w:tcW w:w="900" w:type="dxa"/>
                  <w:noWrap w:val="0"/>
                  <w:vAlign w:val="center"/>
                </w:tcPr>
                <w:p w14:paraId="78E0684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bCs/>
                      <w:color w:val="auto"/>
                      <w:sz w:val="21"/>
                      <w:szCs w:val="21"/>
                      <w:lang w:val="en-US" w:eastAsia="zh-CN"/>
                    </w:rPr>
                  </w:pPr>
                  <w:r>
                    <w:rPr>
                      <w:rFonts w:hint="eastAsia"/>
                      <w:bCs/>
                      <w:color w:val="auto"/>
                      <w:sz w:val="21"/>
                      <w:szCs w:val="21"/>
                      <w:lang w:val="en-US" w:eastAsia="zh-CN"/>
                    </w:rPr>
                    <w:t>32</w:t>
                  </w:r>
                </w:p>
              </w:tc>
              <w:tc>
                <w:tcPr>
                  <w:tcW w:w="2574" w:type="dxa"/>
                  <w:noWrap w:val="0"/>
                  <w:vAlign w:val="center"/>
                </w:tcPr>
                <w:p w14:paraId="47BDC01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bCs/>
                      <w:color w:val="auto"/>
                      <w:sz w:val="21"/>
                      <w:szCs w:val="21"/>
                    </w:rPr>
                  </w:pPr>
                  <w:r>
                    <w:rPr>
                      <w:color w:val="auto"/>
                      <w:spacing w:val="-4"/>
                      <w:sz w:val="21"/>
                      <w:szCs w:val="21"/>
                    </w:rPr>
                    <w:t>《环境空气质量标准》</w:t>
                  </w:r>
                  <w:r>
                    <w:rPr>
                      <w:color w:val="auto"/>
                      <w:sz w:val="21"/>
                      <w:szCs w:val="21"/>
                    </w:rPr>
                    <w:t>（GB3095-2012）</w:t>
                  </w:r>
                  <w:r>
                    <w:rPr>
                      <w:bCs/>
                      <w:color w:val="auto"/>
                      <w:sz w:val="21"/>
                      <w:szCs w:val="21"/>
                    </w:rPr>
                    <w:t>二级</w:t>
                  </w:r>
                  <w:r>
                    <w:rPr>
                      <w:color w:val="auto"/>
                      <w:spacing w:val="-4"/>
                      <w:sz w:val="21"/>
                      <w:szCs w:val="21"/>
                    </w:rPr>
                    <w:t>标准</w:t>
                  </w:r>
                </w:p>
              </w:tc>
              <w:tc>
                <w:tcPr>
                  <w:tcW w:w="795" w:type="dxa"/>
                  <w:noWrap w:val="0"/>
                  <w:vAlign w:val="center"/>
                </w:tcPr>
                <w:p w14:paraId="38D7287C">
                  <w:pPr>
                    <w:adjustRightInd w:val="0"/>
                    <w:snapToGrid w:val="0"/>
                    <w:jc w:val="center"/>
                    <w:rPr>
                      <w:rFonts w:hint="eastAsia" w:ascii="Times New Roman" w:hAnsi="Times New Roman" w:eastAsia="宋体"/>
                      <w:bCs/>
                      <w:color w:val="auto"/>
                      <w:sz w:val="21"/>
                      <w:szCs w:val="21"/>
                      <w:lang w:eastAsia="zh-CN"/>
                    </w:rPr>
                  </w:pPr>
                  <w:r>
                    <w:rPr>
                      <w:rFonts w:hint="eastAsia" w:cs="Times New Roman"/>
                      <w:b w:val="0"/>
                      <w:bCs w:val="0"/>
                      <w:color w:val="auto"/>
                      <w:kern w:val="2"/>
                      <w:sz w:val="21"/>
                      <w:szCs w:val="21"/>
                      <w:lang w:val="en-US" w:eastAsia="zh-CN" w:bidi="ar-SA"/>
                    </w:rPr>
                    <w:t>西北</w:t>
                  </w:r>
                </w:p>
              </w:tc>
              <w:tc>
                <w:tcPr>
                  <w:tcW w:w="1013" w:type="dxa"/>
                  <w:noWrap w:val="0"/>
                  <w:vAlign w:val="center"/>
                </w:tcPr>
                <w:p w14:paraId="42B469E4">
                  <w:pPr>
                    <w:adjustRightInd w:val="0"/>
                    <w:snapToGrid w:val="0"/>
                    <w:jc w:val="center"/>
                    <w:rPr>
                      <w:rFonts w:hint="default" w:ascii="Times New Roman" w:hAnsi="Times New Roman" w:eastAsia="宋体"/>
                      <w:bCs/>
                      <w:color w:val="auto"/>
                      <w:sz w:val="21"/>
                      <w:szCs w:val="21"/>
                      <w:lang w:val="en-US" w:eastAsia="zh-CN"/>
                    </w:rPr>
                  </w:pPr>
                  <w:r>
                    <w:rPr>
                      <w:rFonts w:hint="eastAsia" w:cs="Times New Roman"/>
                      <w:b w:val="0"/>
                      <w:bCs w:val="0"/>
                      <w:color w:val="auto"/>
                      <w:kern w:val="2"/>
                      <w:sz w:val="21"/>
                      <w:szCs w:val="21"/>
                      <w:lang w:val="en-US" w:eastAsia="zh-CN" w:bidi="ar-SA"/>
                    </w:rPr>
                    <w:t>58</w:t>
                  </w:r>
                </w:p>
              </w:tc>
            </w:tr>
          </w:tbl>
          <w:p w14:paraId="3263C216">
            <w:pPr>
              <w:keepNext w:val="0"/>
              <w:keepLines w:val="0"/>
              <w:pageBreakBefore w:val="0"/>
              <w:widowControl/>
              <w:suppressLineNumbers w:val="0"/>
              <w:kinsoku/>
              <w:wordWrap/>
              <w:overflowPunct/>
              <w:topLinePunct w:val="0"/>
              <w:bidi w:val="0"/>
              <w:snapToGrid/>
              <w:spacing w:line="360" w:lineRule="auto"/>
              <w:jc w:val="left"/>
              <w:textAlignment w:val="auto"/>
              <w:rPr>
                <w:rFonts w:hint="eastAsia" w:ascii="Times New Roman" w:hAnsi="Times New Roman" w:eastAsia="宋体"/>
                <w:szCs w:val="24"/>
                <w:lang w:val="en-US" w:eastAsia="zh-CN"/>
              </w:rPr>
            </w:pPr>
            <w:r>
              <w:rPr>
                <w:color w:val="000000" w:themeColor="text1"/>
                <w:sz w:val="21"/>
                <w:szCs w:val="21"/>
                <w14:textFill>
                  <w14:solidFill>
                    <w14:schemeClr w14:val="tx1"/>
                  </w14:solidFill>
                </w14:textFill>
              </w:rPr>
              <w:t>坐</w:t>
            </w:r>
            <w:r>
              <w:rPr>
                <w:color w:val="auto"/>
                <w:sz w:val="21"/>
                <w:szCs w:val="21"/>
              </w:rPr>
              <w:t>标系以</w:t>
            </w:r>
            <w:r>
              <w:rPr>
                <w:rFonts w:hint="eastAsia"/>
                <w:color w:val="auto"/>
                <w:sz w:val="21"/>
                <w:szCs w:val="21"/>
                <w:lang w:eastAsia="zh-CN"/>
              </w:rPr>
              <w:t>厂界西北侧交点</w:t>
            </w:r>
            <w:r>
              <w:rPr>
                <w:color w:val="auto"/>
                <w:sz w:val="21"/>
                <w:szCs w:val="21"/>
              </w:rPr>
              <w:t>为原点，正东向</w:t>
            </w:r>
            <w:r>
              <w:rPr>
                <w:color w:val="000000" w:themeColor="text1"/>
                <w:sz w:val="21"/>
                <w:szCs w:val="21"/>
                <w14:textFill>
                  <w14:solidFill>
                    <w14:schemeClr w14:val="tx1"/>
                  </w14:solidFill>
                </w14:textFill>
              </w:rPr>
              <w:t>为x轴，正北向为y轴。</w:t>
            </w:r>
          </w:p>
        </w:tc>
      </w:tr>
      <w:tr w14:paraId="17CB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7D10E4B">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污染物排放控制标准</w:t>
            </w:r>
          </w:p>
        </w:tc>
        <w:tc>
          <w:tcPr>
            <w:tcW w:w="9037" w:type="dxa"/>
          </w:tcPr>
          <w:p w14:paraId="66044734">
            <w:pPr>
              <w:shd w:val="clear"/>
              <w:tabs>
                <w:tab w:val="left" w:pos="540"/>
                <w:tab w:val="left" w:pos="900"/>
                <w:tab w:val="left" w:pos="3780"/>
              </w:tabs>
              <w:adjustRightInd w:val="0"/>
              <w:snapToGrid w:val="0"/>
              <w:spacing w:line="240" w:lineRule="auto"/>
              <w:rPr>
                <w:b/>
                <w:bCs/>
                <w:color w:val="auto"/>
                <w:sz w:val="24"/>
              </w:rPr>
            </w:pPr>
            <w:r>
              <w:rPr>
                <w:b/>
                <w:bCs/>
                <w:color w:val="auto"/>
                <w:sz w:val="24"/>
              </w:rPr>
              <w:t>1、废气</w:t>
            </w:r>
          </w:p>
          <w:p w14:paraId="606F8236">
            <w:pPr>
              <w:shd w:val="clear"/>
              <w:spacing w:line="360" w:lineRule="auto"/>
              <w:ind w:firstLine="480"/>
              <w:contextualSpacing/>
              <w:rPr>
                <w:rFonts w:hint="eastAsia" w:eastAsia="宋体"/>
                <w:bCs/>
                <w:snapToGrid w:val="0"/>
                <w:kern w:val="0"/>
                <w:sz w:val="24"/>
                <w:szCs w:val="20"/>
                <w:vertAlign w:val="baseline"/>
                <w:lang w:val="en-US" w:eastAsia="zh-CN"/>
              </w:rPr>
            </w:pPr>
            <w:r>
              <w:rPr>
                <w:rFonts w:hint="eastAsia"/>
                <w:color w:val="auto"/>
                <w:sz w:val="24"/>
                <w:lang w:eastAsia="zh-CN"/>
              </w:rPr>
              <w:t>本</w:t>
            </w:r>
            <w:r>
              <w:rPr>
                <w:rFonts w:hint="eastAsia"/>
                <w:color w:val="auto"/>
                <w:sz w:val="24"/>
              </w:rPr>
              <w:t>项目</w:t>
            </w:r>
            <w:r>
              <w:rPr>
                <w:rFonts w:hint="eastAsia"/>
                <w:color w:val="auto"/>
                <w:sz w:val="24"/>
                <w:lang w:eastAsia="zh-CN"/>
              </w:rPr>
              <w:t>颗粒物、</w:t>
            </w:r>
            <w:r>
              <w:rPr>
                <w:rFonts w:hint="eastAsia"/>
                <w:color w:val="auto"/>
                <w:sz w:val="24"/>
                <w:lang w:val="en-US" w:eastAsia="zh-CN"/>
              </w:rPr>
              <w:t>HCl</w:t>
            </w:r>
            <w:r>
              <w:rPr>
                <w:rFonts w:hint="eastAsia"/>
                <w:bCs/>
                <w:color w:val="auto"/>
                <w:sz w:val="24"/>
                <w:lang w:eastAsia="zh-CN"/>
              </w:rPr>
              <w:t>执行</w:t>
            </w:r>
            <w:r>
              <w:rPr>
                <w:color w:val="auto"/>
                <w:sz w:val="24"/>
              </w:rPr>
              <w:t>《大气污</w:t>
            </w:r>
            <w:r>
              <w:rPr>
                <w:color w:val="auto"/>
                <w:sz w:val="24"/>
                <w:highlight w:val="none"/>
              </w:rPr>
              <w:t>染物综合排放标准》（</w:t>
            </w:r>
            <w:r>
              <w:rPr>
                <w:rFonts w:hint="eastAsia"/>
                <w:color w:val="auto"/>
                <w:sz w:val="24"/>
                <w:highlight w:val="none"/>
              </w:rPr>
              <w:t>GB</w:t>
            </w:r>
            <w:r>
              <w:rPr>
                <w:color w:val="auto"/>
                <w:sz w:val="24"/>
                <w:highlight w:val="none"/>
              </w:rPr>
              <w:t>16297-1996）表2大气污染物排</w:t>
            </w:r>
            <w:r>
              <w:rPr>
                <w:sz w:val="24"/>
                <w:highlight w:val="none"/>
              </w:rPr>
              <w:t>放限值</w:t>
            </w:r>
            <w:r>
              <w:rPr>
                <w:rFonts w:hint="eastAsia"/>
                <w:snapToGrid w:val="0"/>
                <w:color w:val="auto"/>
                <w:kern w:val="0"/>
                <w:sz w:val="24"/>
                <w:szCs w:val="24"/>
              </w:rPr>
              <w:t>。</w:t>
            </w:r>
          </w:p>
          <w:p w14:paraId="3AF053FE">
            <w:pPr>
              <w:adjustRightInd w:val="0"/>
              <w:spacing w:line="240" w:lineRule="auto"/>
              <w:jc w:val="center"/>
              <w:rPr>
                <w:b/>
                <w:color w:val="auto"/>
                <w:sz w:val="21"/>
                <w:szCs w:val="21"/>
              </w:rPr>
            </w:pPr>
            <w:r>
              <w:rPr>
                <w:b/>
                <w:sz w:val="21"/>
                <w:szCs w:val="21"/>
              </w:rPr>
              <w:t>表3-</w:t>
            </w:r>
            <w:r>
              <w:rPr>
                <w:rFonts w:hint="eastAsia"/>
                <w:b/>
                <w:sz w:val="21"/>
                <w:szCs w:val="21"/>
                <w:lang w:val="en-US" w:eastAsia="zh-CN"/>
              </w:rPr>
              <w:t xml:space="preserve">5 </w:t>
            </w:r>
            <w:r>
              <w:rPr>
                <w:b/>
                <w:color w:val="auto"/>
                <w:sz w:val="21"/>
                <w:szCs w:val="21"/>
              </w:rPr>
              <w:t>大气污染物</w:t>
            </w:r>
            <w:r>
              <w:rPr>
                <w:rFonts w:hint="eastAsia"/>
                <w:b/>
                <w:color w:val="auto"/>
                <w:sz w:val="21"/>
                <w:szCs w:val="21"/>
                <w:lang w:eastAsia="zh-CN"/>
              </w:rPr>
              <w:t>有组织</w:t>
            </w:r>
            <w:r>
              <w:rPr>
                <w:b/>
                <w:color w:val="auto"/>
                <w:sz w:val="21"/>
                <w:szCs w:val="21"/>
              </w:rPr>
              <w:t>排放标准</w:t>
            </w:r>
          </w:p>
          <w:tbl>
            <w:tblPr>
              <w:tblStyle w:val="25"/>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169"/>
              <w:gridCol w:w="904"/>
              <w:gridCol w:w="1170"/>
              <w:gridCol w:w="1485"/>
              <w:gridCol w:w="2638"/>
            </w:tblGrid>
            <w:tr w14:paraId="50F3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91" w:type="dxa"/>
                  <w:vAlign w:val="center"/>
                </w:tcPr>
                <w:p w14:paraId="18F4A1F5">
                  <w:pPr>
                    <w:pStyle w:val="48"/>
                    <w:adjustRightInd w:val="0"/>
                    <w:snapToGrid w:val="0"/>
                    <w:spacing w:after="0"/>
                    <w:ind w:firstLine="0" w:firstLineChars="0"/>
                    <w:jc w:val="center"/>
                    <w:rPr>
                      <w:bCs/>
                      <w:color w:val="auto"/>
                      <w:sz w:val="21"/>
                      <w:szCs w:val="21"/>
                    </w:rPr>
                  </w:pPr>
                  <w:r>
                    <w:rPr>
                      <w:bCs/>
                      <w:color w:val="auto"/>
                      <w:sz w:val="21"/>
                      <w:szCs w:val="21"/>
                    </w:rPr>
                    <w:t>污染物</w:t>
                  </w:r>
                </w:p>
                <w:p w14:paraId="2A82B97A">
                  <w:pPr>
                    <w:pStyle w:val="48"/>
                    <w:adjustRightInd w:val="0"/>
                    <w:snapToGrid w:val="0"/>
                    <w:spacing w:after="0"/>
                    <w:ind w:firstLine="0" w:firstLineChars="0"/>
                    <w:jc w:val="center"/>
                    <w:rPr>
                      <w:bCs/>
                      <w:color w:val="auto"/>
                      <w:sz w:val="21"/>
                      <w:szCs w:val="21"/>
                    </w:rPr>
                  </w:pPr>
                  <w:r>
                    <w:rPr>
                      <w:bCs/>
                      <w:color w:val="auto"/>
                      <w:sz w:val="21"/>
                      <w:szCs w:val="21"/>
                    </w:rPr>
                    <w:t>名称</w:t>
                  </w:r>
                </w:p>
              </w:tc>
              <w:tc>
                <w:tcPr>
                  <w:tcW w:w="1169" w:type="dxa"/>
                  <w:vAlign w:val="center"/>
                </w:tcPr>
                <w:p w14:paraId="6C15802F">
                  <w:pPr>
                    <w:pStyle w:val="48"/>
                    <w:adjustRightInd w:val="0"/>
                    <w:snapToGrid w:val="0"/>
                    <w:spacing w:after="0"/>
                    <w:ind w:firstLine="0" w:firstLineChars="0"/>
                    <w:jc w:val="center"/>
                    <w:rPr>
                      <w:bCs/>
                      <w:color w:val="auto"/>
                      <w:sz w:val="21"/>
                      <w:szCs w:val="21"/>
                    </w:rPr>
                  </w:pPr>
                  <w:r>
                    <w:rPr>
                      <w:bCs/>
                      <w:color w:val="auto"/>
                      <w:sz w:val="21"/>
                      <w:szCs w:val="21"/>
                    </w:rPr>
                    <w:t>最高允许排放浓度（mg/m³）</w:t>
                  </w:r>
                </w:p>
              </w:tc>
              <w:tc>
                <w:tcPr>
                  <w:tcW w:w="904" w:type="dxa"/>
                  <w:vAlign w:val="center"/>
                </w:tcPr>
                <w:p w14:paraId="40AEBD20">
                  <w:pPr>
                    <w:pStyle w:val="48"/>
                    <w:adjustRightInd w:val="0"/>
                    <w:snapToGrid w:val="0"/>
                    <w:spacing w:after="0"/>
                    <w:ind w:firstLine="0" w:firstLineChars="0"/>
                    <w:jc w:val="center"/>
                    <w:rPr>
                      <w:bCs/>
                      <w:color w:val="auto"/>
                      <w:sz w:val="21"/>
                      <w:szCs w:val="21"/>
                    </w:rPr>
                  </w:pPr>
                  <w:r>
                    <w:rPr>
                      <w:rFonts w:hint="eastAsia"/>
                      <w:bCs/>
                      <w:color w:val="auto"/>
                      <w:sz w:val="21"/>
                      <w:szCs w:val="21"/>
                      <w:lang w:eastAsia="zh-CN"/>
                    </w:rPr>
                    <w:t>排气筒高度</w:t>
                  </w:r>
                  <w:r>
                    <w:rPr>
                      <w:rFonts w:hint="eastAsia"/>
                      <w:bCs/>
                      <w:color w:val="auto"/>
                      <w:sz w:val="21"/>
                      <w:szCs w:val="21"/>
                    </w:rPr>
                    <w:t>（</w:t>
                  </w:r>
                  <w:r>
                    <w:rPr>
                      <w:rFonts w:hint="eastAsia"/>
                      <w:bCs/>
                      <w:color w:val="auto"/>
                      <w:sz w:val="21"/>
                      <w:szCs w:val="21"/>
                      <w:lang w:val="en-US" w:eastAsia="zh-CN"/>
                    </w:rPr>
                    <w:t>m</w:t>
                  </w:r>
                  <w:r>
                    <w:rPr>
                      <w:rFonts w:hint="eastAsia"/>
                      <w:bCs/>
                      <w:color w:val="auto"/>
                      <w:sz w:val="21"/>
                      <w:szCs w:val="21"/>
                    </w:rPr>
                    <w:t>）</w:t>
                  </w:r>
                </w:p>
              </w:tc>
              <w:tc>
                <w:tcPr>
                  <w:tcW w:w="1170" w:type="dxa"/>
                  <w:vAlign w:val="center"/>
                </w:tcPr>
                <w:p w14:paraId="11A4F3B2">
                  <w:pPr>
                    <w:pStyle w:val="48"/>
                    <w:adjustRightInd w:val="0"/>
                    <w:snapToGrid w:val="0"/>
                    <w:spacing w:after="0"/>
                    <w:ind w:firstLine="0" w:firstLineChars="0"/>
                    <w:jc w:val="center"/>
                    <w:rPr>
                      <w:bCs/>
                      <w:color w:val="auto"/>
                      <w:sz w:val="21"/>
                      <w:szCs w:val="21"/>
                    </w:rPr>
                  </w:pPr>
                  <w:r>
                    <w:rPr>
                      <w:rFonts w:hint="eastAsia"/>
                      <w:bCs/>
                      <w:color w:val="auto"/>
                      <w:sz w:val="21"/>
                      <w:szCs w:val="21"/>
                      <w:lang w:eastAsia="zh-CN"/>
                    </w:rPr>
                    <w:t>最高允许排放速率</w:t>
                  </w:r>
                  <w:r>
                    <w:rPr>
                      <w:rFonts w:hint="eastAsia"/>
                      <w:bCs/>
                      <w:color w:val="auto"/>
                      <w:sz w:val="21"/>
                      <w:szCs w:val="21"/>
                    </w:rPr>
                    <w:t>（</w:t>
                  </w:r>
                  <w:r>
                    <w:rPr>
                      <w:rFonts w:hint="eastAsia"/>
                      <w:bCs/>
                      <w:color w:val="auto"/>
                      <w:sz w:val="21"/>
                      <w:szCs w:val="21"/>
                      <w:lang w:val="en-US" w:eastAsia="zh-CN"/>
                    </w:rPr>
                    <w:t>kg/h</w:t>
                  </w:r>
                  <w:r>
                    <w:rPr>
                      <w:rFonts w:hint="eastAsia"/>
                      <w:bCs/>
                      <w:color w:val="auto"/>
                      <w:sz w:val="21"/>
                      <w:szCs w:val="21"/>
                    </w:rPr>
                    <w:t>）</w:t>
                  </w:r>
                </w:p>
              </w:tc>
              <w:tc>
                <w:tcPr>
                  <w:tcW w:w="1485" w:type="dxa"/>
                  <w:vAlign w:val="center"/>
                </w:tcPr>
                <w:p w14:paraId="681FD3FD">
                  <w:pPr>
                    <w:pStyle w:val="48"/>
                    <w:adjustRightInd w:val="0"/>
                    <w:snapToGrid w:val="0"/>
                    <w:spacing w:after="0"/>
                    <w:ind w:firstLine="0" w:firstLineChars="0"/>
                    <w:jc w:val="center"/>
                    <w:rPr>
                      <w:bCs/>
                      <w:color w:val="auto"/>
                      <w:sz w:val="21"/>
                      <w:szCs w:val="21"/>
                    </w:rPr>
                  </w:pPr>
                  <w:r>
                    <w:rPr>
                      <w:bCs/>
                      <w:color w:val="auto"/>
                      <w:sz w:val="21"/>
                      <w:szCs w:val="21"/>
                    </w:rPr>
                    <w:t>无组织排放监控限值（mg/m³）</w:t>
                  </w:r>
                </w:p>
              </w:tc>
              <w:tc>
                <w:tcPr>
                  <w:tcW w:w="2638" w:type="dxa"/>
                  <w:vAlign w:val="center"/>
                </w:tcPr>
                <w:p w14:paraId="71E527ED">
                  <w:pPr>
                    <w:pStyle w:val="48"/>
                    <w:adjustRightInd w:val="0"/>
                    <w:snapToGrid w:val="0"/>
                    <w:spacing w:after="0"/>
                    <w:ind w:firstLine="0" w:firstLineChars="0"/>
                    <w:jc w:val="center"/>
                    <w:rPr>
                      <w:bCs/>
                      <w:color w:val="auto"/>
                      <w:sz w:val="21"/>
                      <w:szCs w:val="21"/>
                    </w:rPr>
                  </w:pPr>
                  <w:r>
                    <w:rPr>
                      <w:bCs/>
                      <w:color w:val="auto"/>
                      <w:sz w:val="21"/>
                      <w:szCs w:val="21"/>
                    </w:rPr>
                    <w:t>标准</w:t>
                  </w:r>
                </w:p>
              </w:tc>
            </w:tr>
            <w:tr w14:paraId="4438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91" w:type="dxa"/>
                  <w:vAlign w:val="center"/>
                </w:tcPr>
                <w:p w14:paraId="74D1FE78">
                  <w:pPr>
                    <w:pStyle w:val="48"/>
                    <w:adjustRightInd w:val="0"/>
                    <w:snapToGrid w:val="0"/>
                    <w:spacing w:after="0"/>
                    <w:ind w:firstLine="0" w:firstLineChars="0"/>
                    <w:jc w:val="center"/>
                    <w:rPr>
                      <w:rFonts w:hint="eastAsia"/>
                      <w:bCs/>
                      <w:color w:val="auto"/>
                      <w:sz w:val="21"/>
                      <w:szCs w:val="21"/>
                      <w:lang w:eastAsia="zh-CN"/>
                    </w:rPr>
                  </w:pPr>
                  <w:r>
                    <w:rPr>
                      <w:rFonts w:hint="eastAsia"/>
                      <w:bCs/>
                      <w:color w:val="auto"/>
                      <w:sz w:val="21"/>
                      <w:szCs w:val="21"/>
                      <w:lang w:eastAsia="zh-CN"/>
                    </w:rPr>
                    <w:t>颗粒物</w:t>
                  </w:r>
                </w:p>
              </w:tc>
              <w:tc>
                <w:tcPr>
                  <w:tcW w:w="1169" w:type="dxa"/>
                  <w:vAlign w:val="center"/>
                </w:tcPr>
                <w:p w14:paraId="24AD7FEC">
                  <w:pPr>
                    <w:pStyle w:val="48"/>
                    <w:adjustRightInd w:val="0"/>
                    <w:snapToGrid w:val="0"/>
                    <w:spacing w:after="0"/>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120</w:t>
                  </w:r>
                </w:p>
              </w:tc>
              <w:tc>
                <w:tcPr>
                  <w:tcW w:w="904" w:type="dxa"/>
                  <w:vAlign w:val="center"/>
                </w:tcPr>
                <w:p w14:paraId="7836CA6E">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20</w:t>
                  </w:r>
                </w:p>
              </w:tc>
              <w:tc>
                <w:tcPr>
                  <w:tcW w:w="1170" w:type="dxa"/>
                  <w:vAlign w:val="center"/>
                </w:tcPr>
                <w:p w14:paraId="701A497E">
                  <w:pPr>
                    <w:pStyle w:val="48"/>
                    <w:adjustRightInd w:val="0"/>
                    <w:snapToGrid w:val="0"/>
                    <w:spacing w:after="0"/>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5.9</w:t>
                  </w:r>
                </w:p>
              </w:tc>
              <w:tc>
                <w:tcPr>
                  <w:tcW w:w="1485" w:type="dxa"/>
                  <w:vAlign w:val="center"/>
                </w:tcPr>
                <w:p w14:paraId="7A50F5E1">
                  <w:pPr>
                    <w:pStyle w:val="48"/>
                    <w:adjustRightInd w:val="0"/>
                    <w:snapToGrid w:val="0"/>
                    <w:spacing w:after="0"/>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2638" w:type="dxa"/>
                  <w:vMerge w:val="restart"/>
                  <w:vAlign w:val="center"/>
                </w:tcPr>
                <w:p w14:paraId="7E9F5CA1">
                  <w:pPr>
                    <w:pStyle w:val="48"/>
                    <w:adjustRightInd w:val="0"/>
                    <w:snapToGrid w:val="0"/>
                    <w:spacing w:after="0"/>
                    <w:ind w:firstLine="0" w:firstLineChars="0"/>
                    <w:jc w:val="center"/>
                    <w:rPr>
                      <w:bCs/>
                      <w:color w:val="auto"/>
                      <w:sz w:val="21"/>
                      <w:szCs w:val="21"/>
                    </w:rPr>
                  </w:pPr>
                  <w:r>
                    <w:rPr>
                      <w:color w:val="auto"/>
                      <w:sz w:val="21"/>
                      <w:szCs w:val="21"/>
                    </w:rPr>
                    <w:t>《大气污染物综合排放标准》（</w:t>
                  </w:r>
                  <w:r>
                    <w:rPr>
                      <w:rFonts w:hint="eastAsia"/>
                      <w:color w:val="auto"/>
                      <w:sz w:val="21"/>
                      <w:szCs w:val="21"/>
                    </w:rPr>
                    <w:t>GB</w:t>
                  </w:r>
                  <w:r>
                    <w:rPr>
                      <w:color w:val="auto"/>
                      <w:sz w:val="21"/>
                      <w:szCs w:val="21"/>
                    </w:rPr>
                    <w:t>16297-1996）</w:t>
                  </w:r>
                </w:p>
              </w:tc>
            </w:tr>
            <w:tr w14:paraId="5C2A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491" w:type="dxa"/>
                  <w:vAlign w:val="center"/>
                </w:tcPr>
                <w:p w14:paraId="4069F0D9">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HCl</w:t>
                  </w:r>
                </w:p>
              </w:tc>
              <w:tc>
                <w:tcPr>
                  <w:tcW w:w="1169" w:type="dxa"/>
                  <w:vAlign w:val="center"/>
                </w:tcPr>
                <w:p w14:paraId="5828B2EC">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100</w:t>
                  </w:r>
                </w:p>
              </w:tc>
              <w:tc>
                <w:tcPr>
                  <w:tcW w:w="904" w:type="dxa"/>
                  <w:vAlign w:val="center"/>
                </w:tcPr>
                <w:p w14:paraId="3B090D1A">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20</w:t>
                  </w:r>
                </w:p>
              </w:tc>
              <w:tc>
                <w:tcPr>
                  <w:tcW w:w="1170" w:type="dxa"/>
                  <w:vAlign w:val="center"/>
                </w:tcPr>
                <w:p w14:paraId="71A22A0B">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0.43</w:t>
                  </w:r>
                </w:p>
              </w:tc>
              <w:tc>
                <w:tcPr>
                  <w:tcW w:w="1485" w:type="dxa"/>
                  <w:vAlign w:val="center"/>
                </w:tcPr>
                <w:p w14:paraId="2F702FF0">
                  <w:pPr>
                    <w:pStyle w:val="48"/>
                    <w:adjustRightInd w:val="0"/>
                    <w:snapToGrid w:val="0"/>
                    <w:spacing w:after="0"/>
                    <w:ind w:firstLine="0" w:firstLineChars="0"/>
                    <w:jc w:val="center"/>
                    <w:rPr>
                      <w:rFonts w:hint="default"/>
                      <w:bCs/>
                      <w:color w:val="auto"/>
                      <w:sz w:val="21"/>
                      <w:szCs w:val="21"/>
                      <w:lang w:val="en-US" w:eastAsia="zh-CN"/>
                    </w:rPr>
                  </w:pPr>
                  <w:r>
                    <w:rPr>
                      <w:rFonts w:hint="eastAsia"/>
                      <w:bCs/>
                      <w:color w:val="auto"/>
                      <w:sz w:val="21"/>
                      <w:szCs w:val="21"/>
                      <w:lang w:val="en-US" w:eastAsia="zh-CN"/>
                    </w:rPr>
                    <w:t>0.2</w:t>
                  </w:r>
                </w:p>
              </w:tc>
              <w:tc>
                <w:tcPr>
                  <w:tcW w:w="2638" w:type="dxa"/>
                  <w:vMerge w:val="continue"/>
                  <w:vAlign w:val="center"/>
                </w:tcPr>
                <w:p w14:paraId="3AC2B108">
                  <w:pPr>
                    <w:pStyle w:val="48"/>
                    <w:adjustRightInd w:val="0"/>
                    <w:snapToGrid w:val="0"/>
                    <w:spacing w:after="0"/>
                    <w:ind w:firstLine="0" w:firstLineChars="0"/>
                    <w:jc w:val="center"/>
                    <w:rPr>
                      <w:color w:val="auto"/>
                      <w:sz w:val="21"/>
                      <w:szCs w:val="21"/>
                    </w:rPr>
                  </w:pPr>
                </w:p>
              </w:tc>
            </w:tr>
          </w:tbl>
          <w:p w14:paraId="64ADDC27">
            <w:pPr>
              <w:tabs>
                <w:tab w:val="left" w:pos="540"/>
                <w:tab w:val="left" w:pos="900"/>
                <w:tab w:val="left" w:pos="3780"/>
              </w:tabs>
              <w:adjustRightInd w:val="0"/>
              <w:snapToGrid w:val="0"/>
              <w:spacing w:line="360" w:lineRule="auto"/>
              <w:rPr>
                <w:b/>
                <w:color w:val="auto"/>
                <w:sz w:val="24"/>
              </w:rPr>
            </w:pPr>
            <w:r>
              <w:rPr>
                <w:b/>
                <w:color w:val="auto"/>
                <w:sz w:val="24"/>
              </w:rPr>
              <w:t>2、废水</w:t>
            </w:r>
          </w:p>
          <w:p w14:paraId="5AE2541C">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废水</w:t>
            </w:r>
            <w:r>
              <w:rPr>
                <w:rFonts w:hint="default" w:ascii="Times New Roman" w:hAnsi="Times New Roman" w:eastAsia="宋体" w:cs="Times New Roman"/>
                <w:color w:val="auto"/>
                <w:sz w:val="24"/>
                <w:szCs w:val="24"/>
              </w:rPr>
              <w:t>排放执行</w:t>
            </w:r>
            <w:r>
              <w:rPr>
                <w:rFonts w:hint="eastAsia" w:ascii="Times New Roman" w:hAnsi="Times New Roman" w:eastAsia="宋体" w:cs="Times New Roman"/>
                <w:color w:val="auto"/>
                <w:sz w:val="24"/>
                <w:szCs w:val="24"/>
                <w:lang w:eastAsia="zh-CN"/>
              </w:rPr>
              <w:t>固镇经济开发区</w:t>
            </w:r>
            <w:r>
              <w:rPr>
                <w:rFonts w:hint="eastAsia" w:cs="Times New Roman"/>
                <w:color w:val="auto"/>
                <w:sz w:val="24"/>
                <w:szCs w:val="24"/>
                <w:lang w:eastAsia="zh-CN"/>
              </w:rPr>
              <w:t>北区</w:t>
            </w:r>
            <w:r>
              <w:rPr>
                <w:rFonts w:hint="eastAsia" w:ascii="Times New Roman" w:hAnsi="Times New Roman" w:eastAsia="宋体" w:cs="Times New Roman"/>
                <w:color w:val="auto"/>
                <w:sz w:val="24"/>
                <w:szCs w:val="24"/>
                <w:lang w:eastAsia="zh-CN"/>
              </w:rPr>
              <w:t>污水处理厂</w:t>
            </w:r>
            <w:r>
              <w:rPr>
                <w:rFonts w:hint="default" w:ascii="Times New Roman" w:hAnsi="Times New Roman" w:eastAsia="宋体" w:cs="Times New Roman"/>
                <w:color w:val="auto"/>
                <w:sz w:val="24"/>
                <w:szCs w:val="24"/>
              </w:rPr>
              <w:t>接管标准</w:t>
            </w:r>
            <w:r>
              <w:rPr>
                <w:rFonts w:hint="eastAsia" w:cs="Times New Roman"/>
                <w:color w:val="auto"/>
                <w:sz w:val="24"/>
                <w:szCs w:val="24"/>
                <w:lang w:eastAsia="zh-CN"/>
              </w:rPr>
              <w:t>和</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电子工业水污染</w:t>
            </w:r>
            <w:r>
              <w:rPr>
                <w:rFonts w:hint="eastAsia" w:ascii="Times New Roman" w:hAnsi="Times New Roman" w:eastAsia="宋体" w:cs="Times New Roman"/>
                <w:bCs/>
                <w:color w:val="auto"/>
                <w:sz w:val="24"/>
                <w:szCs w:val="24"/>
                <w:lang w:val="en-US" w:eastAsia="zh-CN"/>
              </w:rPr>
              <w:t>排放标准》（GB</w:t>
            </w:r>
            <w:r>
              <w:rPr>
                <w:rFonts w:hint="eastAsia" w:cs="Times New Roman"/>
                <w:bCs/>
                <w:color w:val="auto"/>
                <w:sz w:val="24"/>
                <w:szCs w:val="24"/>
                <w:lang w:val="en-US" w:eastAsia="zh-CN"/>
              </w:rPr>
              <w:t>39731</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2020</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中污染物</w:t>
            </w:r>
            <w:r>
              <w:rPr>
                <w:rFonts w:hint="eastAsia" w:ascii="Times New Roman" w:hAnsi="Times New Roman" w:eastAsia="宋体" w:cs="Times New Roman"/>
                <w:bCs/>
                <w:color w:val="auto"/>
                <w:sz w:val="24"/>
                <w:szCs w:val="24"/>
                <w:lang w:val="en-US" w:eastAsia="zh-CN"/>
              </w:rPr>
              <w:t>排放限值</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固镇经济开发区污水处理厂</w:t>
            </w:r>
            <w:r>
              <w:rPr>
                <w:rFonts w:hint="default" w:ascii="Times New Roman" w:hAnsi="Times New Roman" w:eastAsia="宋体" w:cs="Times New Roman"/>
                <w:sz w:val="24"/>
                <w:szCs w:val="24"/>
                <w:lang w:eastAsia="zh-CN"/>
              </w:rPr>
              <w:t>处理达</w:t>
            </w:r>
            <w:r>
              <w:rPr>
                <w:rFonts w:hint="default" w:ascii="Times New Roman" w:hAnsi="Times New Roman" w:eastAsia="宋体" w:cs="Times New Roman"/>
                <w:sz w:val="24"/>
                <w:szCs w:val="24"/>
              </w:rPr>
              <w:t>《城镇污水处理厂污染物排放标准》（GB18918-2002）一级A标准</w:t>
            </w:r>
            <w:r>
              <w:rPr>
                <w:rFonts w:hint="default" w:ascii="Times New Roman" w:hAnsi="Times New Roman" w:eastAsia="宋体" w:cs="Times New Roman"/>
                <w:sz w:val="24"/>
                <w:szCs w:val="24"/>
                <w:lang w:eastAsia="zh-CN"/>
              </w:rPr>
              <w:t>后</w:t>
            </w:r>
            <w:r>
              <w:rPr>
                <w:rFonts w:hint="default" w:ascii="Times New Roman" w:hAnsi="Times New Roman" w:eastAsia="宋体" w:cs="Times New Roman"/>
                <w:sz w:val="24"/>
                <w:szCs w:val="24"/>
              </w:rPr>
              <w:t>排入</w:t>
            </w:r>
            <w:r>
              <w:rPr>
                <w:rFonts w:hint="eastAsia" w:cs="Times New Roman"/>
                <w:sz w:val="24"/>
                <w:szCs w:val="24"/>
                <w:lang w:eastAsia="zh-CN"/>
              </w:rPr>
              <w:t>北淝河下段</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lang w:bidi="ar"/>
              </w:rPr>
              <w:t>标准</w:t>
            </w:r>
            <w:r>
              <w:rPr>
                <w:rFonts w:hint="default" w:ascii="Times New Roman" w:hAnsi="Times New Roman" w:eastAsia="宋体" w:cs="Times New Roman"/>
                <w:color w:val="auto"/>
                <w:sz w:val="24"/>
                <w:lang w:bidi="ar"/>
              </w:rPr>
              <w:t>详见下表。</w:t>
            </w:r>
          </w:p>
          <w:p w14:paraId="65CC6AB8">
            <w:pPr>
              <w:adjustRightInd w:val="0"/>
              <w:spacing w:line="240" w:lineRule="auto"/>
              <w:ind w:left="400"/>
              <w:jc w:val="center"/>
              <w:rPr>
                <w:rFonts w:hint="eastAsia" w:ascii="Times New Roman"/>
                <w:b/>
                <w:color w:val="auto"/>
                <w:sz w:val="21"/>
                <w:szCs w:val="21"/>
              </w:rPr>
            </w:pPr>
            <w:r>
              <w:rPr>
                <w:b/>
                <w:color w:val="auto"/>
                <w:sz w:val="21"/>
                <w:szCs w:val="21"/>
              </w:rPr>
              <w:t>表3-</w:t>
            </w:r>
            <w:r>
              <w:rPr>
                <w:rFonts w:hint="eastAsia"/>
                <w:b/>
                <w:color w:val="auto"/>
                <w:sz w:val="21"/>
                <w:szCs w:val="21"/>
                <w:lang w:val="en-US" w:eastAsia="zh-CN"/>
              </w:rPr>
              <w:t xml:space="preserve">6 </w:t>
            </w:r>
            <w:r>
              <w:rPr>
                <w:b/>
                <w:color w:val="auto"/>
                <w:sz w:val="21"/>
                <w:szCs w:val="21"/>
              </w:rPr>
              <w:t xml:space="preserve">污水排放标准 </w:t>
            </w:r>
            <w:r>
              <w:rPr>
                <w:rFonts w:hint="eastAsia" w:ascii="Times New Roman"/>
                <w:b/>
                <w:color w:val="auto"/>
                <w:sz w:val="21"/>
                <w:szCs w:val="21"/>
              </w:rPr>
              <w:t>（单位：mg/</w:t>
            </w:r>
            <w:r>
              <w:rPr>
                <w:b/>
                <w:color w:val="auto"/>
                <w:sz w:val="21"/>
                <w:szCs w:val="21"/>
              </w:rPr>
              <w:t>L</w:t>
            </w:r>
            <w:r>
              <w:rPr>
                <w:rFonts w:hint="eastAsia" w:ascii="Times New Roman"/>
                <w:b/>
                <w:color w:val="auto"/>
                <w:sz w:val="21"/>
                <w:szCs w:val="21"/>
              </w:rPr>
              <w:t>，pH无量纲）</w:t>
            </w:r>
          </w:p>
          <w:tbl>
            <w:tblPr>
              <w:tblStyle w:val="25"/>
              <w:tblW w:w="8877" w:type="dxa"/>
              <w:jc w:val="center"/>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2658"/>
              <w:gridCol w:w="1005"/>
              <w:gridCol w:w="720"/>
              <w:gridCol w:w="765"/>
              <w:gridCol w:w="630"/>
              <w:gridCol w:w="660"/>
              <w:gridCol w:w="780"/>
              <w:gridCol w:w="880"/>
              <w:gridCol w:w="779"/>
            </w:tblGrid>
            <w:tr w14:paraId="6C56DE82">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2658" w:type="dxa"/>
                  <w:noWrap w:val="0"/>
                  <w:vAlign w:val="center"/>
                </w:tcPr>
                <w:p w14:paraId="241B160D">
                  <w:pPr>
                    <w:jc w:val="center"/>
                    <w:rPr>
                      <w:rFonts w:ascii="Times New Roman" w:hAnsi="Times New Roman"/>
                      <w:bCs/>
                      <w:color w:val="auto"/>
                      <w:szCs w:val="21"/>
                    </w:rPr>
                  </w:pPr>
                  <w:r>
                    <w:rPr>
                      <w:rFonts w:ascii="Times New Roman" w:hAnsi="Times New Roman"/>
                      <w:bCs/>
                      <w:color w:val="auto"/>
                      <w:szCs w:val="21"/>
                    </w:rPr>
                    <w:t>项目</w:t>
                  </w:r>
                </w:p>
              </w:tc>
              <w:tc>
                <w:tcPr>
                  <w:tcW w:w="1005" w:type="dxa"/>
                  <w:tcBorders>
                    <w:right w:val="single" w:color="auto" w:sz="4" w:space="0"/>
                  </w:tcBorders>
                  <w:noWrap w:val="0"/>
                  <w:vAlign w:val="center"/>
                </w:tcPr>
                <w:p w14:paraId="37C8226A">
                  <w:pPr>
                    <w:jc w:val="center"/>
                    <w:rPr>
                      <w:rFonts w:ascii="Times New Roman" w:hAnsi="Times New Roman"/>
                      <w:bCs/>
                      <w:color w:val="auto"/>
                      <w:szCs w:val="21"/>
                    </w:rPr>
                  </w:pPr>
                  <w:r>
                    <w:rPr>
                      <w:rFonts w:ascii="Times New Roman" w:hAnsi="Times New Roman"/>
                      <w:bCs/>
                      <w:color w:val="auto"/>
                      <w:szCs w:val="21"/>
                    </w:rPr>
                    <w:t>pH</w:t>
                  </w:r>
                </w:p>
              </w:tc>
              <w:tc>
                <w:tcPr>
                  <w:tcW w:w="720" w:type="dxa"/>
                  <w:tcBorders>
                    <w:left w:val="single" w:color="auto" w:sz="4" w:space="0"/>
                    <w:right w:val="single" w:color="auto" w:sz="4" w:space="0"/>
                  </w:tcBorders>
                  <w:noWrap w:val="0"/>
                  <w:vAlign w:val="center"/>
                </w:tcPr>
                <w:p w14:paraId="4AF1D416">
                  <w:pPr>
                    <w:jc w:val="center"/>
                    <w:rPr>
                      <w:rFonts w:ascii="Times New Roman" w:hAnsi="Times New Roman"/>
                      <w:bCs/>
                      <w:color w:val="auto"/>
                      <w:szCs w:val="21"/>
                    </w:rPr>
                  </w:pPr>
                  <w:r>
                    <w:rPr>
                      <w:rFonts w:ascii="Times New Roman" w:hAnsi="Times New Roman"/>
                      <w:bCs/>
                      <w:color w:val="auto"/>
                      <w:szCs w:val="21"/>
                    </w:rPr>
                    <w:t>COD</w:t>
                  </w:r>
                </w:p>
              </w:tc>
              <w:tc>
                <w:tcPr>
                  <w:tcW w:w="765" w:type="dxa"/>
                  <w:tcBorders>
                    <w:left w:val="single" w:color="auto" w:sz="4" w:space="0"/>
                  </w:tcBorders>
                  <w:noWrap w:val="0"/>
                  <w:vAlign w:val="center"/>
                </w:tcPr>
                <w:p w14:paraId="42731A2B">
                  <w:pPr>
                    <w:jc w:val="center"/>
                    <w:rPr>
                      <w:rFonts w:ascii="Times New Roman" w:hAnsi="Times New Roman"/>
                      <w:bCs/>
                      <w:color w:val="auto"/>
                      <w:szCs w:val="21"/>
                    </w:rPr>
                  </w:pPr>
                  <w:r>
                    <w:rPr>
                      <w:rFonts w:ascii="Times New Roman" w:hAnsi="Times New Roman"/>
                      <w:bCs/>
                      <w:color w:val="auto"/>
                      <w:szCs w:val="21"/>
                    </w:rPr>
                    <w:t>BOD</w:t>
                  </w:r>
                  <w:r>
                    <w:rPr>
                      <w:rFonts w:ascii="Times New Roman" w:hAnsi="Times New Roman"/>
                      <w:bCs/>
                      <w:color w:val="auto"/>
                      <w:szCs w:val="21"/>
                      <w:vertAlign w:val="subscript"/>
                    </w:rPr>
                    <w:t>5</w:t>
                  </w:r>
                </w:p>
              </w:tc>
              <w:tc>
                <w:tcPr>
                  <w:tcW w:w="630" w:type="dxa"/>
                  <w:tcBorders>
                    <w:left w:val="single" w:color="auto" w:sz="4" w:space="0"/>
                    <w:right w:val="single" w:color="auto" w:sz="4" w:space="0"/>
                  </w:tcBorders>
                  <w:noWrap w:val="0"/>
                  <w:vAlign w:val="center"/>
                </w:tcPr>
                <w:p w14:paraId="30EAC53A">
                  <w:pPr>
                    <w:jc w:val="center"/>
                    <w:rPr>
                      <w:rFonts w:ascii="Times New Roman" w:hAnsi="Times New Roman"/>
                      <w:bCs/>
                      <w:color w:val="auto"/>
                      <w:szCs w:val="21"/>
                    </w:rPr>
                  </w:pPr>
                  <w:r>
                    <w:rPr>
                      <w:rFonts w:ascii="Times New Roman" w:hAnsi="Times New Roman"/>
                      <w:bCs/>
                      <w:color w:val="auto"/>
                      <w:szCs w:val="21"/>
                    </w:rPr>
                    <w:t>SS</w:t>
                  </w:r>
                </w:p>
              </w:tc>
              <w:tc>
                <w:tcPr>
                  <w:tcW w:w="660" w:type="dxa"/>
                  <w:tcBorders>
                    <w:left w:val="single" w:color="auto" w:sz="4" w:space="0"/>
                    <w:right w:val="single" w:color="auto" w:sz="4" w:space="0"/>
                  </w:tcBorders>
                  <w:noWrap w:val="0"/>
                  <w:vAlign w:val="center"/>
                </w:tcPr>
                <w:p w14:paraId="7888CBC9">
                  <w:pPr>
                    <w:jc w:val="center"/>
                    <w:rPr>
                      <w:rFonts w:ascii="Times New Roman" w:hAnsi="Times New Roman"/>
                      <w:bCs/>
                      <w:color w:val="auto"/>
                      <w:szCs w:val="21"/>
                    </w:rPr>
                  </w:pPr>
                  <w:r>
                    <w:rPr>
                      <w:rFonts w:ascii="Times New Roman" w:hAnsi="Times New Roman"/>
                      <w:bCs/>
                      <w:color w:val="auto"/>
                      <w:szCs w:val="21"/>
                    </w:rPr>
                    <w:t>氨氮</w:t>
                  </w:r>
                </w:p>
              </w:tc>
              <w:tc>
                <w:tcPr>
                  <w:tcW w:w="780" w:type="dxa"/>
                  <w:tcBorders>
                    <w:left w:val="single" w:color="auto" w:sz="4" w:space="0"/>
                    <w:right w:val="single" w:color="auto" w:sz="4" w:space="0"/>
                  </w:tcBorders>
                  <w:noWrap w:val="0"/>
                  <w:vAlign w:val="center"/>
                </w:tcPr>
                <w:p w14:paraId="50CE35D5">
                  <w:pPr>
                    <w:jc w:val="center"/>
                    <w:rPr>
                      <w:rFonts w:hint="eastAsia" w:ascii="Times New Roman" w:hAnsi="Times New Roman" w:eastAsia="宋体"/>
                      <w:bCs/>
                      <w:color w:val="auto"/>
                      <w:szCs w:val="21"/>
                      <w:lang w:eastAsia="zh-CN"/>
                    </w:rPr>
                  </w:pPr>
                  <w:r>
                    <w:rPr>
                      <w:rFonts w:hint="eastAsia"/>
                      <w:bCs/>
                      <w:color w:val="auto"/>
                      <w:szCs w:val="21"/>
                      <w:lang w:eastAsia="zh-CN"/>
                    </w:rPr>
                    <w:t>动植物油</w:t>
                  </w:r>
                </w:p>
              </w:tc>
              <w:tc>
                <w:tcPr>
                  <w:tcW w:w="880" w:type="dxa"/>
                  <w:tcBorders>
                    <w:left w:val="single" w:color="auto" w:sz="4" w:space="0"/>
                    <w:right w:val="single" w:color="auto" w:sz="4" w:space="0"/>
                  </w:tcBorders>
                  <w:noWrap w:val="0"/>
                  <w:vAlign w:val="center"/>
                </w:tcPr>
                <w:p w14:paraId="5507E816">
                  <w:pPr>
                    <w:jc w:val="center"/>
                    <w:rPr>
                      <w:rFonts w:hint="eastAsia"/>
                      <w:bCs/>
                      <w:color w:val="auto"/>
                      <w:szCs w:val="21"/>
                      <w:lang w:eastAsia="zh-CN"/>
                    </w:rPr>
                  </w:pPr>
                  <w:r>
                    <w:rPr>
                      <w:rFonts w:hint="eastAsia"/>
                      <w:bCs/>
                      <w:color w:val="auto"/>
                      <w:szCs w:val="21"/>
                      <w:lang w:eastAsia="zh-CN"/>
                    </w:rPr>
                    <w:t>总磷</w:t>
                  </w:r>
                </w:p>
              </w:tc>
              <w:tc>
                <w:tcPr>
                  <w:tcW w:w="779" w:type="dxa"/>
                  <w:tcBorders>
                    <w:left w:val="single" w:color="auto" w:sz="4" w:space="0"/>
                    <w:right w:val="single" w:color="auto" w:sz="4" w:space="0"/>
                  </w:tcBorders>
                  <w:noWrap w:val="0"/>
                  <w:vAlign w:val="center"/>
                </w:tcPr>
                <w:p w14:paraId="65F57617">
                  <w:pPr>
                    <w:jc w:val="center"/>
                    <w:rPr>
                      <w:rFonts w:hint="eastAsia"/>
                      <w:bCs/>
                      <w:color w:val="auto"/>
                      <w:szCs w:val="21"/>
                      <w:lang w:eastAsia="zh-CN"/>
                    </w:rPr>
                  </w:pPr>
                  <w:r>
                    <w:rPr>
                      <w:rFonts w:hint="eastAsia"/>
                      <w:bCs/>
                      <w:color w:val="auto"/>
                      <w:szCs w:val="21"/>
                      <w:lang w:eastAsia="zh-CN"/>
                    </w:rPr>
                    <w:t>总氮</w:t>
                  </w:r>
                </w:p>
              </w:tc>
            </w:tr>
            <w:tr w14:paraId="54A492E7">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658" w:type="dxa"/>
                  <w:noWrap w:val="0"/>
                  <w:vAlign w:val="center"/>
                </w:tcPr>
                <w:p w14:paraId="3DDFE7BD">
                  <w:pPr>
                    <w:jc w:val="center"/>
                    <w:rPr>
                      <w:rFonts w:ascii="Times New Roman" w:hAnsi="Times New Roman"/>
                      <w:bCs/>
                      <w:color w:val="auto"/>
                      <w:szCs w:val="21"/>
                    </w:rPr>
                  </w:pPr>
                  <w:r>
                    <w:rPr>
                      <w:rFonts w:hint="eastAsia" w:ascii="Times New Roman" w:hAnsi="Times New Roman"/>
                      <w:color w:val="auto"/>
                      <w:szCs w:val="21"/>
                      <w:lang w:eastAsia="zh-CN"/>
                    </w:rPr>
                    <w:t>固镇经济开发区</w:t>
                  </w:r>
                  <w:r>
                    <w:rPr>
                      <w:rFonts w:ascii="Times New Roman" w:hAnsi="Times New Roman"/>
                      <w:color w:val="auto"/>
                      <w:szCs w:val="21"/>
                    </w:rPr>
                    <w:t>污水处理厂接管标准</w:t>
                  </w:r>
                </w:p>
              </w:tc>
              <w:tc>
                <w:tcPr>
                  <w:tcW w:w="1005" w:type="dxa"/>
                  <w:tcBorders>
                    <w:right w:val="single" w:color="auto" w:sz="4" w:space="0"/>
                  </w:tcBorders>
                  <w:noWrap w:val="0"/>
                  <w:vAlign w:val="center"/>
                </w:tcPr>
                <w:p w14:paraId="17A62AFD">
                  <w:pPr>
                    <w:jc w:val="center"/>
                    <w:rPr>
                      <w:rFonts w:hint="default" w:ascii="Times New Roman" w:hAnsi="Times New Roman" w:eastAsia="宋体"/>
                      <w:bCs/>
                      <w:color w:val="auto"/>
                      <w:szCs w:val="21"/>
                      <w:lang w:val="en-US" w:eastAsia="zh-CN"/>
                    </w:rPr>
                  </w:pPr>
                  <w:r>
                    <w:rPr>
                      <w:rFonts w:ascii="Times New Roman" w:hAnsi="Times New Roman"/>
                      <w:bCs/>
                      <w:color w:val="auto"/>
                      <w:szCs w:val="21"/>
                    </w:rPr>
                    <w:t>6</w:t>
                  </w:r>
                  <w:r>
                    <w:rPr>
                      <w:rFonts w:hint="eastAsia" w:ascii="Times New Roman" w:hAnsi="Times New Roman"/>
                      <w:bCs/>
                      <w:color w:val="auto"/>
                      <w:szCs w:val="21"/>
                      <w:lang w:val="en-US" w:eastAsia="zh-CN"/>
                    </w:rPr>
                    <w:t>.5</w:t>
                  </w:r>
                  <w:r>
                    <w:rPr>
                      <w:rFonts w:ascii="Times New Roman" w:hAnsi="Times New Roman"/>
                      <w:bCs/>
                      <w:color w:val="auto"/>
                      <w:szCs w:val="21"/>
                    </w:rPr>
                    <w:t>～9</w:t>
                  </w:r>
                  <w:r>
                    <w:rPr>
                      <w:rFonts w:hint="eastAsia" w:ascii="Times New Roman" w:hAnsi="Times New Roman"/>
                      <w:bCs/>
                      <w:color w:val="auto"/>
                      <w:szCs w:val="21"/>
                      <w:lang w:val="en-US" w:eastAsia="zh-CN"/>
                    </w:rPr>
                    <w:t>.5</w:t>
                  </w:r>
                </w:p>
              </w:tc>
              <w:tc>
                <w:tcPr>
                  <w:tcW w:w="720" w:type="dxa"/>
                  <w:tcBorders>
                    <w:left w:val="single" w:color="auto" w:sz="4" w:space="0"/>
                    <w:right w:val="single" w:color="auto" w:sz="4" w:space="0"/>
                  </w:tcBorders>
                  <w:noWrap w:val="0"/>
                  <w:vAlign w:val="center"/>
                </w:tcPr>
                <w:p w14:paraId="495471C3">
                  <w:pPr>
                    <w:jc w:val="center"/>
                    <w:rPr>
                      <w:rFonts w:hint="default" w:ascii="Times New Roman" w:hAnsi="Times New Roman" w:eastAsia="宋体"/>
                      <w:bCs/>
                      <w:color w:val="auto"/>
                      <w:szCs w:val="21"/>
                      <w:lang w:val="en-US" w:eastAsia="zh-CN"/>
                    </w:rPr>
                  </w:pPr>
                  <w:r>
                    <w:rPr>
                      <w:rFonts w:hint="eastAsia"/>
                      <w:bCs/>
                      <w:color w:val="auto"/>
                      <w:szCs w:val="21"/>
                      <w:lang w:val="en-US" w:eastAsia="zh-CN"/>
                    </w:rPr>
                    <w:t>500</w:t>
                  </w:r>
                </w:p>
              </w:tc>
              <w:tc>
                <w:tcPr>
                  <w:tcW w:w="765" w:type="dxa"/>
                  <w:tcBorders>
                    <w:left w:val="single" w:color="auto" w:sz="4" w:space="0"/>
                  </w:tcBorders>
                  <w:noWrap w:val="0"/>
                  <w:vAlign w:val="center"/>
                </w:tcPr>
                <w:p w14:paraId="4C514F58">
                  <w:pPr>
                    <w:jc w:val="center"/>
                    <w:rPr>
                      <w:rFonts w:hint="default" w:ascii="Times New Roman" w:hAnsi="Times New Roman" w:eastAsia="宋体"/>
                      <w:bCs/>
                      <w:color w:val="auto"/>
                      <w:szCs w:val="21"/>
                      <w:lang w:val="en-US" w:eastAsia="zh-CN"/>
                    </w:rPr>
                  </w:pPr>
                  <w:r>
                    <w:rPr>
                      <w:rFonts w:hint="eastAsia"/>
                      <w:bCs/>
                      <w:color w:val="auto"/>
                      <w:szCs w:val="21"/>
                      <w:lang w:val="en-US" w:eastAsia="zh-CN"/>
                    </w:rPr>
                    <w:t>350</w:t>
                  </w:r>
                </w:p>
              </w:tc>
              <w:tc>
                <w:tcPr>
                  <w:tcW w:w="630" w:type="dxa"/>
                  <w:tcBorders>
                    <w:left w:val="single" w:color="auto" w:sz="4" w:space="0"/>
                    <w:right w:val="single" w:color="auto" w:sz="4" w:space="0"/>
                  </w:tcBorders>
                  <w:noWrap w:val="0"/>
                  <w:vAlign w:val="center"/>
                </w:tcPr>
                <w:p w14:paraId="3FAD5799">
                  <w:pPr>
                    <w:jc w:val="center"/>
                    <w:rPr>
                      <w:rFonts w:hint="default" w:ascii="Times New Roman" w:hAnsi="Times New Roman" w:eastAsia="宋体"/>
                      <w:bCs/>
                      <w:color w:val="auto"/>
                      <w:szCs w:val="21"/>
                      <w:lang w:val="en-US" w:eastAsia="zh-CN"/>
                    </w:rPr>
                  </w:pPr>
                  <w:r>
                    <w:rPr>
                      <w:rFonts w:hint="eastAsia"/>
                      <w:bCs/>
                      <w:color w:val="auto"/>
                      <w:szCs w:val="21"/>
                      <w:lang w:val="en-US" w:eastAsia="zh-CN"/>
                    </w:rPr>
                    <w:t>400</w:t>
                  </w:r>
                </w:p>
              </w:tc>
              <w:tc>
                <w:tcPr>
                  <w:tcW w:w="660" w:type="dxa"/>
                  <w:tcBorders>
                    <w:left w:val="single" w:color="auto" w:sz="4" w:space="0"/>
                    <w:right w:val="single" w:color="auto" w:sz="4" w:space="0"/>
                  </w:tcBorders>
                  <w:noWrap w:val="0"/>
                  <w:vAlign w:val="center"/>
                </w:tcPr>
                <w:p w14:paraId="4DD2C0BE">
                  <w:pPr>
                    <w:jc w:val="center"/>
                    <w:rPr>
                      <w:rFonts w:hint="default" w:ascii="Times New Roman" w:hAnsi="Times New Roman" w:eastAsia="宋体"/>
                      <w:bCs/>
                      <w:color w:val="auto"/>
                      <w:szCs w:val="21"/>
                      <w:lang w:val="en-US" w:eastAsia="zh-CN"/>
                    </w:rPr>
                  </w:pPr>
                  <w:r>
                    <w:rPr>
                      <w:rFonts w:hint="eastAsia"/>
                      <w:bCs/>
                      <w:color w:val="auto"/>
                      <w:szCs w:val="21"/>
                      <w:lang w:val="en-US" w:eastAsia="zh-CN"/>
                    </w:rPr>
                    <w:t>45</w:t>
                  </w:r>
                </w:p>
              </w:tc>
              <w:tc>
                <w:tcPr>
                  <w:tcW w:w="780" w:type="dxa"/>
                  <w:tcBorders>
                    <w:left w:val="single" w:color="auto" w:sz="4" w:space="0"/>
                    <w:right w:val="single" w:color="auto" w:sz="4" w:space="0"/>
                  </w:tcBorders>
                  <w:noWrap w:val="0"/>
                  <w:vAlign w:val="center"/>
                </w:tcPr>
                <w:p w14:paraId="430B5CE1">
                  <w:pPr>
                    <w:jc w:val="center"/>
                    <w:rPr>
                      <w:rFonts w:hint="eastAsia"/>
                      <w:bCs/>
                      <w:color w:val="auto"/>
                      <w:szCs w:val="21"/>
                      <w:lang w:val="en-US" w:eastAsia="zh-CN"/>
                    </w:rPr>
                  </w:pPr>
                  <w:r>
                    <w:rPr>
                      <w:rFonts w:hint="eastAsia"/>
                      <w:bCs/>
                      <w:color w:val="auto"/>
                      <w:szCs w:val="21"/>
                      <w:lang w:val="en-US" w:eastAsia="zh-CN"/>
                    </w:rPr>
                    <w:t>/</w:t>
                  </w:r>
                </w:p>
              </w:tc>
              <w:tc>
                <w:tcPr>
                  <w:tcW w:w="880" w:type="dxa"/>
                  <w:tcBorders>
                    <w:left w:val="single" w:color="auto" w:sz="4" w:space="0"/>
                    <w:right w:val="single" w:color="auto" w:sz="4" w:space="0"/>
                  </w:tcBorders>
                  <w:noWrap w:val="0"/>
                  <w:vAlign w:val="center"/>
                </w:tcPr>
                <w:p w14:paraId="3B6A35D5">
                  <w:pPr>
                    <w:jc w:val="center"/>
                    <w:rPr>
                      <w:rFonts w:hint="default"/>
                      <w:bCs/>
                      <w:color w:val="auto"/>
                      <w:szCs w:val="21"/>
                      <w:lang w:val="en-US" w:eastAsia="zh-CN"/>
                    </w:rPr>
                  </w:pPr>
                  <w:r>
                    <w:rPr>
                      <w:rFonts w:hint="eastAsia"/>
                      <w:bCs/>
                      <w:color w:val="auto"/>
                      <w:szCs w:val="21"/>
                      <w:lang w:val="en-US" w:eastAsia="zh-CN"/>
                    </w:rPr>
                    <w:t>8.0</w:t>
                  </w:r>
                </w:p>
              </w:tc>
              <w:tc>
                <w:tcPr>
                  <w:tcW w:w="779" w:type="dxa"/>
                  <w:tcBorders>
                    <w:left w:val="single" w:color="auto" w:sz="4" w:space="0"/>
                    <w:right w:val="single" w:color="auto" w:sz="4" w:space="0"/>
                  </w:tcBorders>
                  <w:noWrap w:val="0"/>
                  <w:vAlign w:val="center"/>
                </w:tcPr>
                <w:p w14:paraId="5395BE9A">
                  <w:pPr>
                    <w:jc w:val="center"/>
                    <w:rPr>
                      <w:rFonts w:hint="eastAsia"/>
                      <w:bCs/>
                      <w:color w:val="auto"/>
                      <w:szCs w:val="21"/>
                      <w:lang w:val="en-US" w:eastAsia="zh-CN"/>
                    </w:rPr>
                  </w:pPr>
                  <w:r>
                    <w:rPr>
                      <w:rFonts w:hint="eastAsia"/>
                      <w:bCs/>
                      <w:color w:val="auto"/>
                      <w:szCs w:val="21"/>
                      <w:lang w:val="en-US" w:eastAsia="zh-CN"/>
                    </w:rPr>
                    <w:t>70</w:t>
                  </w:r>
                </w:p>
              </w:tc>
            </w:tr>
            <w:tr w14:paraId="59CC6D7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35" w:hRule="atLeast"/>
                <w:jc w:val="center"/>
              </w:trPr>
              <w:tc>
                <w:tcPr>
                  <w:tcW w:w="2658" w:type="dxa"/>
                  <w:noWrap w:val="0"/>
                  <w:vAlign w:val="center"/>
                </w:tcPr>
                <w:p w14:paraId="78A2C195">
                  <w:pPr>
                    <w:widowControl/>
                    <w:jc w:val="center"/>
                    <w:rPr>
                      <w:rFonts w:hint="default" w:ascii="Times New Roman" w:hAnsi="Times New Roman" w:eastAsia="宋体"/>
                      <w:szCs w:val="21"/>
                      <w:lang w:val="en-US" w:eastAsia="zh-CN"/>
                    </w:rPr>
                  </w:pPr>
                  <w:r>
                    <w:rPr>
                      <w:rFonts w:ascii="Times New Roman" w:hAnsi="Times New Roman" w:eastAsia="宋体" w:cs="Times New Roman"/>
                      <w:color w:val="auto"/>
                      <w:sz w:val="21"/>
                      <w:szCs w:val="21"/>
                    </w:rPr>
                    <w:t>《</w:t>
                  </w:r>
                  <w:r>
                    <w:rPr>
                      <w:rFonts w:hint="eastAsia" w:cs="Times New Roman"/>
                      <w:color w:val="auto"/>
                      <w:sz w:val="21"/>
                      <w:szCs w:val="21"/>
                      <w:lang w:eastAsia="zh-CN"/>
                    </w:rPr>
                    <w:t>电子工业水污染物</w:t>
                  </w:r>
                  <w:r>
                    <w:rPr>
                      <w:rFonts w:ascii="Times New Roman" w:hAnsi="Times New Roman" w:eastAsia="宋体" w:cs="Times New Roman"/>
                      <w:color w:val="auto"/>
                      <w:sz w:val="21"/>
                      <w:szCs w:val="21"/>
                    </w:rPr>
                    <w:t>排放标准》（GB</w:t>
                  </w:r>
                  <w:r>
                    <w:rPr>
                      <w:rFonts w:hint="eastAsia" w:cs="Times New Roman"/>
                      <w:color w:val="auto"/>
                      <w:sz w:val="21"/>
                      <w:szCs w:val="21"/>
                      <w:lang w:val="en-US" w:eastAsia="zh-CN"/>
                    </w:rPr>
                    <w:t>39731</w:t>
                  </w:r>
                  <w:r>
                    <w:rPr>
                      <w:rFonts w:ascii="Times New Roman" w:hAnsi="Times New Roman" w:eastAsia="宋体" w:cs="Times New Roman"/>
                      <w:color w:val="auto"/>
                      <w:sz w:val="21"/>
                      <w:szCs w:val="21"/>
                    </w:rPr>
                    <w:t>-</w:t>
                  </w:r>
                  <w:r>
                    <w:rPr>
                      <w:rFonts w:hint="eastAsia" w:cs="Times New Roman"/>
                      <w:color w:val="auto"/>
                      <w:sz w:val="21"/>
                      <w:szCs w:val="21"/>
                      <w:lang w:val="en-US" w:eastAsia="zh-CN"/>
                    </w:rPr>
                    <w:t>2020</w:t>
                  </w:r>
                  <w:r>
                    <w:rPr>
                      <w:rFonts w:ascii="Times New Roman" w:hAnsi="Times New Roman" w:eastAsia="宋体" w:cs="Times New Roman"/>
                      <w:color w:val="auto"/>
                      <w:sz w:val="21"/>
                      <w:szCs w:val="21"/>
                    </w:rPr>
                    <w:t>）</w:t>
                  </w:r>
                </w:p>
              </w:tc>
              <w:tc>
                <w:tcPr>
                  <w:tcW w:w="1005" w:type="dxa"/>
                  <w:tcBorders>
                    <w:right w:val="single" w:color="auto" w:sz="4" w:space="0"/>
                  </w:tcBorders>
                  <w:noWrap w:val="0"/>
                  <w:vAlign w:val="center"/>
                </w:tcPr>
                <w:p w14:paraId="1082046E">
                  <w:pPr>
                    <w:widowControl/>
                    <w:jc w:val="center"/>
                    <w:rPr>
                      <w:rFonts w:ascii="Times New Roman" w:hAnsi="Times New Roman"/>
                      <w:bCs/>
                      <w:szCs w:val="21"/>
                    </w:rPr>
                  </w:pPr>
                  <w:r>
                    <w:rPr>
                      <w:rFonts w:ascii="Times New Roman" w:hAnsi="Times New Roman" w:eastAsia="宋体" w:cs="Times New Roman"/>
                      <w:color w:val="auto"/>
                      <w:sz w:val="21"/>
                      <w:szCs w:val="21"/>
                    </w:rPr>
                    <w:t>6-9</w:t>
                  </w:r>
                </w:p>
              </w:tc>
              <w:tc>
                <w:tcPr>
                  <w:tcW w:w="720" w:type="dxa"/>
                  <w:tcBorders>
                    <w:left w:val="single" w:color="auto" w:sz="4" w:space="0"/>
                    <w:right w:val="single" w:color="auto" w:sz="4" w:space="0"/>
                  </w:tcBorders>
                  <w:noWrap w:val="0"/>
                  <w:vAlign w:val="center"/>
                </w:tcPr>
                <w:p w14:paraId="17D3D218">
                  <w:pPr>
                    <w:widowControl/>
                    <w:jc w:val="center"/>
                    <w:rPr>
                      <w:rFonts w:hint="eastAsia"/>
                      <w:bCs/>
                      <w:color w:val="auto"/>
                      <w:szCs w:val="21"/>
                      <w:lang w:val="en-US" w:eastAsia="zh-CN"/>
                    </w:rPr>
                  </w:pPr>
                  <w:r>
                    <w:rPr>
                      <w:rFonts w:ascii="Times New Roman" w:hAnsi="Times New Roman" w:eastAsia="宋体" w:cs="Times New Roman"/>
                      <w:color w:val="auto"/>
                      <w:sz w:val="21"/>
                      <w:szCs w:val="21"/>
                    </w:rPr>
                    <w:t>500</w:t>
                  </w:r>
                </w:p>
              </w:tc>
              <w:tc>
                <w:tcPr>
                  <w:tcW w:w="765" w:type="dxa"/>
                  <w:tcBorders>
                    <w:left w:val="single" w:color="auto" w:sz="4" w:space="0"/>
                  </w:tcBorders>
                  <w:noWrap w:val="0"/>
                  <w:vAlign w:val="center"/>
                </w:tcPr>
                <w:p w14:paraId="1CA20C29">
                  <w:pPr>
                    <w:widowControl/>
                    <w:jc w:val="center"/>
                    <w:rPr>
                      <w:rFonts w:hint="eastAsia" w:eastAsia="宋体"/>
                      <w:bCs/>
                      <w:color w:val="auto"/>
                      <w:szCs w:val="21"/>
                      <w:lang w:val="en-US" w:eastAsia="zh-CN"/>
                    </w:rPr>
                  </w:pPr>
                  <w:r>
                    <w:rPr>
                      <w:rFonts w:hint="eastAsia" w:cs="Times New Roman"/>
                      <w:color w:val="auto"/>
                      <w:sz w:val="21"/>
                      <w:szCs w:val="21"/>
                      <w:lang w:val="en-US" w:eastAsia="zh-CN"/>
                    </w:rPr>
                    <w:t>/</w:t>
                  </w:r>
                </w:p>
              </w:tc>
              <w:tc>
                <w:tcPr>
                  <w:tcW w:w="630" w:type="dxa"/>
                  <w:tcBorders>
                    <w:left w:val="single" w:color="auto" w:sz="4" w:space="0"/>
                    <w:right w:val="single" w:color="auto" w:sz="4" w:space="0"/>
                  </w:tcBorders>
                  <w:noWrap w:val="0"/>
                  <w:vAlign w:val="center"/>
                </w:tcPr>
                <w:p w14:paraId="23D35AF0">
                  <w:pPr>
                    <w:widowControl/>
                    <w:jc w:val="center"/>
                    <w:rPr>
                      <w:rFonts w:hint="eastAsia"/>
                      <w:bCs/>
                      <w:color w:val="auto"/>
                      <w:szCs w:val="21"/>
                      <w:lang w:val="en-US" w:eastAsia="zh-CN"/>
                    </w:rPr>
                  </w:pPr>
                  <w:r>
                    <w:rPr>
                      <w:rFonts w:ascii="Times New Roman" w:hAnsi="Times New Roman" w:eastAsia="宋体" w:cs="Times New Roman"/>
                      <w:color w:val="auto"/>
                      <w:sz w:val="21"/>
                      <w:szCs w:val="21"/>
                    </w:rPr>
                    <w:t>400</w:t>
                  </w:r>
                </w:p>
              </w:tc>
              <w:tc>
                <w:tcPr>
                  <w:tcW w:w="660" w:type="dxa"/>
                  <w:tcBorders>
                    <w:left w:val="single" w:color="auto" w:sz="4" w:space="0"/>
                    <w:right w:val="single" w:color="auto" w:sz="4" w:space="0"/>
                  </w:tcBorders>
                  <w:noWrap w:val="0"/>
                  <w:vAlign w:val="center"/>
                </w:tcPr>
                <w:p w14:paraId="7BEA9FD3">
                  <w:pPr>
                    <w:widowControl/>
                    <w:jc w:val="center"/>
                    <w:rPr>
                      <w:rFonts w:hint="default" w:eastAsia="宋体"/>
                      <w:bCs/>
                      <w:color w:val="auto"/>
                      <w:szCs w:val="21"/>
                      <w:lang w:val="en-US" w:eastAsia="zh-CN"/>
                    </w:rPr>
                  </w:pPr>
                  <w:r>
                    <w:rPr>
                      <w:rFonts w:hint="eastAsia" w:cs="Times New Roman"/>
                      <w:color w:val="auto"/>
                      <w:sz w:val="21"/>
                      <w:szCs w:val="21"/>
                      <w:lang w:val="en-US" w:eastAsia="zh-CN"/>
                    </w:rPr>
                    <w:t>45</w:t>
                  </w:r>
                </w:p>
              </w:tc>
              <w:tc>
                <w:tcPr>
                  <w:tcW w:w="780" w:type="dxa"/>
                  <w:tcBorders>
                    <w:left w:val="single" w:color="auto" w:sz="4" w:space="0"/>
                    <w:right w:val="single" w:color="auto" w:sz="4" w:space="0"/>
                  </w:tcBorders>
                  <w:noWrap w:val="0"/>
                  <w:vAlign w:val="center"/>
                </w:tcPr>
                <w:p w14:paraId="3614E50F">
                  <w:pPr>
                    <w:jc w:val="center"/>
                    <w:rPr>
                      <w:rFonts w:ascii="Times New Roman" w:hAnsi="Times New Roman" w:eastAsia="宋体" w:cs="Times New Roman"/>
                      <w:color w:val="auto"/>
                      <w:sz w:val="21"/>
                      <w:szCs w:val="21"/>
                    </w:rPr>
                  </w:pPr>
                  <w:r>
                    <w:rPr>
                      <w:rFonts w:hint="eastAsia"/>
                      <w:bCs/>
                      <w:color w:val="auto"/>
                      <w:szCs w:val="21"/>
                      <w:lang w:val="en-US" w:eastAsia="zh-CN"/>
                    </w:rPr>
                    <w:t>/</w:t>
                  </w:r>
                </w:p>
              </w:tc>
              <w:tc>
                <w:tcPr>
                  <w:tcW w:w="880" w:type="dxa"/>
                  <w:tcBorders>
                    <w:left w:val="single" w:color="auto" w:sz="4" w:space="0"/>
                    <w:right w:val="single" w:color="auto" w:sz="4" w:space="0"/>
                  </w:tcBorders>
                  <w:noWrap w:val="0"/>
                  <w:vAlign w:val="center"/>
                </w:tcPr>
                <w:p w14:paraId="198F319F">
                  <w:pPr>
                    <w:jc w:val="center"/>
                    <w:rPr>
                      <w:rFonts w:hint="default"/>
                      <w:bCs/>
                      <w:color w:val="auto"/>
                      <w:szCs w:val="21"/>
                      <w:lang w:val="en-US" w:eastAsia="zh-CN"/>
                    </w:rPr>
                  </w:pPr>
                  <w:r>
                    <w:rPr>
                      <w:rFonts w:hint="eastAsia"/>
                      <w:bCs/>
                      <w:color w:val="auto"/>
                      <w:szCs w:val="21"/>
                      <w:lang w:val="en-US" w:eastAsia="zh-CN"/>
                    </w:rPr>
                    <w:t>8.0</w:t>
                  </w:r>
                </w:p>
              </w:tc>
              <w:tc>
                <w:tcPr>
                  <w:tcW w:w="779" w:type="dxa"/>
                  <w:tcBorders>
                    <w:left w:val="single" w:color="auto" w:sz="4" w:space="0"/>
                    <w:right w:val="single" w:color="auto" w:sz="4" w:space="0"/>
                  </w:tcBorders>
                  <w:noWrap w:val="0"/>
                  <w:vAlign w:val="center"/>
                </w:tcPr>
                <w:p w14:paraId="5177AFF7">
                  <w:pPr>
                    <w:jc w:val="center"/>
                    <w:rPr>
                      <w:rFonts w:hint="eastAsia"/>
                      <w:bCs/>
                      <w:color w:val="auto"/>
                      <w:szCs w:val="21"/>
                      <w:lang w:val="en-US" w:eastAsia="zh-CN"/>
                    </w:rPr>
                  </w:pPr>
                  <w:r>
                    <w:rPr>
                      <w:rFonts w:hint="eastAsia"/>
                      <w:bCs/>
                      <w:color w:val="auto"/>
                      <w:szCs w:val="21"/>
                      <w:lang w:val="en-US" w:eastAsia="zh-CN"/>
                    </w:rPr>
                    <w:t>70</w:t>
                  </w:r>
                </w:p>
              </w:tc>
            </w:tr>
            <w:tr w14:paraId="0D1E2E3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325" w:hRule="atLeast"/>
                <w:jc w:val="center"/>
              </w:trPr>
              <w:tc>
                <w:tcPr>
                  <w:tcW w:w="2658" w:type="dxa"/>
                  <w:noWrap w:val="0"/>
                  <w:vAlign w:val="center"/>
                </w:tcPr>
                <w:p w14:paraId="2671FAEC">
                  <w:pPr>
                    <w:jc w:val="center"/>
                    <w:rPr>
                      <w:rFonts w:hint="eastAsia" w:ascii="Times New Roman" w:hAnsi="Times New Roman" w:eastAsia="宋体"/>
                      <w:bCs/>
                      <w:szCs w:val="21"/>
                      <w:lang w:eastAsia="zh-CN"/>
                    </w:rPr>
                  </w:pPr>
                  <w:r>
                    <w:rPr>
                      <w:rFonts w:hint="eastAsia"/>
                      <w:bCs/>
                      <w:szCs w:val="21"/>
                      <w:lang w:eastAsia="zh-CN"/>
                    </w:rPr>
                    <w:t>本项目执行标准</w:t>
                  </w:r>
                </w:p>
              </w:tc>
              <w:tc>
                <w:tcPr>
                  <w:tcW w:w="1005" w:type="dxa"/>
                  <w:tcBorders>
                    <w:right w:val="single" w:color="auto" w:sz="4" w:space="0"/>
                  </w:tcBorders>
                  <w:noWrap w:val="0"/>
                  <w:vAlign w:val="center"/>
                </w:tcPr>
                <w:p w14:paraId="1856ACDC">
                  <w:pPr>
                    <w:jc w:val="center"/>
                    <w:rPr>
                      <w:rFonts w:ascii="Times New Roman" w:hAnsi="Times New Roman"/>
                      <w:bCs/>
                      <w:szCs w:val="21"/>
                    </w:rPr>
                  </w:pPr>
                  <w:r>
                    <w:rPr>
                      <w:rFonts w:ascii="Times New Roman" w:hAnsi="Times New Roman"/>
                      <w:bCs/>
                      <w:szCs w:val="21"/>
                    </w:rPr>
                    <w:t>6</w:t>
                  </w:r>
                  <w:r>
                    <w:rPr>
                      <w:rFonts w:hint="eastAsia" w:ascii="Times New Roman" w:hAnsi="Times New Roman"/>
                      <w:bCs/>
                      <w:szCs w:val="21"/>
                      <w:lang w:val="en-US" w:eastAsia="zh-CN"/>
                    </w:rPr>
                    <w:t>.5</w:t>
                  </w:r>
                  <w:r>
                    <w:rPr>
                      <w:rFonts w:ascii="Times New Roman" w:hAnsi="Times New Roman"/>
                      <w:bCs/>
                      <w:szCs w:val="21"/>
                    </w:rPr>
                    <w:t>～9</w:t>
                  </w:r>
                </w:p>
              </w:tc>
              <w:tc>
                <w:tcPr>
                  <w:tcW w:w="720" w:type="dxa"/>
                  <w:tcBorders>
                    <w:left w:val="single" w:color="auto" w:sz="4" w:space="0"/>
                    <w:right w:val="single" w:color="auto" w:sz="4" w:space="0"/>
                  </w:tcBorders>
                  <w:noWrap w:val="0"/>
                  <w:vAlign w:val="center"/>
                </w:tcPr>
                <w:p w14:paraId="6985A228">
                  <w:pPr>
                    <w:jc w:val="center"/>
                    <w:rPr>
                      <w:rFonts w:hint="default" w:ascii="Times New Roman" w:hAnsi="Times New Roman" w:eastAsia="宋体"/>
                      <w:bCs/>
                      <w:szCs w:val="21"/>
                      <w:lang w:val="en-US" w:eastAsia="zh-CN"/>
                    </w:rPr>
                  </w:pPr>
                  <w:r>
                    <w:rPr>
                      <w:rFonts w:hint="eastAsia"/>
                      <w:bCs/>
                      <w:szCs w:val="21"/>
                      <w:lang w:val="en-US" w:eastAsia="zh-CN"/>
                    </w:rPr>
                    <w:t>500</w:t>
                  </w:r>
                </w:p>
              </w:tc>
              <w:tc>
                <w:tcPr>
                  <w:tcW w:w="765" w:type="dxa"/>
                  <w:tcBorders>
                    <w:left w:val="single" w:color="auto" w:sz="4" w:space="0"/>
                  </w:tcBorders>
                  <w:noWrap w:val="0"/>
                  <w:vAlign w:val="center"/>
                </w:tcPr>
                <w:p w14:paraId="09639EF3">
                  <w:pPr>
                    <w:jc w:val="center"/>
                    <w:rPr>
                      <w:rFonts w:hint="default" w:ascii="Times New Roman" w:hAnsi="Times New Roman" w:eastAsia="宋体"/>
                      <w:bCs/>
                      <w:color w:val="auto"/>
                      <w:szCs w:val="21"/>
                      <w:lang w:val="en-US" w:eastAsia="zh-CN"/>
                    </w:rPr>
                  </w:pPr>
                  <w:r>
                    <w:rPr>
                      <w:rFonts w:hint="eastAsia"/>
                      <w:bCs/>
                      <w:color w:val="auto"/>
                      <w:szCs w:val="21"/>
                      <w:lang w:val="en-US" w:eastAsia="zh-CN"/>
                    </w:rPr>
                    <w:t>350</w:t>
                  </w:r>
                </w:p>
              </w:tc>
              <w:tc>
                <w:tcPr>
                  <w:tcW w:w="630" w:type="dxa"/>
                  <w:tcBorders>
                    <w:left w:val="single" w:color="auto" w:sz="4" w:space="0"/>
                    <w:right w:val="single" w:color="auto" w:sz="4" w:space="0"/>
                  </w:tcBorders>
                  <w:noWrap w:val="0"/>
                  <w:vAlign w:val="center"/>
                </w:tcPr>
                <w:p w14:paraId="512F7760">
                  <w:pPr>
                    <w:jc w:val="center"/>
                    <w:rPr>
                      <w:rFonts w:hint="default" w:ascii="Times New Roman" w:hAnsi="Times New Roman" w:eastAsia="宋体"/>
                      <w:bCs/>
                      <w:szCs w:val="21"/>
                      <w:lang w:val="en-US" w:eastAsia="zh-CN"/>
                    </w:rPr>
                  </w:pPr>
                  <w:r>
                    <w:rPr>
                      <w:rFonts w:hint="eastAsia"/>
                      <w:bCs/>
                      <w:szCs w:val="21"/>
                      <w:lang w:val="en-US" w:eastAsia="zh-CN"/>
                    </w:rPr>
                    <w:t>400</w:t>
                  </w:r>
                </w:p>
              </w:tc>
              <w:tc>
                <w:tcPr>
                  <w:tcW w:w="660" w:type="dxa"/>
                  <w:tcBorders>
                    <w:left w:val="single" w:color="auto" w:sz="4" w:space="0"/>
                    <w:right w:val="single" w:color="auto" w:sz="4" w:space="0"/>
                  </w:tcBorders>
                  <w:noWrap w:val="0"/>
                  <w:vAlign w:val="center"/>
                </w:tcPr>
                <w:p w14:paraId="316F6977">
                  <w:pPr>
                    <w:jc w:val="center"/>
                    <w:rPr>
                      <w:rFonts w:hint="default" w:ascii="Times New Roman" w:hAnsi="Times New Roman" w:eastAsia="宋体"/>
                      <w:bCs/>
                      <w:szCs w:val="21"/>
                      <w:lang w:val="en-US" w:eastAsia="zh-CN"/>
                    </w:rPr>
                  </w:pPr>
                  <w:r>
                    <w:rPr>
                      <w:rFonts w:hint="eastAsia"/>
                      <w:bCs/>
                      <w:szCs w:val="21"/>
                      <w:lang w:val="en-US" w:eastAsia="zh-CN"/>
                    </w:rPr>
                    <w:t>45</w:t>
                  </w:r>
                </w:p>
              </w:tc>
              <w:tc>
                <w:tcPr>
                  <w:tcW w:w="780" w:type="dxa"/>
                  <w:tcBorders>
                    <w:left w:val="single" w:color="auto" w:sz="4" w:space="0"/>
                    <w:right w:val="single" w:color="auto" w:sz="4" w:space="0"/>
                  </w:tcBorders>
                  <w:noWrap w:val="0"/>
                  <w:vAlign w:val="center"/>
                </w:tcPr>
                <w:p w14:paraId="321FBC70">
                  <w:pPr>
                    <w:jc w:val="center"/>
                    <w:rPr>
                      <w:rFonts w:hint="eastAsia"/>
                      <w:bCs/>
                      <w:szCs w:val="21"/>
                      <w:lang w:val="en-US" w:eastAsia="zh-CN"/>
                    </w:rPr>
                  </w:pPr>
                  <w:r>
                    <w:rPr>
                      <w:rFonts w:hint="eastAsia"/>
                      <w:bCs/>
                      <w:szCs w:val="21"/>
                      <w:lang w:val="en-US" w:eastAsia="zh-CN"/>
                    </w:rPr>
                    <w:t>/</w:t>
                  </w:r>
                </w:p>
              </w:tc>
              <w:tc>
                <w:tcPr>
                  <w:tcW w:w="880" w:type="dxa"/>
                  <w:tcBorders>
                    <w:left w:val="single" w:color="auto" w:sz="4" w:space="0"/>
                    <w:right w:val="single" w:color="auto" w:sz="4" w:space="0"/>
                  </w:tcBorders>
                  <w:noWrap w:val="0"/>
                  <w:vAlign w:val="center"/>
                </w:tcPr>
                <w:p w14:paraId="4AA713E7">
                  <w:pPr>
                    <w:jc w:val="center"/>
                    <w:rPr>
                      <w:rFonts w:hint="default"/>
                      <w:bCs/>
                      <w:szCs w:val="21"/>
                      <w:lang w:val="en-US" w:eastAsia="zh-CN"/>
                    </w:rPr>
                  </w:pPr>
                  <w:r>
                    <w:rPr>
                      <w:rFonts w:hint="eastAsia"/>
                      <w:bCs/>
                      <w:szCs w:val="21"/>
                      <w:lang w:val="en-US" w:eastAsia="zh-CN"/>
                    </w:rPr>
                    <w:t>8.0</w:t>
                  </w:r>
                </w:p>
              </w:tc>
              <w:tc>
                <w:tcPr>
                  <w:tcW w:w="779" w:type="dxa"/>
                  <w:tcBorders>
                    <w:left w:val="single" w:color="auto" w:sz="4" w:space="0"/>
                    <w:right w:val="single" w:color="auto" w:sz="4" w:space="0"/>
                  </w:tcBorders>
                  <w:noWrap w:val="0"/>
                  <w:vAlign w:val="center"/>
                </w:tcPr>
                <w:p w14:paraId="4E195BC7">
                  <w:pPr>
                    <w:jc w:val="center"/>
                    <w:rPr>
                      <w:rFonts w:hint="eastAsia"/>
                      <w:bCs/>
                      <w:szCs w:val="21"/>
                      <w:lang w:val="en-US" w:eastAsia="zh-CN"/>
                    </w:rPr>
                  </w:pPr>
                  <w:r>
                    <w:rPr>
                      <w:rFonts w:hint="eastAsia"/>
                      <w:bCs/>
                      <w:szCs w:val="21"/>
                      <w:lang w:val="en-US" w:eastAsia="zh-CN"/>
                    </w:rPr>
                    <w:t>70</w:t>
                  </w:r>
                </w:p>
              </w:tc>
            </w:tr>
            <w:tr w14:paraId="59BD9ABC">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rPr>
                <w:trHeight w:val="655" w:hRule="atLeast"/>
                <w:jc w:val="center"/>
              </w:trPr>
              <w:tc>
                <w:tcPr>
                  <w:tcW w:w="2658" w:type="dxa"/>
                  <w:noWrap w:val="0"/>
                  <w:vAlign w:val="center"/>
                </w:tcPr>
                <w:p w14:paraId="643ED25E">
                  <w:pPr>
                    <w:jc w:val="center"/>
                    <w:rPr>
                      <w:rFonts w:ascii="Times New Roman" w:hAnsi="Times New Roman"/>
                      <w:bCs/>
                      <w:szCs w:val="21"/>
                    </w:rPr>
                  </w:pPr>
                  <w:r>
                    <w:rPr>
                      <w:rFonts w:ascii="Times New Roman" w:hAnsi="Times New Roman"/>
                      <w:bCs/>
                      <w:szCs w:val="21"/>
                    </w:rPr>
                    <w:t>《城镇污水处理厂污染物排放标准》（GB18918-2002）一级标准中A类标准</w:t>
                  </w:r>
                </w:p>
              </w:tc>
              <w:tc>
                <w:tcPr>
                  <w:tcW w:w="1005" w:type="dxa"/>
                  <w:tcBorders>
                    <w:right w:val="single" w:color="auto" w:sz="4" w:space="0"/>
                  </w:tcBorders>
                  <w:noWrap w:val="0"/>
                  <w:vAlign w:val="center"/>
                </w:tcPr>
                <w:p w14:paraId="1AFAE338">
                  <w:pPr>
                    <w:jc w:val="center"/>
                    <w:rPr>
                      <w:rFonts w:ascii="Times New Roman" w:hAnsi="Times New Roman"/>
                      <w:bCs/>
                      <w:szCs w:val="21"/>
                    </w:rPr>
                  </w:pPr>
                  <w:r>
                    <w:rPr>
                      <w:rFonts w:ascii="Times New Roman" w:hAnsi="Times New Roman"/>
                      <w:bCs/>
                      <w:szCs w:val="21"/>
                    </w:rPr>
                    <w:t>6～9</w:t>
                  </w:r>
                </w:p>
              </w:tc>
              <w:tc>
                <w:tcPr>
                  <w:tcW w:w="720" w:type="dxa"/>
                  <w:tcBorders>
                    <w:left w:val="single" w:color="auto" w:sz="4" w:space="0"/>
                    <w:right w:val="single" w:color="auto" w:sz="4" w:space="0"/>
                  </w:tcBorders>
                  <w:noWrap w:val="0"/>
                  <w:vAlign w:val="center"/>
                </w:tcPr>
                <w:p w14:paraId="00F7FA25">
                  <w:pPr>
                    <w:jc w:val="center"/>
                    <w:rPr>
                      <w:rFonts w:hint="default" w:ascii="Times New Roman" w:hAnsi="Times New Roman" w:eastAsia="宋体"/>
                      <w:bCs/>
                      <w:szCs w:val="21"/>
                      <w:lang w:val="en-US" w:eastAsia="zh-CN"/>
                    </w:rPr>
                  </w:pPr>
                  <w:r>
                    <w:rPr>
                      <w:rFonts w:hint="eastAsia"/>
                      <w:bCs/>
                      <w:szCs w:val="21"/>
                      <w:lang w:val="en-US" w:eastAsia="zh-CN"/>
                    </w:rPr>
                    <w:t>50</w:t>
                  </w:r>
                </w:p>
              </w:tc>
              <w:tc>
                <w:tcPr>
                  <w:tcW w:w="765" w:type="dxa"/>
                  <w:tcBorders>
                    <w:left w:val="single" w:color="auto" w:sz="4" w:space="0"/>
                  </w:tcBorders>
                  <w:noWrap w:val="0"/>
                  <w:vAlign w:val="center"/>
                </w:tcPr>
                <w:p w14:paraId="495C5F9F">
                  <w:pPr>
                    <w:jc w:val="center"/>
                    <w:rPr>
                      <w:rFonts w:hint="default" w:ascii="Times New Roman" w:hAnsi="Times New Roman" w:eastAsia="宋体"/>
                      <w:bCs/>
                      <w:szCs w:val="21"/>
                      <w:lang w:val="en-US" w:eastAsia="zh-CN"/>
                    </w:rPr>
                  </w:pPr>
                  <w:r>
                    <w:rPr>
                      <w:rFonts w:hint="eastAsia"/>
                      <w:bCs/>
                      <w:szCs w:val="21"/>
                      <w:lang w:val="en-US" w:eastAsia="zh-CN"/>
                    </w:rPr>
                    <w:t>10</w:t>
                  </w:r>
                </w:p>
              </w:tc>
              <w:tc>
                <w:tcPr>
                  <w:tcW w:w="630" w:type="dxa"/>
                  <w:tcBorders>
                    <w:left w:val="single" w:color="auto" w:sz="4" w:space="0"/>
                    <w:right w:val="single" w:color="auto" w:sz="4" w:space="0"/>
                  </w:tcBorders>
                  <w:noWrap w:val="0"/>
                  <w:vAlign w:val="center"/>
                </w:tcPr>
                <w:p w14:paraId="4BF313FE">
                  <w:pPr>
                    <w:jc w:val="center"/>
                    <w:rPr>
                      <w:rFonts w:ascii="Times New Roman" w:hAnsi="Times New Roman"/>
                      <w:bCs/>
                      <w:szCs w:val="21"/>
                    </w:rPr>
                  </w:pPr>
                  <w:r>
                    <w:rPr>
                      <w:rFonts w:ascii="Times New Roman" w:hAnsi="Times New Roman"/>
                      <w:bCs/>
                      <w:szCs w:val="21"/>
                    </w:rPr>
                    <w:t>10</w:t>
                  </w:r>
                </w:p>
              </w:tc>
              <w:tc>
                <w:tcPr>
                  <w:tcW w:w="660" w:type="dxa"/>
                  <w:tcBorders>
                    <w:left w:val="single" w:color="auto" w:sz="4" w:space="0"/>
                    <w:right w:val="single" w:color="auto" w:sz="4" w:space="0"/>
                  </w:tcBorders>
                  <w:noWrap w:val="0"/>
                  <w:vAlign w:val="center"/>
                </w:tcPr>
                <w:p w14:paraId="32FAEF74">
                  <w:pPr>
                    <w:jc w:val="center"/>
                    <w:rPr>
                      <w:rFonts w:hint="eastAsia" w:ascii="Times New Roman" w:hAnsi="Times New Roman" w:eastAsia="宋体"/>
                      <w:bCs/>
                      <w:szCs w:val="21"/>
                      <w:lang w:val="en-US" w:eastAsia="zh-CN"/>
                    </w:rPr>
                  </w:pPr>
                  <w:r>
                    <w:rPr>
                      <w:rFonts w:hint="eastAsia"/>
                      <w:bCs/>
                      <w:szCs w:val="21"/>
                      <w:lang w:val="en-US" w:eastAsia="zh-CN"/>
                    </w:rPr>
                    <w:t>5</w:t>
                  </w:r>
                </w:p>
              </w:tc>
              <w:tc>
                <w:tcPr>
                  <w:tcW w:w="780" w:type="dxa"/>
                  <w:tcBorders>
                    <w:left w:val="single" w:color="auto" w:sz="4" w:space="0"/>
                    <w:right w:val="single" w:color="auto" w:sz="4" w:space="0"/>
                  </w:tcBorders>
                  <w:noWrap w:val="0"/>
                  <w:vAlign w:val="center"/>
                </w:tcPr>
                <w:p w14:paraId="5FBE3BEE">
                  <w:pPr>
                    <w:jc w:val="center"/>
                    <w:rPr>
                      <w:rFonts w:hint="eastAsia"/>
                      <w:bCs/>
                      <w:szCs w:val="21"/>
                      <w:lang w:val="en-US" w:eastAsia="zh-CN"/>
                    </w:rPr>
                  </w:pPr>
                  <w:r>
                    <w:rPr>
                      <w:rFonts w:hint="eastAsia"/>
                      <w:bCs/>
                      <w:szCs w:val="21"/>
                      <w:lang w:val="en-US" w:eastAsia="zh-CN"/>
                    </w:rPr>
                    <w:t>1</w:t>
                  </w:r>
                </w:p>
              </w:tc>
              <w:tc>
                <w:tcPr>
                  <w:tcW w:w="880" w:type="dxa"/>
                  <w:tcBorders>
                    <w:left w:val="single" w:color="auto" w:sz="4" w:space="0"/>
                    <w:right w:val="single" w:color="auto" w:sz="4" w:space="0"/>
                  </w:tcBorders>
                  <w:noWrap w:val="0"/>
                  <w:vAlign w:val="center"/>
                </w:tcPr>
                <w:p w14:paraId="7B9E3C47">
                  <w:pPr>
                    <w:jc w:val="center"/>
                    <w:rPr>
                      <w:rFonts w:hint="default"/>
                      <w:bCs/>
                      <w:szCs w:val="21"/>
                      <w:lang w:val="en-US" w:eastAsia="zh-CN"/>
                    </w:rPr>
                  </w:pPr>
                  <w:r>
                    <w:rPr>
                      <w:rFonts w:hint="eastAsia"/>
                      <w:bCs/>
                      <w:szCs w:val="21"/>
                      <w:lang w:val="en-US" w:eastAsia="zh-CN"/>
                    </w:rPr>
                    <w:t>0.5</w:t>
                  </w:r>
                </w:p>
              </w:tc>
              <w:tc>
                <w:tcPr>
                  <w:tcW w:w="779" w:type="dxa"/>
                  <w:tcBorders>
                    <w:left w:val="single" w:color="auto" w:sz="4" w:space="0"/>
                    <w:right w:val="single" w:color="auto" w:sz="4" w:space="0"/>
                  </w:tcBorders>
                  <w:noWrap w:val="0"/>
                  <w:vAlign w:val="center"/>
                </w:tcPr>
                <w:p w14:paraId="523E7A9F">
                  <w:pPr>
                    <w:jc w:val="center"/>
                    <w:rPr>
                      <w:rFonts w:hint="eastAsia"/>
                      <w:bCs/>
                      <w:szCs w:val="21"/>
                      <w:lang w:val="en-US" w:eastAsia="zh-CN"/>
                    </w:rPr>
                  </w:pPr>
                  <w:r>
                    <w:rPr>
                      <w:rFonts w:hint="eastAsia"/>
                      <w:bCs/>
                      <w:szCs w:val="21"/>
                      <w:lang w:val="en-US" w:eastAsia="zh-CN"/>
                    </w:rPr>
                    <w:t>15</w:t>
                  </w:r>
                </w:p>
              </w:tc>
            </w:tr>
          </w:tbl>
          <w:p w14:paraId="3139727A">
            <w:pPr>
              <w:adjustRightInd w:val="0"/>
              <w:snapToGrid w:val="0"/>
              <w:spacing w:line="360" w:lineRule="auto"/>
              <w:rPr>
                <w:b/>
                <w:sz w:val="24"/>
              </w:rPr>
            </w:pPr>
            <w:r>
              <w:rPr>
                <w:b/>
                <w:sz w:val="24"/>
              </w:rPr>
              <w:t>3、噪声</w:t>
            </w:r>
          </w:p>
          <w:p w14:paraId="6B0D3D26">
            <w:pPr>
              <w:spacing w:line="360" w:lineRule="auto"/>
              <w:ind w:firstLine="480" w:firstLineChars="200"/>
              <w:rPr>
                <w:sz w:val="24"/>
                <w:szCs w:val="24"/>
              </w:rPr>
            </w:pPr>
            <w:r>
              <w:rPr>
                <w:rFonts w:ascii="Times New Roman" w:hAnsi="Times New Roman"/>
                <w:sz w:val="24"/>
              </w:rPr>
              <w:t>本项目</w:t>
            </w:r>
            <w:r>
              <w:rPr>
                <w:rFonts w:hint="eastAsia" w:ascii="Times New Roman" w:hAnsi="Times New Roman"/>
                <w:sz w:val="24"/>
              </w:rPr>
              <w:t>施工期噪声执行《建筑施工厂界环境噪声排放标准》（GB12523-2011）中的标准要求，</w:t>
            </w:r>
            <w:r>
              <w:rPr>
                <w:sz w:val="24"/>
              </w:rPr>
              <w:t>营运期</w:t>
            </w:r>
            <w:r>
              <w:rPr>
                <w:rFonts w:hint="eastAsia"/>
                <w:sz w:val="24"/>
                <w:lang w:eastAsia="zh-CN"/>
              </w:rPr>
              <w:t>厂界</w:t>
            </w:r>
            <w:r>
              <w:rPr>
                <w:sz w:val="24"/>
              </w:rPr>
              <w:t>噪声执行《工业企业厂界环境噪声排放标准》（GB12348-2008）中3类标准</w:t>
            </w:r>
            <w:r>
              <w:rPr>
                <w:sz w:val="24"/>
                <w:szCs w:val="24"/>
              </w:rPr>
              <w:t>。</w:t>
            </w:r>
          </w:p>
          <w:p w14:paraId="6CD93C33">
            <w:pPr>
              <w:adjustRightInd w:val="0"/>
              <w:spacing w:line="240" w:lineRule="auto"/>
              <w:ind w:left="400"/>
              <w:jc w:val="center"/>
              <w:rPr>
                <w:b/>
                <w:sz w:val="21"/>
                <w:szCs w:val="21"/>
              </w:rPr>
            </w:pPr>
            <w:r>
              <w:rPr>
                <w:b/>
                <w:sz w:val="21"/>
                <w:szCs w:val="21"/>
              </w:rPr>
              <w:t>表3-</w:t>
            </w:r>
            <w:r>
              <w:rPr>
                <w:rFonts w:hint="eastAsia"/>
                <w:b/>
                <w:sz w:val="21"/>
                <w:szCs w:val="21"/>
                <w:lang w:val="en-US" w:eastAsia="zh-CN"/>
              </w:rPr>
              <w:t xml:space="preserve">7 </w:t>
            </w:r>
            <w:r>
              <w:rPr>
                <w:b/>
                <w:sz w:val="21"/>
                <w:szCs w:val="21"/>
              </w:rPr>
              <w:t>工业企业厂界环境噪声排放标准  单位：dB（A）</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4"/>
              <w:gridCol w:w="2202"/>
              <w:gridCol w:w="2202"/>
            </w:tblGrid>
            <w:tr w14:paraId="0383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9" w:type="pct"/>
                  <w:vAlign w:val="center"/>
                </w:tcPr>
                <w:p w14:paraId="30DB67BB">
                  <w:pPr>
                    <w:snapToGrid w:val="0"/>
                    <w:jc w:val="center"/>
                    <w:rPr>
                      <w:szCs w:val="21"/>
                    </w:rPr>
                  </w:pPr>
                  <w:r>
                    <w:rPr>
                      <w:szCs w:val="21"/>
                    </w:rPr>
                    <w:t>标准</w:t>
                  </w:r>
                </w:p>
              </w:tc>
              <w:tc>
                <w:tcPr>
                  <w:tcW w:w="1249" w:type="pct"/>
                  <w:vAlign w:val="center"/>
                </w:tcPr>
                <w:p w14:paraId="09C47030">
                  <w:pPr>
                    <w:snapToGrid w:val="0"/>
                    <w:jc w:val="center"/>
                    <w:rPr>
                      <w:szCs w:val="21"/>
                    </w:rPr>
                  </w:pPr>
                  <w:r>
                    <w:rPr>
                      <w:szCs w:val="21"/>
                    </w:rPr>
                    <w:t>昼间</w:t>
                  </w:r>
                </w:p>
              </w:tc>
              <w:tc>
                <w:tcPr>
                  <w:tcW w:w="1250" w:type="pct"/>
                  <w:vAlign w:val="center"/>
                </w:tcPr>
                <w:p w14:paraId="0F8B32B5">
                  <w:pPr>
                    <w:snapToGrid w:val="0"/>
                    <w:jc w:val="center"/>
                    <w:rPr>
                      <w:szCs w:val="21"/>
                    </w:rPr>
                  </w:pPr>
                  <w:r>
                    <w:rPr>
                      <w:szCs w:val="21"/>
                    </w:rPr>
                    <w:t>夜间</w:t>
                  </w:r>
                </w:p>
              </w:tc>
            </w:tr>
            <w:tr w14:paraId="10BD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03" w:type="dxa"/>
                  <w:vAlign w:val="center"/>
                </w:tcPr>
                <w:p w14:paraId="0F466C30">
                  <w:pPr>
                    <w:pStyle w:val="37"/>
                    <w:spacing w:line="240" w:lineRule="auto"/>
                    <w:ind w:firstLine="0" w:firstLineChars="0"/>
                    <w:jc w:val="center"/>
                    <w:rPr>
                      <w:szCs w:val="21"/>
                    </w:rPr>
                  </w:pPr>
                  <w:r>
                    <w:rPr>
                      <w:rFonts w:hint="eastAsia"/>
                      <w:color w:val="000000"/>
                      <w:spacing w:val="0"/>
                      <w:position w:val="0"/>
                      <w:sz w:val="21"/>
                      <w:highlight w:val="none"/>
                    </w:rPr>
                    <w:t>《建筑施工场界环境噪声排放标准》（GB12523-2011）</w:t>
                  </w:r>
                </w:p>
              </w:tc>
              <w:tc>
                <w:tcPr>
                  <w:tcW w:w="2201" w:type="dxa"/>
                  <w:vAlign w:val="center"/>
                </w:tcPr>
                <w:p w14:paraId="1A1EFDD3">
                  <w:pPr>
                    <w:pStyle w:val="37"/>
                    <w:spacing w:line="240" w:lineRule="auto"/>
                    <w:ind w:firstLine="0" w:firstLineChars="0"/>
                    <w:jc w:val="center"/>
                    <w:rPr>
                      <w:szCs w:val="21"/>
                    </w:rPr>
                  </w:pPr>
                  <w:r>
                    <w:rPr>
                      <w:rFonts w:hint="eastAsia"/>
                      <w:color w:val="000000"/>
                      <w:spacing w:val="0"/>
                      <w:position w:val="0"/>
                      <w:sz w:val="21"/>
                      <w:highlight w:val="none"/>
                      <w:lang w:val="en-US" w:eastAsia="zh-CN"/>
                    </w:rPr>
                    <w:t>70</w:t>
                  </w:r>
                </w:p>
              </w:tc>
              <w:tc>
                <w:tcPr>
                  <w:tcW w:w="2203" w:type="dxa"/>
                  <w:vAlign w:val="center"/>
                </w:tcPr>
                <w:p w14:paraId="69A08705">
                  <w:pPr>
                    <w:pStyle w:val="37"/>
                    <w:spacing w:line="240" w:lineRule="auto"/>
                    <w:ind w:firstLine="0" w:firstLineChars="0"/>
                    <w:jc w:val="center"/>
                    <w:rPr>
                      <w:szCs w:val="21"/>
                    </w:rPr>
                  </w:pPr>
                  <w:r>
                    <w:rPr>
                      <w:rFonts w:hint="eastAsia"/>
                      <w:color w:val="000000"/>
                      <w:spacing w:val="0"/>
                      <w:position w:val="0"/>
                      <w:sz w:val="21"/>
                      <w:highlight w:val="none"/>
                      <w:lang w:val="en-US" w:eastAsia="zh-CN"/>
                    </w:rPr>
                    <w:t>55</w:t>
                  </w:r>
                </w:p>
              </w:tc>
            </w:tr>
            <w:tr w14:paraId="24A8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499" w:type="pct"/>
                  <w:vAlign w:val="center"/>
                </w:tcPr>
                <w:p w14:paraId="57C43C18">
                  <w:pPr>
                    <w:snapToGrid w:val="0"/>
                    <w:jc w:val="center"/>
                    <w:rPr>
                      <w:szCs w:val="21"/>
                    </w:rPr>
                  </w:pPr>
                  <w:r>
                    <w:rPr>
                      <w:szCs w:val="21"/>
                    </w:rPr>
                    <w:t>《工业企业厂界环境噪声排放标准》（GB12348-2008）3类</w:t>
                  </w:r>
                </w:p>
              </w:tc>
              <w:tc>
                <w:tcPr>
                  <w:tcW w:w="1249" w:type="pct"/>
                  <w:vAlign w:val="center"/>
                </w:tcPr>
                <w:p w14:paraId="479CF7EB">
                  <w:pPr>
                    <w:snapToGrid w:val="0"/>
                    <w:jc w:val="center"/>
                    <w:rPr>
                      <w:szCs w:val="21"/>
                    </w:rPr>
                  </w:pPr>
                  <w:r>
                    <w:rPr>
                      <w:szCs w:val="21"/>
                    </w:rPr>
                    <w:t>65</w:t>
                  </w:r>
                </w:p>
              </w:tc>
              <w:tc>
                <w:tcPr>
                  <w:tcW w:w="1250" w:type="pct"/>
                  <w:vAlign w:val="center"/>
                </w:tcPr>
                <w:p w14:paraId="4C4021A4">
                  <w:pPr>
                    <w:snapToGrid w:val="0"/>
                    <w:jc w:val="center"/>
                    <w:rPr>
                      <w:szCs w:val="21"/>
                    </w:rPr>
                  </w:pPr>
                  <w:r>
                    <w:rPr>
                      <w:szCs w:val="21"/>
                    </w:rPr>
                    <w:t>55</w:t>
                  </w:r>
                </w:p>
              </w:tc>
            </w:tr>
          </w:tbl>
          <w:p w14:paraId="5F1F4463">
            <w:pPr>
              <w:adjustRightInd w:val="0"/>
              <w:snapToGrid w:val="0"/>
              <w:spacing w:line="360" w:lineRule="auto"/>
              <w:rPr>
                <w:rFonts w:hint="default" w:ascii="Times New Roman" w:hAnsi="Times New Roman" w:cs="Times New Roman"/>
                <w:b/>
                <w:sz w:val="24"/>
              </w:rPr>
            </w:pPr>
            <w:r>
              <w:rPr>
                <w:b/>
                <w:sz w:val="24"/>
              </w:rPr>
              <w:t>4、固</w:t>
            </w:r>
            <w:r>
              <w:rPr>
                <w:rFonts w:hint="default" w:ascii="Times New Roman" w:hAnsi="Times New Roman" w:cs="Times New Roman"/>
                <w:b/>
                <w:sz w:val="24"/>
              </w:rPr>
              <w:t>体废物</w:t>
            </w:r>
          </w:p>
          <w:p w14:paraId="7F319D6E">
            <w:pPr>
              <w:pStyle w:val="23"/>
              <w:spacing w:before="0" w:beforeAutospacing="0" w:after="0" w:afterAutospacing="0" w:line="360" w:lineRule="auto"/>
              <w:ind w:firstLine="480" w:firstLineChars="200"/>
              <w:jc w:val="both"/>
              <w:rPr>
                <w:b/>
                <w:sz w:val="24"/>
                <w:szCs w:val="24"/>
              </w:rPr>
            </w:pPr>
            <w:r>
              <w:rPr>
                <w:rFonts w:hint="default" w:ascii="Times New Roman" w:hAnsi="Times New Roman" w:cs="Times New Roman"/>
              </w:rPr>
              <w:t>一般工业固体废物</w:t>
            </w:r>
            <w:r>
              <w:rPr>
                <w:rFonts w:hint="default" w:ascii="Times New Roman" w:hAnsi="Times New Roman" w:cs="Times New Roman"/>
                <w:color w:val="auto"/>
              </w:rPr>
              <w:t>贮存执行</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lang w:eastAsia="zh-CN"/>
              </w:rPr>
              <w:t>安徽省实施〈中华人民共和国固体废物污染环境防治法〉办法</w:t>
            </w:r>
            <w:r>
              <w:rPr>
                <w:rFonts w:hint="default" w:ascii="Times New Roman" w:hAnsi="Times New Roman" w:cs="Times New Roman"/>
                <w:color w:val="auto"/>
                <w:kern w:val="0"/>
                <w:sz w:val="24"/>
                <w:szCs w:val="24"/>
              </w:rPr>
              <w:t>》</w:t>
            </w:r>
            <w:r>
              <w:rPr>
                <w:rFonts w:hint="eastAsia" w:ascii="Times New Roman" w:hAnsi="Times New Roman" w:eastAsia="宋体" w:cs="Times New Roman"/>
                <w:bCs/>
                <w:color w:val="auto"/>
                <w:sz w:val="24"/>
                <w:lang w:eastAsia="zh-CN"/>
              </w:rPr>
              <w:t>及</w:t>
            </w:r>
            <w:r>
              <w:rPr>
                <w:rFonts w:hint="default" w:ascii="Times New Roman" w:hAnsi="Times New Roman" w:eastAsia="宋体" w:cs="Times New Roman"/>
                <w:bCs/>
                <w:color w:val="auto"/>
                <w:sz w:val="24"/>
              </w:rPr>
              <w:t>《一般工业固体废物贮存和填埋污染控制标准》（GB18599-2020）</w:t>
            </w:r>
            <w:r>
              <w:rPr>
                <w:rFonts w:hint="default" w:ascii="Times New Roman" w:hAnsi="Times New Roman" w:cs="Times New Roman"/>
                <w:color w:val="auto"/>
                <w:sz w:val="24"/>
                <w:lang w:eastAsia="zh-CN"/>
              </w:rPr>
              <w:t>；</w:t>
            </w:r>
            <w:r>
              <w:rPr>
                <w:rFonts w:hint="default" w:ascii="Times New Roman" w:hAnsi="Times New Roman" w:cs="Times New Roman"/>
                <w:color w:val="auto"/>
                <w:kern w:val="0"/>
                <w:sz w:val="24"/>
                <w:szCs w:val="24"/>
              </w:rPr>
              <w:t>危险废物执行《危险废物贮存污染控制标准》（GB18597-20</w:t>
            </w:r>
            <w:r>
              <w:rPr>
                <w:rFonts w:hint="eastAsia" w:ascii="Times New Roman" w:hAnsi="Times New Roman" w:cs="Times New Roman"/>
                <w:color w:val="auto"/>
                <w:kern w:val="0"/>
                <w:sz w:val="24"/>
                <w:szCs w:val="24"/>
                <w:lang w:val="en-US" w:eastAsia="zh-CN"/>
              </w:rPr>
              <w:t>23</w:t>
            </w:r>
            <w:r>
              <w:rPr>
                <w:rFonts w:hint="default" w:ascii="Times New Roman" w:hAnsi="Times New Roman" w:cs="Times New Roman"/>
                <w:color w:val="auto"/>
                <w:kern w:val="0"/>
                <w:sz w:val="24"/>
                <w:szCs w:val="24"/>
              </w:rPr>
              <w:t>）中相</w:t>
            </w:r>
            <w:r>
              <w:rPr>
                <w:rFonts w:hint="default" w:ascii="Times New Roman" w:hAnsi="Times New Roman" w:cs="Times New Roman"/>
                <w:kern w:val="0"/>
                <w:sz w:val="24"/>
                <w:szCs w:val="24"/>
              </w:rPr>
              <w:t>关要求。</w:t>
            </w:r>
          </w:p>
        </w:tc>
      </w:tr>
      <w:tr w14:paraId="4ABC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5" w:hRule="atLeast"/>
        </w:trPr>
        <w:tc>
          <w:tcPr>
            <w:tcW w:w="534" w:type="dxa"/>
            <w:vAlign w:val="center"/>
          </w:tcPr>
          <w:p w14:paraId="32D33C94">
            <w:pPr>
              <w:adjustRightInd w:val="0"/>
              <w:snapToGrid w:val="0"/>
              <w:jc w:val="center"/>
              <w:rPr>
                <w:rFonts w:ascii="宋体" w:hAnsi="宋体" w:cs="宋体"/>
                <w:kern w:val="0"/>
                <w:sz w:val="24"/>
                <w:szCs w:val="24"/>
              </w:rPr>
            </w:pPr>
            <w:r>
              <w:rPr>
                <w:rFonts w:hint="eastAsia" w:ascii="宋体" w:hAnsi="宋体" w:cs="宋体"/>
                <w:kern w:val="0"/>
                <w:sz w:val="24"/>
                <w:szCs w:val="24"/>
              </w:rPr>
              <w:t>总量控制指标</w:t>
            </w:r>
          </w:p>
        </w:tc>
        <w:tc>
          <w:tcPr>
            <w:tcW w:w="9037" w:type="dxa"/>
          </w:tcPr>
          <w:p w14:paraId="0F2200B9">
            <w:pPr>
              <w:autoSpaceDE w:val="0"/>
              <w:autoSpaceDN w:val="0"/>
              <w:adjustRightIn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关于进一步加强建设项目新增大气主要污染物总量指标管理工作的通知（安徽省环保厅（皖环发【2017】19号）），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14:paraId="557EA6D3">
            <w:pPr>
              <w:pStyle w:val="63"/>
              <w:adjustRightIn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自2017年4月起，新增大气主要污染物排放的建设项目环境影响评价文件审批前必须取得的总量指标从两项增加为四项。在二氧化硫（</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rPr>
              <w:t>）、氮氧化物（NOx）的基础上增加烟（粉）尘、挥发性有机物（VOCs）两项指标。</w:t>
            </w:r>
          </w:p>
          <w:p w14:paraId="6B4D17FC">
            <w:pPr>
              <w:spacing w:line="360" w:lineRule="auto"/>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）废水总量</w:t>
            </w:r>
          </w:p>
          <w:p w14:paraId="6D1496C2">
            <w:pPr>
              <w:spacing w:line="360" w:lineRule="auto"/>
              <w:ind w:firstLine="480" w:firstLineChars="200"/>
              <w:rPr>
                <w:rFonts w:hint="eastAsia" w:cs="Times New Roman"/>
                <w:color w:val="auto"/>
                <w:sz w:val="24"/>
                <w:highlight w:val="none"/>
                <w:lang w:eastAsia="zh-CN"/>
              </w:rPr>
            </w:pPr>
            <w:r>
              <w:rPr>
                <w:rFonts w:hint="default" w:ascii="Times New Roman" w:hAnsi="Times New Roman" w:cs="Times New Roman"/>
                <w:b w:val="0"/>
                <w:bCs/>
                <w:color w:val="auto"/>
                <w:sz w:val="24"/>
                <w:szCs w:val="24"/>
              </w:rPr>
              <w:t>项目生活污水经</w:t>
            </w:r>
            <w:r>
              <w:rPr>
                <w:rFonts w:hint="default" w:ascii="Times New Roman" w:hAnsi="Times New Roman" w:cs="Times New Roman"/>
                <w:b w:val="0"/>
                <w:bCs/>
                <w:color w:val="auto"/>
                <w:sz w:val="24"/>
                <w:szCs w:val="24"/>
                <w:lang w:eastAsia="zh-CN"/>
              </w:rPr>
              <w:t>隔油池、</w:t>
            </w:r>
            <w:r>
              <w:rPr>
                <w:rFonts w:hint="default" w:ascii="Times New Roman" w:hAnsi="Times New Roman" w:cs="Times New Roman"/>
                <w:b w:val="0"/>
                <w:bCs/>
                <w:color w:val="auto"/>
                <w:sz w:val="24"/>
                <w:szCs w:val="24"/>
              </w:rPr>
              <w:t>化粪池</w:t>
            </w:r>
            <w:r>
              <w:rPr>
                <w:rFonts w:hint="default" w:ascii="Times New Roman" w:hAnsi="Times New Roman" w:cs="Times New Roman"/>
                <w:color w:val="auto"/>
                <w:sz w:val="24"/>
                <w:szCs w:val="24"/>
                <w:lang w:eastAsia="zh-CN"/>
              </w:rPr>
              <w:t>预处理，酸性废水和喷淋废水采用液碱在中和罐进行中和至中性后进入调节池，与纯水制备浓水、</w:t>
            </w:r>
            <w:r>
              <w:rPr>
                <w:rFonts w:hint="eastAsia" w:cs="Times New Roman"/>
                <w:color w:val="auto"/>
                <w:sz w:val="24"/>
                <w:szCs w:val="24"/>
                <w:lang w:eastAsia="zh-CN"/>
              </w:rPr>
              <w:t>反冲洗废水、</w:t>
            </w:r>
            <w:r>
              <w:rPr>
                <w:rFonts w:hint="eastAsia"/>
                <w:color w:val="auto"/>
                <w:sz w:val="24"/>
                <w:szCs w:val="24"/>
                <w:lang w:eastAsia="zh-CN"/>
              </w:rPr>
              <w:t>循环冷却排水、</w:t>
            </w:r>
            <w:r>
              <w:rPr>
                <w:rFonts w:hint="default" w:ascii="Times New Roman" w:hAnsi="Times New Roman" w:cs="Times New Roman"/>
                <w:color w:val="auto"/>
                <w:sz w:val="24"/>
                <w:szCs w:val="24"/>
                <w:lang w:eastAsia="zh-CN"/>
              </w:rPr>
              <w:t>生活污水</w:t>
            </w:r>
            <w:r>
              <w:rPr>
                <w:rFonts w:hint="eastAsia" w:cs="Times New Roman"/>
                <w:color w:val="auto"/>
                <w:sz w:val="24"/>
                <w:szCs w:val="24"/>
                <w:lang w:eastAsia="zh-CN"/>
              </w:rPr>
              <w:t>、初期雨水</w:t>
            </w:r>
            <w:r>
              <w:rPr>
                <w:rFonts w:hint="default" w:ascii="Times New Roman" w:hAnsi="Times New Roman" w:cs="Times New Roman"/>
                <w:color w:val="auto"/>
                <w:sz w:val="24"/>
                <w:szCs w:val="24"/>
                <w:lang w:eastAsia="zh-CN"/>
              </w:rPr>
              <w:t>一同排入园区污水管网，进入固镇经济开发区污水处理厂处理达标后排入北淝河下段。</w:t>
            </w:r>
          </w:p>
          <w:p w14:paraId="329E65A1">
            <w:pPr>
              <w:spacing w:line="360" w:lineRule="auto"/>
              <w:ind w:firstLine="480" w:firstLineChars="200"/>
              <w:rPr>
                <w:rFonts w:hint="default" w:ascii="Times New Roman" w:hAnsi="Times New Roman" w:eastAsia="宋体" w:cs="Times New Roman"/>
                <w:color w:val="auto"/>
                <w:sz w:val="24"/>
                <w:szCs w:val="24"/>
                <w:lang w:eastAsia="zh-CN"/>
              </w:rPr>
            </w:pPr>
            <w:r>
              <w:rPr>
                <w:color w:val="auto"/>
                <w:kern w:val="0"/>
                <w:sz w:val="24"/>
              </w:rPr>
              <w:t>项目</w:t>
            </w:r>
            <w:r>
              <w:rPr>
                <w:rFonts w:hint="eastAsia"/>
                <w:color w:val="auto"/>
                <w:kern w:val="0"/>
                <w:sz w:val="24"/>
              </w:rPr>
              <w:t>废水</w:t>
            </w:r>
            <w:r>
              <w:rPr>
                <w:color w:val="auto"/>
                <w:kern w:val="0"/>
                <w:sz w:val="24"/>
              </w:rPr>
              <w:t>总量控制指标为</w:t>
            </w:r>
            <w:r>
              <w:rPr>
                <w:rFonts w:hint="eastAsia"/>
                <w:color w:val="auto"/>
                <w:kern w:val="0"/>
                <w:sz w:val="24"/>
              </w:rPr>
              <w:t>COD：</w:t>
            </w:r>
            <w:r>
              <w:rPr>
                <w:rFonts w:hint="eastAsia"/>
                <w:color w:val="auto"/>
                <w:kern w:val="0"/>
                <w:sz w:val="24"/>
                <w:lang w:val="en-US" w:eastAsia="zh-CN"/>
              </w:rPr>
              <w:t>10.0676</w:t>
            </w:r>
            <w:r>
              <w:rPr>
                <w:rFonts w:hint="eastAsia"/>
                <w:color w:val="auto"/>
                <w:kern w:val="0"/>
                <w:sz w:val="24"/>
              </w:rPr>
              <w:t>t/a，NH</w:t>
            </w:r>
            <w:r>
              <w:rPr>
                <w:rFonts w:hint="eastAsia"/>
                <w:color w:val="auto"/>
                <w:kern w:val="0"/>
                <w:sz w:val="24"/>
                <w:vertAlign w:val="subscript"/>
              </w:rPr>
              <w:t>3</w:t>
            </w:r>
            <w:r>
              <w:rPr>
                <w:rFonts w:hint="eastAsia"/>
                <w:color w:val="auto"/>
                <w:kern w:val="0"/>
                <w:sz w:val="24"/>
              </w:rPr>
              <w:t>-N：</w:t>
            </w:r>
            <w:r>
              <w:rPr>
                <w:rFonts w:hint="eastAsia"/>
                <w:color w:val="auto"/>
                <w:kern w:val="0"/>
                <w:sz w:val="24"/>
                <w:lang w:val="en-US" w:eastAsia="zh-CN"/>
              </w:rPr>
              <w:t>1.0068</w:t>
            </w:r>
            <w:r>
              <w:rPr>
                <w:rFonts w:hint="eastAsia"/>
                <w:color w:val="auto"/>
                <w:kern w:val="0"/>
                <w:sz w:val="24"/>
              </w:rPr>
              <w:t>t/a</w:t>
            </w:r>
            <w:r>
              <w:rPr>
                <w:rFonts w:hint="default" w:ascii="Times New Roman" w:hAnsi="Times New Roman" w:eastAsia="宋体" w:cs="Times New Roman"/>
                <w:color w:val="auto"/>
                <w:sz w:val="24"/>
                <w:szCs w:val="24"/>
                <w:lang w:eastAsia="zh-CN"/>
              </w:rPr>
              <w:t>。</w:t>
            </w:r>
          </w:p>
          <w:p w14:paraId="3845AA7C">
            <w:pPr>
              <w:pStyle w:val="63"/>
              <w:adjustRightIn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）废气总量</w:t>
            </w:r>
          </w:p>
          <w:p w14:paraId="1850E0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eastAsia="zh-CN"/>
              </w:rPr>
              <w:t>项目大气总量涉及污染物为</w:t>
            </w:r>
            <w:r>
              <w:rPr>
                <w:rFonts w:hint="default" w:ascii="Times New Roman" w:hAnsi="Times New Roman" w:eastAsia="宋体" w:cs="Times New Roman"/>
                <w:color w:val="auto"/>
                <w:sz w:val="24"/>
                <w:szCs w:val="24"/>
              </w:rPr>
              <w:t>烟（粉）尘</w:t>
            </w:r>
            <w:r>
              <w:rPr>
                <w:rFonts w:hint="eastAsia" w:cs="Times New Roman"/>
                <w:color w:val="auto"/>
                <w:sz w:val="24"/>
                <w:szCs w:val="24"/>
                <w:lang w:val="en-US" w:eastAsia="zh-CN"/>
              </w:rPr>
              <w:t>。</w:t>
            </w:r>
          </w:p>
          <w:p w14:paraId="416606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rPr>
            </w:pPr>
            <w:r>
              <w:rPr>
                <w:color w:val="auto"/>
                <w:sz w:val="24"/>
                <w:szCs w:val="24"/>
              </w:rPr>
              <w:t>项目申请总量为</w:t>
            </w:r>
            <w:r>
              <w:rPr>
                <w:rFonts w:hint="default" w:ascii="Times New Roman" w:hAnsi="Times New Roman" w:eastAsia="宋体" w:cs="Times New Roman"/>
                <w:color w:val="auto"/>
                <w:sz w:val="24"/>
                <w:szCs w:val="24"/>
              </w:rPr>
              <w:t>烟（粉）尘</w:t>
            </w:r>
            <w:r>
              <w:rPr>
                <w:color w:val="auto"/>
                <w:sz w:val="24"/>
                <w:szCs w:val="24"/>
              </w:rPr>
              <w:t>：</w:t>
            </w:r>
            <w:r>
              <w:rPr>
                <w:rFonts w:hint="eastAsia"/>
                <w:color w:val="auto"/>
                <w:sz w:val="24"/>
                <w:szCs w:val="24"/>
                <w:lang w:val="en-US" w:eastAsia="zh-CN"/>
              </w:rPr>
              <w:t>0.416</w:t>
            </w:r>
            <w:r>
              <w:rPr>
                <w:color w:val="auto"/>
                <w:sz w:val="24"/>
                <w:szCs w:val="24"/>
              </w:rPr>
              <w:t>t/a</w:t>
            </w:r>
            <w:r>
              <w:rPr>
                <w:rFonts w:hint="eastAsia" w:ascii="Times New Roman" w:hAnsi="Times New Roman" w:eastAsia="宋体" w:cs="Times New Roman"/>
                <w:color w:val="auto"/>
                <w:sz w:val="24"/>
                <w:szCs w:val="24"/>
              </w:rPr>
              <w:t>。</w:t>
            </w:r>
          </w:p>
          <w:p w14:paraId="0280F1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p>
          <w:p w14:paraId="70ADB8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p>
          <w:p w14:paraId="0E5DFE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p>
          <w:p w14:paraId="161E5D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000000"/>
                <w:kern w:val="0"/>
                <w:sz w:val="24"/>
                <w:szCs w:val="24"/>
                <w:lang w:val="en-US" w:eastAsia="zh-CN" w:bidi="ar"/>
              </w:rPr>
            </w:pPr>
          </w:p>
          <w:p w14:paraId="09D277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 xml:space="preserve"> </w:t>
            </w:r>
          </w:p>
          <w:p w14:paraId="18C602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p>
          <w:p w14:paraId="145809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p>
          <w:p w14:paraId="76D973F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p>
          <w:p w14:paraId="34BDBA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eastAsia="宋体"/>
                <w:sz w:val="24"/>
                <w:lang w:val="en-US" w:eastAsia="zh-CN"/>
              </w:rPr>
            </w:pPr>
            <w:r>
              <w:rPr>
                <w:rFonts w:hint="eastAsia" w:cs="Times New Roman"/>
                <w:color w:val="FF0000"/>
                <w:sz w:val="24"/>
                <w:szCs w:val="24"/>
                <w:lang w:val="en-US" w:eastAsia="zh-CN"/>
              </w:rPr>
              <w:t xml:space="preserve"> </w:t>
            </w:r>
          </w:p>
        </w:tc>
      </w:tr>
    </w:tbl>
    <w:p w14:paraId="7D8D9F05">
      <w:pPr>
        <w:pStyle w:val="24"/>
        <w:jc w:val="both"/>
        <w:rPr>
          <w:rFonts w:hint="eastAsia"/>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3" w:name="_Toc6367"/>
    </w:p>
    <w:p w14:paraId="2C1D793B">
      <w:pPr>
        <w:pStyle w:val="24"/>
        <w:ind w:firstLine="2570" w:firstLineChars="800"/>
        <w:jc w:val="both"/>
        <w:rPr>
          <w:snapToGrid w:val="0"/>
        </w:rPr>
      </w:pPr>
      <w:r>
        <w:rPr>
          <w:rFonts w:hint="eastAsia"/>
          <w:snapToGrid w:val="0"/>
        </w:rPr>
        <w:t>四、主要环境影响和保护措施</w:t>
      </w:r>
      <w:bookmarkEnd w:id="3"/>
    </w:p>
    <w:tbl>
      <w:tblPr>
        <w:tblStyle w:val="25"/>
        <w:tblW w:w="95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037"/>
      </w:tblGrid>
      <w:tr w14:paraId="24E10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tcMar>
              <w:left w:w="28" w:type="dxa"/>
              <w:right w:w="28" w:type="dxa"/>
            </w:tcMar>
            <w:vAlign w:val="center"/>
          </w:tcPr>
          <w:p w14:paraId="532BEFA4">
            <w:pPr>
              <w:pStyle w:val="23"/>
              <w:adjustRightInd w:val="0"/>
              <w:snapToGrid w:val="0"/>
              <w:spacing w:before="0" w:beforeAutospacing="0" w:after="0" w:afterAutospacing="0"/>
              <w:jc w:val="center"/>
              <w:rPr>
                <w:rFonts w:cs="宋体"/>
                <w:bCs/>
                <w:kern w:val="2"/>
              </w:rPr>
            </w:pPr>
            <w:r>
              <w:rPr>
                <w:rFonts w:hint="eastAsia" w:cs="宋体"/>
                <w:kern w:val="2"/>
              </w:rPr>
              <w:t>施工期环境保护措施</w:t>
            </w:r>
          </w:p>
        </w:tc>
        <w:tc>
          <w:tcPr>
            <w:tcW w:w="9037" w:type="dxa"/>
            <w:vAlign w:val="center"/>
          </w:tcPr>
          <w:p w14:paraId="09F48FBF">
            <w:pPr>
              <w:numPr>
                <w:ilvl w:val="0"/>
                <w:numId w:val="0"/>
              </w:numPr>
              <w:adjustRightInd w:val="0"/>
              <w:snapToGrid w:val="0"/>
              <w:spacing w:line="360" w:lineRule="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1、</w:t>
            </w:r>
            <w:r>
              <w:rPr>
                <w:rFonts w:hint="default" w:ascii="Times New Roman" w:hAnsi="Times New Roman" w:eastAsia="宋体" w:cs="Times New Roman"/>
                <w:bCs/>
                <w:color w:val="auto"/>
                <w:spacing w:val="0"/>
                <w:position w:val="0"/>
                <w:sz w:val="24"/>
                <w:szCs w:val="24"/>
              </w:rPr>
              <w:t>废气防治措施</w:t>
            </w:r>
          </w:p>
          <w:p w14:paraId="7F88B402">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项目施工过程中的大气污染主要来自于施工场地的扬尘、施工机械的尾气和装修废气。这些废气的影响是局部的、暂时的，影响的程度及范围有限，随着施工期的结束而逐渐消失。</w:t>
            </w:r>
          </w:p>
          <w:p w14:paraId="7C5B086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施工期间应特别注意施工扬尘的防治问题，须制定必要的防治措施，以减少施工扬尘对周围环境的影响。</w:t>
            </w:r>
          </w:p>
          <w:p w14:paraId="65A30938">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首先，要加强现场管理，做好文明标化施工，采取配置工地滞尘防护网、设置围档和硬化道路，及车辆出场冲洗等措施，并采用商品混凝土建房，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p>
          <w:p w14:paraId="15DA6A3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减轻扬尘对区域环境空气质量的不利影响，在初期三通一平后，即应根据设计方案对规划中的公共绿地进行合理绿化，以减少表土的裸露。结合《安徽省大气污染防治行动计划实施方案》和《大气污染防治行动计划》（国发〔2013〕37号）中相关要求，项目施工期扬尘污染防治措施见下表。</w:t>
            </w:r>
          </w:p>
          <w:p w14:paraId="1A5B47D4">
            <w:pPr>
              <w:autoSpaceDE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表4-1</w:t>
            </w:r>
            <w:r>
              <w:rPr>
                <w:rFonts w:hint="default" w:ascii="Times New Roman" w:hAnsi="Times New Roman" w:eastAsia="宋体" w:cs="Times New Roman"/>
                <w:b/>
                <w:bCs/>
                <w:color w:val="auto"/>
                <w:sz w:val="21"/>
                <w:szCs w:val="21"/>
              </w:rPr>
              <w:tab/>
            </w:r>
            <w:r>
              <w:rPr>
                <w:rFonts w:hint="default" w:ascii="Times New Roman" w:hAnsi="Times New Roman" w:eastAsia="宋体" w:cs="Times New Roman"/>
                <w:b/>
                <w:bCs/>
                <w:color w:val="auto"/>
                <w:sz w:val="21"/>
                <w:szCs w:val="21"/>
              </w:rPr>
              <w:t>施工期废气污染防治措施</w:t>
            </w:r>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7785"/>
            </w:tblGrid>
            <w:tr w14:paraId="68AD3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1" w:type="pct"/>
                  <w:noWrap w:val="0"/>
                  <w:vAlign w:val="center"/>
                </w:tcPr>
                <w:p w14:paraId="726C71C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依据</w:t>
                  </w:r>
                </w:p>
              </w:tc>
              <w:tc>
                <w:tcPr>
                  <w:tcW w:w="4418" w:type="pct"/>
                  <w:noWrap w:val="0"/>
                  <w:vAlign w:val="center"/>
                </w:tcPr>
                <w:p w14:paraId="2F337231">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施工期扬尘污染防治措施</w:t>
                  </w:r>
                </w:p>
              </w:tc>
            </w:tr>
            <w:tr w14:paraId="5345D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81" w:type="pct"/>
                  <w:noWrap w:val="0"/>
                  <w:vAlign w:val="center"/>
                </w:tcPr>
                <w:p w14:paraId="581BEBD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《安徽</w:t>
                  </w:r>
                </w:p>
                <w:p w14:paraId="36A958E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省大气</w:t>
                  </w:r>
                </w:p>
                <w:p w14:paraId="76C57040">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污染防</w:t>
                  </w:r>
                </w:p>
                <w:p w14:paraId="72E0CDDF">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治行动</w:t>
                  </w:r>
                </w:p>
                <w:p w14:paraId="2FE64CF6">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计划实</w:t>
                  </w:r>
                </w:p>
                <w:p w14:paraId="058A42F2">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施方</w:t>
                  </w:r>
                </w:p>
                <w:p w14:paraId="215D2CFA">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案》和</w:t>
                  </w:r>
                </w:p>
                <w:p w14:paraId="7E4FCCA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《大气污染防</w:t>
                  </w:r>
                </w:p>
                <w:p w14:paraId="4DD6E7DC">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治行动</w:t>
                  </w:r>
                </w:p>
                <w:p w14:paraId="12664994">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计划》</w:t>
                  </w:r>
                </w:p>
                <w:p w14:paraId="048511CF">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（国发</w:t>
                  </w:r>
                </w:p>
                <w:p w14:paraId="73AA2B11">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〔2013</w:t>
                  </w:r>
                </w:p>
                <w:p w14:paraId="57EE071C">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p w14:paraId="0D8C739B">
                  <w:pPr>
                    <w:autoSpaceDE w:val="0"/>
                    <w:autoSpaceDN w:val="0"/>
                    <w:snapToGrid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号）</w:t>
                  </w:r>
                </w:p>
              </w:tc>
              <w:tc>
                <w:tcPr>
                  <w:tcW w:w="4418" w:type="pct"/>
                  <w:noWrap w:val="0"/>
                  <w:vAlign w:val="center"/>
                </w:tcPr>
                <w:p w14:paraId="4284F9EE">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施工现场实行围挡封闭。主要路段施工现场围挡高度不得低于2.5米，一般路段施工现场围挡高度不得低于1.8米。围档底边应当封闭并设置防溢沉淀井，不得有泥浆外漏。</w:t>
                  </w:r>
                </w:p>
                <w:p w14:paraId="1FA42807">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施工现场出入口道路实施混凝土硬化并配备车辆冲洗设施。对驶出施工现场的机动车辆冲洗干净，方可上路。</w:t>
                  </w:r>
                </w:p>
                <w:p w14:paraId="20858151">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施工现场内道路、加工区实施混凝土硬化。硬化后的地面，不得有浮土、积土，裸露场地应当采取覆盖或绿化措施。施工现场设置洒水降尘设施，安排专人定时洒水降尘。</w:t>
                  </w:r>
                </w:p>
                <w:p w14:paraId="5FFC33B3">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施工现场土方开挖后尽快完成回填，不能及时回填的场地，采取覆盖等防尘措施；砂石等散体材料集中堆放并覆盖。</w:t>
                  </w:r>
                </w:p>
                <w:p w14:paraId="672B3C53">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渣土等建筑垃圾集中、分类堆放，严密遮盖，采用封闭式管道或装袋清运，严禁高处抛洒。需要运输、处理的，按照市、县（区）政府市容环境卫生行政主管部门规定的时间、线路和要求，清运到指定的场所处理。清运过程中对出施工区路面采取清扫+罐车冲洗措施，保持路面洁净减少扬尘产生。外脚手架应当设置悬挂密目式安全网封闭，并保持严密整洁。</w:t>
                  </w:r>
                </w:p>
                <w:p w14:paraId="435DC506">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现场禁止焚烧沥青、油毡、橡胶、塑料、皮革、垃圾以及其他产生有毒有害烟尘和恶臭气体的物质。施工现场使用商品混凝土和预拌砂浆，搅拌混凝土和砂浆采取封闭、降尘措施。运进或运出工地的土方、砂石、粉煤灰、建筑垃圾等易产生扬尘的材料，应采取封闭运输。施工几近结束后，拆除工程工地的围挡应当使用金属或硬质板材材料，严禁使用各类砌筑墙体；拆除作业实行持续加压洒水或者喷淋方式作业；拆除作业后，场地闲置1个月以上的，用地单位对拆除后的裸露地面采取绿化等防尘措施。</w:t>
                  </w:r>
                </w:p>
                <w:p w14:paraId="1FE076FE">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根据《安徽省重污染天气应急预案》启动Ⅲ级（黄色）预警以上或气象预报风速达到五级以上时，不得进行土方挖填和转运、拆除、道路路面鼓风机吹灰等易产生扬尘的作业。</w:t>
                  </w:r>
                </w:p>
                <w:p w14:paraId="7D25E93A">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施工场地的扬尘，大部分来自施工车辆。在同样清洁程度的条件下，车速越慢，扬尘量越小。本场地施工车辆在进入施工场地后，需减速行驶，以减少施工场地扬尘，建议行驶车速不大于5km/h。此时的扬尘量可减少为一般行驶速度（15km/h计）情况下的1/3。</w:t>
                  </w:r>
                </w:p>
                <w:p w14:paraId="48CD1187">
                  <w:pPr>
                    <w:autoSpaceDE w:val="0"/>
                    <w:autoSpaceDN w:val="0"/>
                    <w:snapToGrid w:val="0"/>
                    <w:ind w:firstLine="420" w:firstLineChars="200"/>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为减轻施工现场生活炉灶排放的烟气对大气环境造成的影响，评价建议在附近联系就餐。若不方便在外就餐，则工地食堂产生的油烟需经油烟净化装置处理后排放，经采取本评价提出的防治措施，由工程分析可知，营地食堂油烟排放应满足《饮食业油烟排放标准》（GB18483-2001）中相关要求。</w:t>
                  </w:r>
                </w:p>
              </w:tc>
            </w:tr>
          </w:tbl>
          <w:p w14:paraId="78DC75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pacing w:val="0"/>
                <w:position w:val="0"/>
                <w:sz w:val="24"/>
              </w:rPr>
            </w:pPr>
            <w:r>
              <w:rPr>
                <w:rFonts w:hint="default" w:ascii="Times New Roman" w:hAnsi="Times New Roman" w:eastAsia="宋体" w:cs="Times New Roman"/>
                <w:color w:val="auto"/>
                <w:sz w:val="24"/>
              </w:rPr>
              <w:t>在采取以上施工期大气污染防治措施后可减轻对周围环境敏感点的空气环境影响。</w:t>
            </w:r>
          </w:p>
          <w:p w14:paraId="627D84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2、</w:t>
            </w:r>
            <w:r>
              <w:rPr>
                <w:rFonts w:hint="default" w:ascii="Times New Roman" w:hAnsi="Times New Roman" w:eastAsia="宋体" w:cs="Times New Roman"/>
                <w:bCs/>
                <w:color w:val="auto"/>
                <w:spacing w:val="0"/>
                <w:position w:val="0"/>
                <w:sz w:val="24"/>
                <w:szCs w:val="24"/>
                <w:lang w:eastAsia="zh-CN"/>
              </w:rPr>
              <w:t>废水</w:t>
            </w:r>
            <w:r>
              <w:rPr>
                <w:rFonts w:hint="default" w:ascii="Times New Roman" w:hAnsi="Times New Roman" w:eastAsia="宋体" w:cs="Times New Roman"/>
                <w:bCs/>
                <w:color w:val="auto"/>
                <w:spacing w:val="0"/>
                <w:position w:val="0"/>
                <w:sz w:val="24"/>
                <w:szCs w:val="24"/>
              </w:rPr>
              <w:t>防治措施</w:t>
            </w:r>
          </w:p>
          <w:p w14:paraId="4360F46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冲洗废水的排放特点是间歇式排放，废水量不稳定。因此，施工中往往用水量无节制、废水排放量大，若不采取措施，将会在施工现场随意流淌，对周围水环境造成一定影响。施工期生活污水的水量相当少，对周围水环境影响甚微。</w:t>
            </w:r>
          </w:p>
          <w:p w14:paraId="5D9F3F3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对于施工中的冲洗废水，建议在施工现场设置临时废水沉淀池一座，收集施工中所排放的各类废水，废水经沉淀后，仍可作为施工用水的一部分重复使用，这样既节约了水资源，又减轻了对地表水环境的污染。</w:t>
            </w:r>
          </w:p>
          <w:p w14:paraId="1A24D5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position w:val="0"/>
                <w:sz w:val="24"/>
              </w:rPr>
            </w:pPr>
            <w:r>
              <w:rPr>
                <w:rFonts w:hint="default" w:ascii="Times New Roman" w:hAnsi="Times New Roman" w:eastAsia="宋体" w:cs="Times New Roman"/>
                <w:color w:val="auto"/>
                <w:sz w:val="24"/>
              </w:rPr>
              <w:t>施工期生活污水的水量相对较少，对周围水环境影响甚微。集中处理排放的生活污水，不得任意排放，影响到地表水体水质</w:t>
            </w:r>
            <w:r>
              <w:rPr>
                <w:rFonts w:hint="default" w:ascii="Times New Roman" w:hAnsi="Times New Roman" w:eastAsia="宋体" w:cs="Times New Roman"/>
                <w:color w:val="auto"/>
                <w:spacing w:val="0"/>
                <w:position w:val="0"/>
                <w:sz w:val="24"/>
              </w:rPr>
              <w:t>。</w:t>
            </w:r>
          </w:p>
          <w:p w14:paraId="527923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3、噪声</w:t>
            </w:r>
            <w:r>
              <w:rPr>
                <w:rFonts w:hint="default" w:ascii="Times New Roman" w:hAnsi="Times New Roman" w:eastAsia="宋体" w:cs="Times New Roman"/>
                <w:bCs/>
                <w:color w:val="auto"/>
                <w:spacing w:val="0"/>
                <w:position w:val="0"/>
                <w:sz w:val="24"/>
                <w:szCs w:val="24"/>
              </w:rPr>
              <w:t>防治措施</w:t>
            </w:r>
          </w:p>
          <w:p w14:paraId="265D1279">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施工单位应严格执行《中华人民共和国噪声污染防治法》、《建筑施工场界环境噪声排放标准》（GB12523-2011）中相关规定，采用低噪声施工机具和先进工艺进行施工，基础打桩应采用静压桩。另外，对施工场地平面布局时应将高噪声设备尽量置于场地东南侧，进行合理布置，以减少施工噪声对周围敏感点的影响。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因特殊要求必须连续作业的，必须有县级以上人民政府或者有关主管部门的证明，《中华人民共和国环境噪声污染防治法》第三十条）。</w:t>
            </w:r>
          </w:p>
          <w:p w14:paraId="304FA55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该项目在装修阶段，建设方必须加强相应的管理，严禁夜间时段（22：00</w:t>
            </w:r>
            <w:r>
              <w:rPr>
                <w:rFonts w:hint="eastAsia" w:cs="Times New Roman"/>
                <w:color w:val="auto"/>
                <w:kern w:val="0"/>
                <w:sz w:val="24"/>
                <w:lang w:eastAsia="zh-CN"/>
              </w:rPr>
              <w:t>至次日</w:t>
            </w:r>
            <w:r>
              <w:rPr>
                <w:rFonts w:hint="eastAsia" w:cs="Times New Roman"/>
                <w:color w:val="auto"/>
                <w:kern w:val="0"/>
                <w:sz w:val="24"/>
                <w:lang w:val="en-US" w:eastAsia="zh-CN"/>
              </w:rPr>
              <w:t>6:00</w:t>
            </w:r>
            <w:r>
              <w:rPr>
                <w:rFonts w:hint="default" w:ascii="Times New Roman" w:hAnsi="Times New Roman" w:eastAsia="宋体" w:cs="Times New Roman"/>
                <w:color w:val="auto"/>
                <w:kern w:val="0"/>
                <w:sz w:val="24"/>
              </w:rPr>
              <w:t>）装修施工，防止噪声影响到附近居民。</w:t>
            </w:r>
          </w:p>
          <w:p w14:paraId="36D0D618">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针对施工期噪声影响，拟采取的污染防治措施如下：</w:t>
            </w:r>
          </w:p>
          <w:p w14:paraId="7109BC9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①降低设备噪声：尽量采用低噪声设备；采用安装消音器和隔离发动机振动部件的方法降低噪声；挖掘机、装卸车辆进出场地应限速；加强机械设备、运输车辆的保养维修，使它们处于良好的工作状态；</w:t>
            </w:r>
          </w:p>
          <w:p w14:paraId="61037280">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②合理安排时间：避免强噪声设备同时施工、持续作业；夜间（22：00</w:t>
            </w:r>
            <w:r>
              <w:rPr>
                <w:rFonts w:hint="eastAsia" w:cs="Times New Roman"/>
                <w:color w:val="auto"/>
                <w:kern w:val="0"/>
                <w:sz w:val="24"/>
                <w:lang w:eastAsia="zh-CN"/>
              </w:rPr>
              <w:t>至次日</w:t>
            </w:r>
            <w:r>
              <w:rPr>
                <w:rFonts w:hint="eastAsia" w:cs="Times New Roman"/>
                <w:color w:val="auto"/>
                <w:kern w:val="0"/>
                <w:sz w:val="24"/>
                <w:lang w:val="en-US" w:eastAsia="zh-CN"/>
              </w:rPr>
              <w:t>6:00</w:t>
            </w:r>
            <w:r>
              <w:rPr>
                <w:rFonts w:hint="default" w:ascii="Times New Roman" w:hAnsi="Times New Roman" w:eastAsia="宋体" w:cs="Times New Roman"/>
                <w:color w:val="auto"/>
                <w:kern w:val="0"/>
                <w:sz w:val="24"/>
              </w:rPr>
              <w:t>）禁止进行对居民生活环境产生噪声污染的施工作业，昼间使用高噪声设备应避开中午休息时间并公告附近居民和有关单位；</w:t>
            </w:r>
          </w:p>
          <w:p w14:paraId="762829D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③合理布局施工场地：噪声大的设备尽量远离敏感区；</w:t>
            </w:r>
          </w:p>
          <w:p w14:paraId="3E946D8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④降低人为噪声：操作机械设备时及模板、支架装卸过程中，尽量减少碰撞声音；尽量少用哨子指挥作业；</w:t>
            </w:r>
          </w:p>
          <w:p w14:paraId="636EB8C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⑤对于噪声影响较重的施工场地须采取临时隔声围墙或吸声屏障等措施处理。</w:t>
            </w:r>
          </w:p>
          <w:p w14:paraId="7F5AE9BB">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a、吸声降噪：可以在搅拌机、电锯机等高噪声施工机械附近设置吸声屏，能降低噪声3～15dB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w:t>
            </w:r>
          </w:p>
          <w:p w14:paraId="1134F2C7">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b、消声降噪：对产生空气动力性噪声源的施工机械，如空压机等高频率噪声源采用阴性消声器、抗性消声器、扩散消声器、缓冲消声器等消声方法，能降低噪声10～30dB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。对于运输土石方的装卸机以及翻斗车，可以通过排气消声器和隔离发动机震动部分的方法来降低噪声。</w:t>
            </w:r>
          </w:p>
          <w:p w14:paraId="2D7209ED">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c、隔声降噪：用隔声性能好的隔声构件将施工机械噪声源与周围环境隔离，使施工噪声控制在隔声构件内，以减少环境声污染范围与污染程度。隔声间由12～24m的空心砖构成，其隔声量为30～50dB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、隔声罩由1～3m钢板构成、隔声量为10～20dB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，如在钢板外表用阻尼层，内表用吸声层处理，隔声量会再提高10dB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；施工场地四周建2.5m高的围墙。</w:t>
            </w:r>
          </w:p>
          <w:p w14:paraId="192522F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⑥隔振降噪：在施工机械设备与基础或连接部之间采用弹簧减振、橡胶减振、管道减振、阻尼减振技术，可减振至原动量1/10～1/100，降噪20～40dB</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A</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。对振级较高及较大的机械如空压机等应采取增加减振垫；在施工场地四周设置减震沟降低振动对周边建筑的损坏等减振措施。</w:t>
            </w:r>
          </w:p>
          <w:p w14:paraId="45DECA7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⑦减少交通噪声：进出车辆和经过敏感点的车辆限速、限鸣；</w:t>
            </w:r>
          </w:p>
          <w:p w14:paraId="69CB41E9">
            <w:pPr>
              <w:adjustRightInd w:val="0"/>
              <w:snapToGrid w:val="0"/>
              <w:spacing w:line="360" w:lineRule="auto"/>
              <w:ind w:firstLine="480" w:firstLineChars="200"/>
              <w:rPr>
                <w:rFonts w:hint="default" w:ascii="Times New Roman" w:hAnsi="Times New Roman" w:eastAsia="宋体" w:cs="Times New Roman"/>
                <w:bCs/>
                <w:color w:val="auto"/>
                <w:spacing w:val="0"/>
                <w:position w:val="0"/>
                <w:sz w:val="24"/>
              </w:rPr>
            </w:pPr>
            <w:r>
              <w:rPr>
                <w:rFonts w:hint="default" w:ascii="Times New Roman" w:hAnsi="Times New Roman" w:eastAsia="宋体" w:cs="Times New Roman"/>
                <w:color w:val="auto"/>
                <w:kern w:val="0"/>
                <w:sz w:val="24"/>
              </w:rPr>
              <w:t>上述措施能有效的减轻施工噪声，尽可能减少对周边环境的影响</w:t>
            </w:r>
            <w:r>
              <w:rPr>
                <w:rFonts w:hint="default" w:ascii="Times New Roman" w:hAnsi="Times New Roman" w:eastAsia="宋体" w:cs="Times New Roman"/>
                <w:color w:val="auto"/>
                <w:sz w:val="24"/>
              </w:rPr>
              <w:t>。</w:t>
            </w:r>
          </w:p>
          <w:p w14:paraId="42BF74E2">
            <w:pPr>
              <w:numPr>
                <w:ilvl w:val="0"/>
                <w:numId w:val="0"/>
              </w:numPr>
              <w:adjustRightInd w:val="0"/>
              <w:snapToGrid w:val="0"/>
              <w:spacing w:line="240" w:lineRule="auto"/>
              <w:rPr>
                <w:rFonts w:hint="default" w:ascii="Times New Roman" w:hAnsi="Times New Roman" w:eastAsia="宋体" w:cs="Times New Roman"/>
                <w:bCs/>
                <w:color w:val="auto"/>
                <w:spacing w:val="0"/>
                <w:position w:val="0"/>
                <w:sz w:val="24"/>
                <w:szCs w:val="24"/>
              </w:rPr>
            </w:pPr>
            <w:r>
              <w:rPr>
                <w:rFonts w:hint="default" w:ascii="Times New Roman" w:hAnsi="Times New Roman" w:eastAsia="宋体" w:cs="Times New Roman"/>
                <w:bCs/>
                <w:color w:val="auto"/>
                <w:spacing w:val="0"/>
                <w:position w:val="0"/>
                <w:sz w:val="24"/>
                <w:szCs w:val="24"/>
                <w:lang w:val="en-US" w:eastAsia="zh-CN"/>
              </w:rPr>
              <w:t>4、</w:t>
            </w:r>
            <w:r>
              <w:rPr>
                <w:rFonts w:hint="default" w:ascii="Times New Roman" w:hAnsi="Times New Roman" w:eastAsia="宋体" w:cs="Times New Roman"/>
                <w:bCs/>
                <w:color w:val="auto"/>
                <w:spacing w:val="0"/>
                <w:position w:val="0"/>
                <w:sz w:val="24"/>
                <w:szCs w:val="24"/>
              </w:rPr>
              <w:t>固废防治措施</w:t>
            </w:r>
          </w:p>
          <w:p w14:paraId="2E2ACA11">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施工挖掘产生的土方以及施工过程中产生的渣土，由施工单位或承建单位同渣土办联系外运至政府指定的弃土地点，在渣土运输过程中严格执行下列相关规定：</w:t>
            </w:r>
          </w:p>
          <w:p w14:paraId="0707C993">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①施工单位在开工前，应与环境卫生行政主管部门签订环境卫生责任书，对施工过程中产生和各类建筑垃圾应当及时清理，保持施工现场整洁；</w:t>
            </w:r>
          </w:p>
          <w:p w14:paraId="1439A5BB">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②工程施工现场出入口的道路应当硬化，配置相应的冲洗设施，车辆冲洗干净后，方可驶离工地；</w:t>
            </w:r>
          </w:p>
          <w:p w14:paraId="13C6EFD3">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③按照环境卫生行政主管部门核定的时间、路线、地点运输和倾倒建筑垃圾，禁止偷倒、乱倒；</w:t>
            </w:r>
          </w:p>
          <w:p w14:paraId="603E7A04">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④建筑垃圾运输车辆应当采取密闭措施，不得超载运输，不得车轮带泥，不得遗撒、泄漏。</w:t>
            </w:r>
          </w:p>
          <w:p w14:paraId="7FC17CB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⑤建筑垃圾运输作业时，建设单位应当督促运输单位在清运时间内组织人力、物力或委托专业环境卫生服务单位做好沿途的污染清理工作；清运过程中造成交通安全设施损坏的，应予以赔偿。</w:t>
            </w:r>
          </w:p>
          <w:p w14:paraId="64953430">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⑥施工期生活垃圾分类收集、袋装化；与环卫部门签订协议，由环卫部门负责将生活垃圾及时清运，做到日产日清。</w:t>
            </w:r>
          </w:p>
          <w:p w14:paraId="44098347">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r>
              <w:rPr>
                <w:rFonts w:hint="default" w:ascii="Times New Roman" w:hAnsi="Times New Roman" w:eastAsia="宋体" w:cs="Times New Roman"/>
                <w:color w:val="auto"/>
                <w:kern w:val="0"/>
                <w:sz w:val="24"/>
              </w:rPr>
              <w:t>由于建筑垃圾是土建工程中不可避免的，因此建设单位和施工单位必须做好施工垃圾管理，避免对周围环境造成影响</w:t>
            </w:r>
            <w:r>
              <w:rPr>
                <w:rFonts w:hint="default" w:ascii="Times New Roman" w:hAnsi="Times New Roman" w:eastAsia="宋体" w:cs="Times New Roman"/>
                <w:bCs/>
                <w:color w:val="auto"/>
                <w:spacing w:val="0"/>
                <w:position w:val="0"/>
                <w:sz w:val="24"/>
              </w:rPr>
              <w:t>。</w:t>
            </w:r>
          </w:p>
          <w:p w14:paraId="138CC2DC">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47874F89">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31B43910">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6BC8553F">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684CB59B">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4614757C">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3726651F">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70523C5D">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6ADA5070">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29217C72">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59D14B8E">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58DEBE64">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130604DF">
            <w:pPr>
              <w:adjustRightInd w:val="0"/>
              <w:snapToGrid w:val="0"/>
              <w:spacing w:line="360" w:lineRule="auto"/>
              <w:ind w:firstLine="480" w:firstLineChars="200"/>
              <w:jc w:val="left"/>
              <w:rPr>
                <w:rFonts w:hint="default" w:ascii="Times New Roman" w:hAnsi="Times New Roman" w:eastAsia="宋体" w:cs="Times New Roman"/>
                <w:bCs/>
                <w:color w:val="auto"/>
                <w:spacing w:val="0"/>
                <w:position w:val="0"/>
                <w:sz w:val="24"/>
              </w:rPr>
            </w:pPr>
          </w:p>
          <w:p w14:paraId="4E9AAC18">
            <w:pPr>
              <w:adjustRightInd w:val="0"/>
              <w:snapToGrid w:val="0"/>
              <w:spacing w:line="360" w:lineRule="auto"/>
              <w:ind w:firstLine="480" w:firstLineChars="200"/>
              <w:jc w:val="left"/>
              <w:rPr>
                <w:rFonts w:hint="eastAsia" w:eastAsia="宋体"/>
                <w:kern w:val="0"/>
                <w:sz w:val="24"/>
                <w:szCs w:val="24"/>
                <w:lang w:val="en-US" w:eastAsia="zh-CN"/>
              </w:rPr>
            </w:pPr>
            <w:r>
              <w:rPr>
                <w:rFonts w:hint="eastAsia" w:cs="Times New Roman"/>
                <w:bCs/>
                <w:color w:val="FF0000"/>
                <w:spacing w:val="0"/>
                <w:position w:val="0"/>
                <w:sz w:val="24"/>
                <w:lang w:val="en-US" w:eastAsia="zh-CN"/>
              </w:rPr>
              <w:t xml:space="preserve"> </w:t>
            </w:r>
          </w:p>
        </w:tc>
      </w:tr>
      <w:tr w14:paraId="47256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4" w:hRule="atLeast"/>
          <w:jc w:val="center"/>
        </w:trPr>
        <w:tc>
          <w:tcPr>
            <w:tcW w:w="533" w:type="dxa"/>
            <w:tcMar>
              <w:left w:w="28" w:type="dxa"/>
              <w:right w:w="28" w:type="dxa"/>
            </w:tcMar>
            <w:vAlign w:val="center"/>
          </w:tcPr>
          <w:p w14:paraId="7CC40A62">
            <w:pPr>
              <w:adjustRightInd w:val="0"/>
              <w:snapToGrid w:val="0"/>
              <w:jc w:val="center"/>
              <w:rPr>
                <w:rFonts w:ascii="宋体" w:hAnsi="宋体" w:cs="宋体"/>
                <w:bCs/>
                <w:sz w:val="24"/>
                <w:szCs w:val="24"/>
              </w:rPr>
            </w:pPr>
            <w:r>
              <w:rPr>
                <w:rFonts w:hint="eastAsia" w:ascii="宋体" w:hAnsi="宋体" w:cs="宋体"/>
                <w:bCs/>
                <w:color w:val="auto"/>
                <w:sz w:val="24"/>
                <w:szCs w:val="24"/>
              </w:rPr>
              <w:t>运营期环境影响和保护措施</w:t>
            </w:r>
          </w:p>
        </w:tc>
        <w:tc>
          <w:tcPr>
            <w:tcW w:w="9037" w:type="dxa"/>
            <w:vAlign w:val="center"/>
          </w:tcPr>
          <w:p w14:paraId="3962FAFD">
            <w:pPr>
              <w:adjustRightInd w:val="0"/>
              <w:snapToGrid w:val="0"/>
              <w:spacing w:line="240" w:lineRule="auto"/>
              <w:jc w:val="left"/>
              <w:rPr>
                <w:rFonts w:hAnsi="宋体"/>
                <w:b/>
                <w:color w:val="auto"/>
                <w:kern w:val="0"/>
                <w:sz w:val="24"/>
                <w:szCs w:val="24"/>
              </w:rPr>
            </w:pPr>
            <w:r>
              <w:rPr>
                <w:rFonts w:hint="eastAsia" w:hAnsi="宋体"/>
                <w:b/>
                <w:color w:val="auto"/>
                <w:kern w:val="0"/>
                <w:sz w:val="24"/>
                <w:szCs w:val="24"/>
              </w:rPr>
              <w:t>1、废气</w:t>
            </w:r>
          </w:p>
          <w:p w14:paraId="2168EDDD">
            <w:pPr>
              <w:adjustRightInd w:val="0"/>
              <w:spacing w:line="360" w:lineRule="auto"/>
              <w:jc w:val="left"/>
              <w:rPr>
                <w:b/>
                <w:color w:val="auto"/>
                <w:kern w:val="0"/>
                <w:sz w:val="24"/>
              </w:rPr>
            </w:pPr>
            <w:r>
              <w:rPr>
                <w:rFonts w:hint="eastAsia"/>
                <w:b/>
                <w:color w:val="auto"/>
                <w:kern w:val="0"/>
                <w:sz w:val="24"/>
              </w:rPr>
              <w:t>1.1废气源强</w:t>
            </w:r>
          </w:p>
          <w:p w14:paraId="3457E762">
            <w:pPr>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rPr>
              <w:t>本项目</w:t>
            </w:r>
            <w:r>
              <w:rPr>
                <w:rFonts w:hint="eastAsia" w:cs="Times New Roman"/>
                <w:color w:val="auto"/>
                <w:kern w:val="0"/>
                <w:sz w:val="24"/>
                <w:szCs w:val="24"/>
                <w:lang w:eastAsia="zh-CN"/>
              </w:rPr>
              <w:t>运营期废气主要为盐酸储罐呼吸废气、活化废气、纯化废气、配酸废气、酸洗、干燥废气、粉碎粉尘、拆包粉尘、输送粉尘、包装粉尘。</w:t>
            </w:r>
          </w:p>
          <w:p w14:paraId="340EEE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活化废气</w:t>
            </w:r>
            <w:r>
              <w:rPr>
                <w:rFonts w:hint="eastAsia" w:cs="Times New Roman"/>
                <w:b/>
                <w:bCs/>
                <w:color w:val="auto"/>
                <w:sz w:val="24"/>
                <w:szCs w:val="24"/>
                <w:lang w:val="en-US" w:eastAsia="zh-CN"/>
              </w:rPr>
              <w:t>、纯化废气</w:t>
            </w:r>
          </w:p>
          <w:p w14:paraId="0384D1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b w:val="0"/>
                <w:bCs w:val="0"/>
                <w:spacing w:val="-9"/>
                <w:sz w:val="24"/>
                <w:szCs w:val="24"/>
                <w:lang w:eastAsia="zh-CN"/>
              </w:rPr>
            </w:pPr>
            <w:r>
              <w:rPr>
                <w:rFonts w:hint="default" w:ascii="Times New Roman" w:hAnsi="Times New Roman" w:eastAsia="宋体" w:cs="Times New Roman"/>
                <w:spacing w:val="-10"/>
                <w:sz w:val="24"/>
                <w:szCs w:val="24"/>
              </w:rPr>
              <w:t>活化工序多孔炭在氮气保护氛围及高温状态下与过量水蒸气反应，反应生成的气体包括</w:t>
            </w:r>
            <w:r>
              <w:rPr>
                <w:rFonts w:hint="default" w:ascii="Times New Roman" w:hAnsi="Times New Roman" w:eastAsia="宋体" w:cs="Times New Roman"/>
                <w:spacing w:val="6"/>
                <w:sz w:val="24"/>
                <w:szCs w:val="24"/>
              </w:rPr>
              <w:t xml:space="preserve"> </w:t>
            </w:r>
            <w:r>
              <w:rPr>
                <w:rFonts w:hint="eastAsia" w:cs="Times New Roman"/>
                <w:spacing w:val="6"/>
                <w:sz w:val="24"/>
                <w:szCs w:val="24"/>
                <w:lang w:eastAsia="zh-CN"/>
              </w:rPr>
              <w:t>水蒸气、</w:t>
            </w:r>
            <w:r>
              <w:rPr>
                <w:rFonts w:hint="eastAsia" w:ascii="Times New Roman" w:hAnsi="Times New Roman" w:eastAsia="宋体" w:cs="Times New Roman"/>
                <w:spacing w:val="6"/>
                <w:sz w:val="24"/>
                <w:szCs w:val="24"/>
                <w:lang w:val="en-US" w:eastAsia="zh-CN"/>
              </w:rPr>
              <w:t>CO、</w:t>
            </w:r>
            <w:r>
              <w:rPr>
                <w:rFonts w:hint="default" w:ascii="Times New Roman" w:hAnsi="Times New Roman" w:eastAsia="宋体" w:cs="Times New Roman"/>
                <w:b w:val="0"/>
                <w:bCs w:val="0"/>
                <w:spacing w:val="6"/>
                <w:sz w:val="24"/>
                <w:szCs w:val="24"/>
                <w:lang w:val="en-US" w:eastAsia="zh-CN"/>
              </w:rPr>
              <w:t>CO</w:t>
            </w:r>
            <w:r>
              <w:rPr>
                <w:rFonts w:hint="default" w:ascii="Times New Roman" w:hAnsi="Times New Roman" w:eastAsia="宋体" w:cs="Times New Roman"/>
                <w:b w:val="0"/>
                <w:bCs w:val="0"/>
                <w:spacing w:val="6"/>
                <w:sz w:val="24"/>
                <w:szCs w:val="24"/>
                <w:vertAlign w:val="subscript"/>
                <w:lang w:val="en-US" w:eastAsia="zh-CN"/>
              </w:rPr>
              <w:t>2</w:t>
            </w:r>
            <w:r>
              <w:rPr>
                <w:rFonts w:hint="default" w:ascii="Times New Roman" w:hAnsi="Times New Roman" w:eastAsia="宋体" w:cs="Times New Roman"/>
                <w:b w:val="0"/>
                <w:bCs w:val="0"/>
                <w:spacing w:val="6"/>
                <w:sz w:val="24"/>
                <w:szCs w:val="24"/>
                <w:lang w:val="en-US" w:eastAsia="zh-CN"/>
              </w:rPr>
              <w:t>、H</w:t>
            </w:r>
            <w:r>
              <w:rPr>
                <w:rFonts w:hint="default" w:ascii="Times New Roman" w:hAnsi="Times New Roman" w:eastAsia="宋体" w:cs="Times New Roman"/>
                <w:b w:val="0"/>
                <w:bCs w:val="0"/>
                <w:spacing w:val="6"/>
                <w:sz w:val="24"/>
                <w:szCs w:val="24"/>
                <w:vertAlign w:val="subscript"/>
                <w:lang w:val="en-US" w:eastAsia="zh-CN"/>
              </w:rPr>
              <w:t>2</w:t>
            </w:r>
            <w:r>
              <w:rPr>
                <w:rFonts w:hint="default" w:ascii="Times New Roman" w:hAnsi="Times New Roman" w:eastAsia="宋体" w:cs="Times New Roman"/>
                <w:b w:val="0"/>
                <w:bCs w:val="0"/>
                <w:spacing w:val="-10"/>
                <w:sz w:val="24"/>
                <w:szCs w:val="24"/>
              </w:rPr>
              <w:t>等</w:t>
            </w:r>
            <w:r>
              <w:rPr>
                <w:rFonts w:hint="eastAsia" w:cs="Times New Roman"/>
                <w:b w:val="0"/>
                <w:bCs w:val="0"/>
                <w:spacing w:val="-10"/>
                <w:sz w:val="24"/>
                <w:szCs w:val="24"/>
                <w:lang w:eastAsia="zh-CN"/>
              </w:rPr>
              <w:t>，</w:t>
            </w:r>
            <w:r>
              <w:rPr>
                <w:rFonts w:hint="default" w:ascii="Times New Roman" w:hAnsi="Times New Roman" w:eastAsia="宋体" w:cs="Times New Roman"/>
                <w:b w:val="0"/>
                <w:bCs w:val="0"/>
                <w:spacing w:val="-9"/>
                <w:sz w:val="24"/>
                <w:szCs w:val="24"/>
              </w:rPr>
              <w:t>活化过程中，因炉膛的旋转及氮气、水蒸气的持续通入，造成多孔</w:t>
            </w:r>
            <w:r>
              <w:rPr>
                <w:rFonts w:hint="default" w:ascii="Times New Roman" w:hAnsi="Times New Roman" w:eastAsia="宋体" w:cs="Times New Roman"/>
                <w:b w:val="0"/>
                <w:bCs w:val="0"/>
                <w:spacing w:val="-10"/>
                <w:sz w:val="24"/>
                <w:szCs w:val="24"/>
              </w:rPr>
              <w:t>炭中细小颗粒扬起产</w:t>
            </w:r>
            <w:r>
              <w:rPr>
                <w:rFonts w:hint="default" w:ascii="Times New Roman" w:hAnsi="Times New Roman" w:eastAsia="宋体" w:cs="Times New Roman"/>
                <w:b w:val="0"/>
                <w:bCs w:val="0"/>
                <w:spacing w:val="-9"/>
                <w:sz w:val="24"/>
                <w:szCs w:val="24"/>
              </w:rPr>
              <w:t>生粉尘</w:t>
            </w:r>
            <w:r>
              <w:rPr>
                <w:rFonts w:hint="eastAsia" w:cs="Times New Roman"/>
                <w:b w:val="0"/>
                <w:bCs w:val="0"/>
                <w:spacing w:val="-9"/>
                <w:sz w:val="24"/>
                <w:szCs w:val="24"/>
                <w:lang w:eastAsia="zh-CN"/>
              </w:rPr>
              <w:t>，颗粒物含量极少；</w:t>
            </w:r>
            <w:r>
              <w:rPr>
                <w:rFonts w:hint="eastAsia" w:ascii="Times New Roman" w:hAnsi="Times New Roman" w:eastAsia="宋体" w:cs="Times New Roman"/>
                <w:color w:val="000000"/>
                <w:kern w:val="0"/>
                <w:sz w:val="24"/>
                <w:szCs w:val="24"/>
                <w:lang w:val="en-US" w:eastAsia="zh-CN" w:bidi="ar"/>
              </w:rPr>
              <w:t>项目纯化工序无水蒸气通入，</w:t>
            </w:r>
            <w:r>
              <w:rPr>
                <w:rFonts w:hint="eastAsia" w:cs="Times New Roman"/>
                <w:color w:val="000000"/>
                <w:kern w:val="0"/>
                <w:sz w:val="24"/>
                <w:szCs w:val="24"/>
                <w:lang w:val="en-US" w:eastAsia="zh-CN" w:bidi="ar"/>
              </w:rPr>
              <w:t>物料在辊道炉内处于静止状态，因此基本无粉尘产生</w:t>
            </w:r>
            <w:r>
              <w:rPr>
                <w:rFonts w:hint="eastAsia" w:ascii="Times New Roman" w:hAnsi="Times New Roman" w:eastAsia="宋体" w:cs="宋体"/>
                <w:color w:val="auto"/>
                <w:sz w:val="24"/>
                <w:szCs w:val="24"/>
                <w:lang w:val="en-US" w:eastAsia="zh-CN"/>
              </w:rPr>
              <w:t>，</w:t>
            </w:r>
            <w:r>
              <w:rPr>
                <w:rFonts w:hint="eastAsia" w:cs="Times New Roman"/>
                <w:b w:val="0"/>
                <w:bCs w:val="0"/>
                <w:spacing w:val="-9"/>
                <w:sz w:val="24"/>
                <w:szCs w:val="24"/>
                <w:lang w:eastAsia="zh-CN"/>
              </w:rPr>
              <w:t>本次评价不做定量分析</w:t>
            </w:r>
            <w:r>
              <w:rPr>
                <w:rFonts w:hint="default" w:ascii="Times New Roman" w:hAnsi="Times New Roman" w:eastAsia="宋体" w:cs="Times New Roman"/>
                <w:b w:val="0"/>
                <w:bCs w:val="0"/>
                <w:spacing w:val="-9"/>
                <w:sz w:val="24"/>
                <w:szCs w:val="24"/>
                <w:lang w:eastAsia="zh-CN"/>
              </w:rPr>
              <w:t>。</w:t>
            </w:r>
          </w:p>
          <w:p w14:paraId="3E878A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1）1#车间</w:t>
            </w:r>
          </w:p>
          <w:p w14:paraId="0DF0E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eastAsia="zh-CN"/>
              </w:rPr>
              <w:t>盐酸储罐呼吸废气</w:t>
            </w:r>
          </w:p>
          <w:p w14:paraId="439DB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2"/>
                <w:sz w:val="24"/>
                <w:szCs w:val="24"/>
                <w:vertAlign w:val="baseline"/>
                <w:lang w:val="en-US" w:eastAsia="zh-CN"/>
              </w:rPr>
            </w:pPr>
            <w:r>
              <w:rPr>
                <w:rFonts w:hint="eastAsia" w:cs="Times New Roman"/>
                <w:b w:val="0"/>
                <w:bCs w:val="0"/>
                <w:color w:val="auto"/>
                <w:sz w:val="24"/>
                <w:szCs w:val="24"/>
                <w:lang w:val="en-US" w:eastAsia="zh-CN"/>
              </w:rPr>
              <w:t>1#车间设置8个</w:t>
            </w:r>
            <w:r>
              <w:rPr>
                <w:rFonts w:hint="eastAsia"/>
                <w:b w:val="0"/>
                <w:bCs/>
                <w:color w:val="auto"/>
                <w:sz w:val="24"/>
                <w:szCs w:val="24"/>
                <w:lang w:val="en-US" w:eastAsia="zh-CN"/>
              </w:rPr>
              <w:t>5</w:t>
            </w:r>
            <w:r>
              <w:rPr>
                <w:rFonts w:hint="default" w:ascii="Times New Roman" w:hAnsi="Times New Roman" w:eastAsia="宋体" w:cs="Times New Roman"/>
                <w:color w:val="auto"/>
                <w:spacing w:val="2"/>
                <w:sz w:val="24"/>
                <w:szCs w:val="24"/>
              </w:rPr>
              <w:t>m</w:t>
            </w:r>
            <w:r>
              <w:rPr>
                <w:rFonts w:hint="eastAsia" w:ascii="Times New Roman" w:hAnsi="Times New Roman" w:eastAsia="宋体" w:cs="Times New Roman"/>
                <w:color w:val="auto"/>
                <w:spacing w:val="2"/>
                <w:sz w:val="24"/>
                <w:szCs w:val="24"/>
                <w:vertAlign w:val="superscript"/>
                <w:lang w:val="en-US" w:eastAsia="zh-CN"/>
              </w:rPr>
              <w:t>3</w:t>
            </w:r>
            <w:r>
              <w:rPr>
                <w:rFonts w:hint="eastAsia" w:ascii="Times New Roman" w:hAnsi="Times New Roman" w:eastAsia="宋体" w:cs="Times New Roman"/>
                <w:color w:val="auto"/>
                <w:spacing w:val="2"/>
                <w:sz w:val="24"/>
                <w:szCs w:val="24"/>
                <w:vertAlign w:val="baseline"/>
                <w:lang w:val="en-US" w:eastAsia="zh-CN"/>
              </w:rPr>
              <w:t>固定顶盐酸储罐，用于储存36%盐酸。盐酸在储存和装卸料过程中会产生大、小呼吸废气，废气污染因子为HCl。</w:t>
            </w:r>
          </w:p>
          <w:p w14:paraId="04A7182D">
            <w:pPr>
              <w:pStyle w:val="10"/>
              <w:keepNext w:val="0"/>
              <w:keepLines w:val="0"/>
              <w:pageBreakBefore w:val="0"/>
              <w:widowControl w:val="0"/>
              <w:kinsoku/>
              <w:wordWrap/>
              <w:overflowPunct/>
              <w:topLinePunct w:val="0"/>
              <w:autoSpaceDE/>
              <w:autoSpaceDN/>
              <w:bidi w:val="0"/>
              <w:adjustRightInd/>
              <w:snapToGrid/>
              <w:spacing w:after="0" w:line="360" w:lineRule="auto"/>
              <w:ind w:firstLine="488"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pacing w:val="2"/>
                <w:sz w:val="24"/>
                <w:szCs w:val="24"/>
                <w:vertAlign w:val="baseline"/>
                <w:lang w:val="en-US" w:eastAsia="zh-CN"/>
              </w:rPr>
              <w:t>盐酸储罐</w:t>
            </w:r>
            <w:r>
              <w:rPr>
                <w:rFonts w:hint="default" w:ascii="Times New Roman" w:hAnsi="Times New Roman" w:eastAsia="宋体" w:cs="Times New Roman"/>
                <w:color w:val="auto"/>
                <w:sz w:val="24"/>
                <w:szCs w:val="24"/>
                <w:lang w:val="en-US" w:eastAsia="zh-CN"/>
              </w:rPr>
              <w:t>“大呼吸”</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计算公式如下：</w:t>
            </w:r>
          </w:p>
          <w:p w14:paraId="48954EA4">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lang w:val="en-US" w:eastAsia="zh-CN"/>
              </w:rPr>
              <w:t>= 4.188×10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×M×P×K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×K</w:t>
            </w:r>
            <w:r>
              <w:rPr>
                <w:rFonts w:hint="default" w:ascii="Times New Roman" w:hAnsi="Times New Roman" w:eastAsia="宋体" w:cs="Times New Roman"/>
                <w:color w:val="auto"/>
                <w:sz w:val="24"/>
                <w:szCs w:val="24"/>
                <w:vertAlign w:val="subscript"/>
                <w:lang w:val="en-US" w:eastAsia="zh-CN"/>
              </w:rPr>
              <w:t>C</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V</w:t>
            </w:r>
          </w:p>
          <w:p w14:paraId="6006B816">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式中：L</w:t>
            </w:r>
            <w:r>
              <w:rPr>
                <w:rFonts w:hint="default" w:ascii="Times New Roman" w:hAnsi="Times New Roman" w:eastAsia="宋体" w:cs="Times New Roman"/>
                <w:color w:val="auto"/>
                <w:sz w:val="24"/>
                <w:szCs w:val="24"/>
                <w:vertAlign w:val="subscript"/>
                <w:lang w:eastAsia="zh-CN"/>
              </w:rPr>
              <w:t>W</w:t>
            </w:r>
            <w:r>
              <w:rPr>
                <w:rFonts w:hint="default" w:ascii="Times New Roman" w:hAnsi="Times New Roman" w:eastAsia="宋体" w:cs="Times New Roman"/>
                <w:color w:val="auto"/>
                <w:sz w:val="24"/>
                <w:szCs w:val="24"/>
                <w:lang w:eastAsia="zh-CN"/>
              </w:rPr>
              <w:t>——固定顶罐的工作损失(kg/</w:t>
            </w:r>
            <w:r>
              <w:rPr>
                <w:rFonts w:hint="default" w:ascii="Times New Roman" w:hAnsi="Times New Roman" w:eastAsia="宋体" w:cs="Times New Roman"/>
                <w:color w:val="auto"/>
                <w:sz w:val="24"/>
                <w:szCs w:val="24"/>
                <w:vertAlign w:val="baseline"/>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投入量)</w:t>
            </w:r>
          </w:p>
          <w:p w14:paraId="0970A2F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eastAsia="zh-CN"/>
              </w:rPr>
              <w:t>——储罐内</w:t>
            </w:r>
            <w:r>
              <w:rPr>
                <w:rFonts w:hint="default" w:ascii="Times New Roman" w:hAnsi="Times New Roman" w:eastAsia="宋体" w:cs="Times New Roman"/>
                <w:color w:val="auto"/>
                <w:sz w:val="24"/>
                <w:szCs w:val="24"/>
                <w:lang w:val="en-US" w:eastAsia="zh-CN"/>
              </w:rPr>
              <w:t>蒸气的分子量，取36.5；</w:t>
            </w:r>
          </w:p>
          <w:p w14:paraId="56FABE6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spacing w:val="9"/>
                <w:sz w:val="24"/>
                <w:szCs w:val="24"/>
              </w:rPr>
              <w:t>泵送液体入罐量；项目</w:t>
            </w:r>
            <w:r>
              <w:rPr>
                <w:rFonts w:hint="default" w:ascii="Times New Roman" w:hAnsi="Times New Roman" w:eastAsia="宋体" w:cs="Times New Roman"/>
                <w:spacing w:val="9"/>
                <w:sz w:val="24"/>
                <w:szCs w:val="24"/>
                <w:lang w:val="en-US" w:eastAsia="zh-CN"/>
              </w:rPr>
              <w:t>1#车间</w:t>
            </w:r>
            <w:r>
              <w:rPr>
                <w:rFonts w:hint="default" w:ascii="Times New Roman" w:hAnsi="Times New Roman" w:eastAsia="宋体" w:cs="Times New Roman"/>
                <w:spacing w:val="9"/>
                <w:sz w:val="24"/>
                <w:szCs w:val="24"/>
              </w:rPr>
              <w:t>盐酸消耗量</w:t>
            </w:r>
            <w:r>
              <w:rPr>
                <w:rFonts w:hint="default" w:ascii="Times New Roman" w:hAnsi="Times New Roman" w:eastAsia="宋体" w:cs="Times New Roman"/>
                <w:spacing w:val="9"/>
                <w:sz w:val="24"/>
                <w:szCs w:val="24"/>
                <w:lang w:val="en-US" w:eastAsia="zh-CN"/>
              </w:rPr>
              <w:t>16</w:t>
            </w:r>
            <w:r>
              <w:rPr>
                <w:rFonts w:hint="default" w:ascii="Times New Roman" w:hAnsi="Times New Roman" w:eastAsia="宋体" w:cs="Times New Roman"/>
                <w:spacing w:val="9"/>
                <w:sz w:val="24"/>
                <w:szCs w:val="24"/>
              </w:rPr>
              <w:t>0t/a，密度</w:t>
            </w:r>
            <w:r>
              <w:rPr>
                <w:rFonts w:hint="eastAsia" w:ascii="Times New Roman" w:hAnsi="Times New Roman" w:eastAsia="宋体" w:cs="Times New Roman"/>
                <w:spacing w:val="9"/>
                <w:sz w:val="24"/>
                <w:szCs w:val="24"/>
                <w:lang w:eastAsia="zh-CN"/>
              </w:rPr>
              <w:t>为</w:t>
            </w:r>
            <w:r>
              <w:rPr>
                <w:rFonts w:hint="default" w:ascii="Times New Roman" w:hAnsi="Times New Roman" w:eastAsia="宋体" w:cs="Times New Roman"/>
                <w:spacing w:val="9"/>
                <w:sz w:val="24"/>
                <w:szCs w:val="24"/>
              </w:rPr>
              <w:t>1.18g/</w:t>
            </w:r>
            <w:r>
              <w:rPr>
                <w:rFonts w:hint="default" w:ascii="Times New Roman" w:hAnsi="Times New Roman" w:eastAsia="宋体" w:cs="Times New Roman"/>
                <w:sz w:val="24"/>
                <w:szCs w:val="24"/>
              </w:rPr>
              <w:t>cm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pacing w:val="8"/>
                <w:sz w:val="24"/>
                <w:szCs w:val="24"/>
              </w:rPr>
              <w:t>，则盐酸体积</w:t>
            </w:r>
            <w:r>
              <w:rPr>
                <w:rFonts w:hint="default" w:ascii="Times New Roman" w:hAnsi="Times New Roman" w:eastAsia="宋体" w:cs="Times New Roman"/>
                <w:sz w:val="24"/>
                <w:szCs w:val="24"/>
                <w:lang w:val="en-US" w:eastAsia="zh-CN"/>
              </w:rPr>
              <w:t>136</w:t>
            </w:r>
            <w:r>
              <w:rPr>
                <w:rFonts w:hint="default" w:ascii="Times New Roman" w:hAnsi="Times New Roman" w:eastAsia="宋体" w:cs="Times New Roman"/>
                <w:spacing w:val="2"/>
                <w:sz w:val="24"/>
                <w:szCs w:val="24"/>
              </w:rPr>
              <w:t>m</w:t>
            </w:r>
            <w:r>
              <w:rPr>
                <w:rFonts w:hint="eastAsia"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/a</w:t>
            </w:r>
            <w:r>
              <w:rPr>
                <w:rFonts w:hint="default" w:ascii="Times New Roman" w:hAnsi="Times New Roman" w:eastAsia="宋体" w:cs="Times New Roman"/>
                <w:color w:val="auto"/>
                <w:sz w:val="24"/>
                <w:szCs w:val="24"/>
                <w:lang w:val="en-US" w:eastAsia="zh-CN"/>
              </w:rPr>
              <w:t>；</w:t>
            </w:r>
          </w:p>
          <w:p w14:paraId="28BB13CA">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eastAsia" w:ascii="Times New Roman" w:hAnsi="Times New Roman" w:eastAsia="宋体" w:cs="Times New Roman"/>
                <w:spacing w:val="-57"/>
                <w:sz w:val="24"/>
                <w:szCs w:val="24"/>
                <w:lang w:eastAsia="zh-CN"/>
              </w:rPr>
            </w:pP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在大</w:t>
            </w:r>
            <w:r>
              <w:rPr>
                <w:rFonts w:hint="eastAsia" w:ascii="Times New Roman" w:hAnsi="Times New Roman" w:eastAsia="宋体" w:cs="Times New Roman"/>
                <w:color w:val="auto"/>
                <w:sz w:val="24"/>
                <w:szCs w:val="24"/>
                <w:lang w:val="en-US" w:eastAsia="zh-CN"/>
              </w:rPr>
              <w:t>量液体状态下</w:t>
            </w:r>
            <w:r>
              <w:rPr>
                <w:rFonts w:hint="default" w:ascii="Times New Roman" w:hAnsi="Times New Roman" w:eastAsia="宋体" w:cs="Times New Roman"/>
                <w:color w:val="auto"/>
                <w:sz w:val="24"/>
                <w:szCs w:val="24"/>
                <w:lang w:val="en-US" w:eastAsia="zh-CN"/>
              </w:rPr>
              <w:t>，真实的蒸汽压力（Pa），</w:t>
            </w:r>
            <w:r>
              <w:rPr>
                <w:rFonts w:hint="default" w:ascii="Times New Roman" w:hAnsi="Times New Roman" w:eastAsia="宋体" w:cs="Times New Roman"/>
                <w:color w:val="auto"/>
                <w:spacing w:val="13"/>
                <w:sz w:val="24"/>
                <w:szCs w:val="24"/>
              </w:rPr>
              <w:t>36</w:t>
            </w:r>
            <w:r>
              <w:rPr>
                <w:rFonts w:hint="default" w:ascii="Times New Roman" w:hAnsi="Times New Roman" w:eastAsia="宋体" w:cs="Times New Roman"/>
                <w:spacing w:val="13"/>
                <w:sz w:val="24"/>
                <w:szCs w:val="24"/>
              </w:rPr>
              <w:t>%盐酸在20摄</w:t>
            </w:r>
            <w:r>
              <w:rPr>
                <w:rFonts w:hint="default" w:ascii="Times New Roman" w:hAnsi="Times New Roman" w:eastAsia="宋体" w:cs="Times New Roman"/>
                <w:spacing w:val="12"/>
                <w:sz w:val="24"/>
                <w:szCs w:val="24"/>
              </w:rPr>
              <w:t>氏度下蒸气压</w:t>
            </w:r>
            <w:r>
              <w:rPr>
                <w:rFonts w:hint="default" w:ascii="Times New Roman" w:hAnsi="Times New Roman" w:eastAsia="宋体" w:cs="Times New Roman"/>
                <w:spacing w:val="4"/>
                <w:sz w:val="24"/>
                <w:szCs w:val="24"/>
              </w:rPr>
              <w:t>105</w:t>
            </w:r>
            <w:r>
              <w:rPr>
                <w:rFonts w:hint="default" w:ascii="Times New Roman" w:hAnsi="Times New Roman" w:eastAsia="宋体" w:cs="Times New Roman"/>
                <w:sz w:val="24"/>
                <w:szCs w:val="24"/>
              </w:rPr>
              <w:t>mmHg</w:t>
            </w:r>
            <w:r>
              <w:rPr>
                <w:rFonts w:hint="default" w:ascii="Times New Roman" w:hAnsi="Times New Roman" w:eastAsia="宋体" w:cs="Times New Roman"/>
                <w:spacing w:val="-39"/>
                <w:sz w:val="24"/>
                <w:szCs w:val="24"/>
              </w:rPr>
              <w:t xml:space="preserve"> </w:t>
            </w:r>
            <w:r>
              <w:rPr>
                <w:rFonts w:hint="default" w:ascii="Times New Roman" w:hAnsi="Times New Roman" w:eastAsia="宋体" w:cs="Times New Roman"/>
                <w:spacing w:val="4"/>
                <w:sz w:val="24"/>
                <w:szCs w:val="24"/>
              </w:rPr>
              <w:t>汞，折算13998.8</w:t>
            </w:r>
            <w:r>
              <w:rPr>
                <w:rFonts w:hint="default" w:ascii="Times New Roman" w:hAnsi="Times New Roman" w:eastAsia="宋体" w:cs="Times New Roman"/>
                <w:sz w:val="24"/>
                <w:szCs w:val="24"/>
              </w:rPr>
              <w:t>Pa</w:t>
            </w:r>
            <w:r>
              <w:rPr>
                <w:rFonts w:hint="eastAsia" w:ascii="Times New Roman" w:hAnsi="Times New Roman" w:eastAsia="宋体" w:cs="Times New Roman"/>
                <w:spacing w:val="-57"/>
                <w:sz w:val="24"/>
                <w:szCs w:val="24"/>
                <w:lang w:eastAsia="zh-CN"/>
              </w:rPr>
              <w:t>；</w:t>
            </w:r>
          </w:p>
          <w:p w14:paraId="340C287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w:t>
            </w:r>
            <w:r>
              <w:rPr>
                <w:rFonts w:hint="eastAsia"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周转因子</w:t>
            </w:r>
            <w:r>
              <w:rPr>
                <w:rFonts w:hint="eastAsia" w:ascii="Times New Roman" w:hAnsi="Times New Roman" w:eastAsia="宋体" w:cs="Times New Roman"/>
                <w:color w:val="auto"/>
                <w:sz w:val="24"/>
                <w:szCs w:val="24"/>
                <w:lang w:val="en-US" w:eastAsia="zh-CN"/>
              </w:rPr>
              <w:t>（无量纲），取值按年周转次数（K）确定。</w:t>
            </w:r>
          </w:p>
          <w:p w14:paraId="0344FDEF">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K≤36，K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=1；36＜K≤220，K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=11.467×K</w:t>
            </w:r>
            <w:r>
              <w:rPr>
                <w:rFonts w:hint="default" w:ascii="Times New Roman" w:hAnsi="Times New Roman" w:eastAsia="宋体" w:cs="Times New Roman"/>
                <w:color w:val="auto"/>
                <w:sz w:val="24"/>
                <w:szCs w:val="24"/>
                <w:vertAlign w:val="superscript"/>
                <w:lang w:val="en-US" w:eastAsia="zh-CN"/>
              </w:rPr>
              <w:t>-0.7026</w:t>
            </w:r>
            <w:r>
              <w:rPr>
                <w:rFonts w:hint="default" w:ascii="Times New Roman" w:hAnsi="Times New Roman" w:eastAsia="宋体" w:cs="Times New Roman"/>
                <w:color w:val="auto"/>
                <w:sz w:val="24"/>
                <w:szCs w:val="24"/>
                <w:lang w:val="en-US" w:eastAsia="zh-CN"/>
              </w:rPr>
              <w:t>；K＞220，K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=0.26，</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项目K</w:t>
            </w:r>
            <w:r>
              <w:rPr>
                <w:rFonts w:hint="default" w:ascii="Times New Roman" w:hAnsi="Times New Roman" w:eastAsia="宋体" w:cs="Times New Roman"/>
                <w:color w:val="auto"/>
                <w:sz w:val="24"/>
                <w:szCs w:val="24"/>
                <w:vertAlign w:val="subscript"/>
                <w:lang w:val="en-US" w:eastAsia="zh-CN"/>
              </w:rPr>
              <w:t>N</w:t>
            </w:r>
            <w:r>
              <w:rPr>
                <w:rFonts w:hint="eastAsia" w:cs="Times New Roman"/>
                <w:color w:val="auto"/>
                <w:sz w:val="24"/>
                <w:szCs w:val="24"/>
                <w:lang w:val="en-US" w:eastAsia="zh-CN"/>
              </w:rPr>
              <w:t>取1</w:t>
            </w:r>
            <w:r>
              <w:rPr>
                <w:rFonts w:hint="eastAsia" w:ascii="Times New Roman" w:hAnsi="Times New Roman" w:eastAsia="宋体" w:cs="Times New Roman"/>
                <w:color w:val="auto"/>
                <w:sz w:val="24"/>
                <w:szCs w:val="24"/>
                <w:lang w:val="en-US" w:eastAsia="zh-CN"/>
              </w:rPr>
              <w:t>；</w:t>
            </w:r>
          </w:p>
          <w:p w14:paraId="5BD2E230">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产品因子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取1.0</w:t>
            </w:r>
            <w:r>
              <w:rPr>
                <w:rFonts w:hint="eastAsia" w:ascii="Times New Roman" w:hAnsi="Times New Roman" w:eastAsia="宋体" w:cs="Times New Roman"/>
                <w:color w:val="auto"/>
                <w:sz w:val="24"/>
                <w:szCs w:val="24"/>
                <w:lang w:val="en-US" w:eastAsia="zh-CN"/>
              </w:rPr>
              <w:t>。</w:t>
            </w:r>
          </w:p>
          <w:p w14:paraId="4AF23F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pacing w:val="2"/>
                <w:sz w:val="24"/>
                <w:szCs w:val="24"/>
                <w:vertAlign w:val="baseline"/>
                <w:lang w:val="en-US" w:eastAsia="zh-CN"/>
              </w:rPr>
            </w:pPr>
            <w:r>
              <w:rPr>
                <w:rFonts w:hint="eastAsia"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0.029</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p>
          <w:p w14:paraId="7AA09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default" w:ascii="Times New Roman" w:hAnsi="Times New Roman" w:eastAsia="宋体" w:cs="Times New Roman"/>
                <w:b w:val="0"/>
                <w:bCs w:val="0"/>
                <w:color w:val="auto"/>
                <w:spacing w:val="2"/>
                <w:sz w:val="24"/>
                <w:szCs w:val="24"/>
                <w:vertAlign w:val="baseline"/>
                <w:lang w:val="en-US" w:eastAsia="zh-CN"/>
              </w:rPr>
              <w:t>盐酸</w:t>
            </w:r>
            <w:r>
              <w:rPr>
                <w:rFonts w:hint="default" w:ascii="Times New Roman" w:hAnsi="Times New Roman" w:eastAsia="宋体" w:cs="Times New Roman"/>
                <w:color w:val="auto"/>
                <w:sz w:val="24"/>
                <w:szCs w:val="24"/>
                <w:lang w:val="en-US" w:eastAsia="zh-CN"/>
              </w:rPr>
              <w:t>储罐“小呼吸”废气计算公式如下：</w:t>
            </w:r>
          </w:p>
          <w:p w14:paraId="420609AE">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val="en-US" w:eastAsia="zh-CN"/>
              </w:rPr>
              <w:t xml:space="preserve"> = 0.191×M[ P/(100910-P )]</w:t>
            </w:r>
            <w:r>
              <w:rPr>
                <w:rFonts w:hint="default" w:ascii="Times New Roman" w:hAnsi="Times New Roman" w:eastAsia="宋体" w:cs="Times New Roman"/>
                <w:color w:val="auto"/>
                <w:sz w:val="24"/>
                <w:szCs w:val="24"/>
                <w:vertAlign w:val="superscript"/>
                <w:lang w:val="en-US" w:eastAsia="zh-CN"/>
              </w:rPr>
              <w:t>0.68</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vertAlign w:val="superscript"/>
                <w:lang w:val="en-US" w:eastAsia="zh-CN"/>
              </w:rPr>
              <w:t>1.73</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perscript"/>
                <w:lang w:val="en-US" w:eastAsia="zh-CN"/>
              </w:rPr>
              <w:t>0.51</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perscript"/>
                <w:lang w:val="en-US" w:eastAsia="zh-CN"/>
              </w:rPr>
              <w:t>0.45</w:t>
            </w:r>
            <w:r>
              <w:rPr>
                <w:rFonts w:hint="default"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vertAlign w:val="subscript"/>
                <w:lang w:val="en-US" w:eastAsia="zh-CN"/>
              </w:rPr>
              <w:t xml:space="preserve">P </w:t>
            </w:r>
            <w:r>
              <w:rPr>
                <w:rFonts w:hint="default" w:ascii="Times New Roman" w:hAnsi="Times New Roman" w:eastAsia="宋体" w:cs="Times New Roman"/>
                <w:color w:val="auto"/>
                <w:sz w:val="24"/>
                <w:szCs w:val="24"/>
                <w:lang w:val="en-US" w:eastAsia="zh-CN"/>
              </w:rPr>
              <w:t>×C×K</w:t>
            </w:r>
            <w:r>
              <w:rPr>
                <w:rFonts w:hint="default" w:ascii="Times New Roman" w:hAnsi="Times New Roman" w:eastAsia="宋体" w:cs="Times New Roman"/>
                <w:color w:val="auto"/>
                <w:sz w:val="24"/>
                <w:szCs w:val="24"/>
                <w:vertAlign w:val="subscript"/>
                <w:lang w:val="en-US" w:eastAsia="zh-CN"/>
              </w:rPr>
              <w:t>C</w:t>
            </w:r>
          </w:p>
          <w:p w14:paraId="2E66BA6A">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其中：L</w:t>
            </w:r>
            <w:r>
              <w:rPr>
                <w:rFonts w:hint="default"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固定顶罐的呼吸排放量，kg/a；</w:t>
            </w:r>
          </w:p>
          <w:p w14:paraId="05AB1CD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eastAsia="zh-CN"/>
              </w:rPr>
              <w:t>——储罐内</w:t>
            </w:r>
            <w:r>
              <w:rPr>
                <w:rFonts w:hint="default" w:ascii="Times New Roman" w:hAnsi="Times New Roman" w:eastAsia="宋体" w:cs="Times New Roman"/>
                <w:color w:val="auto"/>
                <w:sz w:val="24"/>
                <w:szCs w:val="24"/>
                <w:lang w:val="en-US" w:eastAsia="zh-CN"/>
              </w:rPr>
              <w:t>蒸气的分子量</w:t>
            </w:r>
            <w:r>
              <w:rPr>
                <w:rFonts w:hint="eastAsia" w:cs="Times New Roman"/>
                <w:color w:val="auto"/>
                <w:sz w:val="24"/>
                <w:szCs w:val="24"/>
                <w:lang w:val="en-US" w:eastAsia="zh-CN"/>
              </w:rPr>
              <w:t>，取36.5</w:t>
            </w:r>
            <w:r>
              <w:rPr>
                <w:rFonts w:hint="default" w:ascii="Times New Roman" w:hAnsi="Times New Roman" w:eastAsia="宋体" w:cs="Times New Roman"/>
                <w:color w:val="auto"/>
                <w:sz w:val="24"/>
                <w:szCs w:val="24"/>
                <w:lang w:val="en-US" w:eastAsia="zh-CN"/>
              </w:rPr>
              <w:t>；</w:t>
            </w:r>
          </w:p>
          <w:p w14:paraId="78BB418C">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在大量液体状态下，真实的蒸汽压力（Pa），</w:t>
            </w:r>
            <w:r>
              <w:rPr>
                <w:rFonts w:hint="default" w:ascii="Times New Roman" w:hAnsi="Times New Roman" w:eastAsia="宋体" w:cs="Times New Roman"/>
                <w:color w:val="auto"/>
                <w:spacing w:val="13"/>
                <w:sz w:val="24"/>
                <w:szCs w:val="24"/>
              </w:rPr>
              <w:t>36%盐</w:t>
            </w:r>
            <w:r>
              <w:rPr>
                <w:rFonts w:hint="default" w:ascii="Times New Roman" w:hAnsi="Times New Roman" w:eastAsia="宋体" w:cs="Times New Roman"/>
                <w:spacing w:val="13"/>
                <w:sz w:val="24"/>
                <w:szCs w:val="24"/>
              </w:rPr>
              <w:t>酸在20摄</w:t>
            </w:r>
            <w:r>
              <w:rPr>
                <w:rFonts w:hint="default" w:ascii="Times New Roman" w:hAnsi="Times New Roman" w:eastAsia="宋体" w:cs="Times New Roman"/>
                <w:spacing w:val="12"/>
                <w:sz w:val="24"/>
                <w:szCs w:val="24"/>
              </w:rPr>
              <w:t>氏度下蒸气压</w:t>
            </w:r>
            <w:r>
              <w:rPr>
                <w:rFonts w:hint="default" w:ascii="Times New Roman" w:hAnsi="Times New Roman" w:eastAsia="宋体" w:cs="Times New Roman"/>
                <w:spacing w:val="4"/>
                <w:sz w:val="24"/>
                <w:szCs w:val="24"/>
              </w:rPr>
              <w:t>105</w:t>
            </w:r>
            <w:r>
              <w:rPr>
                <w:rFonts w:hint="default" w:ascii="Times New Roman" w:hAnsi="Times New Roman" w:eastAsia="宋体" w:cs="Times New Roman"/>
                <w:sz w:val="24"/>
                <w:szCs w:val="24"/>
              </w:rPr>
              <w:t>mmHg</w:t>
            </w:r>
            <w:r>
              <w:rPr>
                <w:rFonts w:hint="default" w:ascii="Times New Roman" w:hAnsi="Times New Roman" w:eastAsia="宋体" w:cs="Times New Roman"/>
                <w:spacing w:val="-39"/>
                <w:sz w:val="24"/>
                <w:szCs w:val="24"/>
              </w:rPr>
              <w:t xml:space="preserve"> </w:t>
            </w:r>
            <w:r>
              <w:rPr>
                <w:rFonts w:hint="default" w:ascii="Times New Roman" w:hAnsi="Times New Roman" w:eastAsia="宋体" w:cs="Times New Roman"/>
                <w:spacing w:val="4"/>
                <w:sz w:val="24"/>
                <w:szCs w:val="24"/>
              </w:rPr>
              <w:t>汞，折算13998.8</w:t>
            </w:r>
            <w:r>
              <w:rPr>
                <w:rFonts w:hint="default" w:ascii="Times New Roman" w:hAnsi="Times New Roman" w:eastAsia="宋体" w:cs="Times New Roman"/>
                <w:sz w:val="24"/>
                <w:szCs w:val="24"/>
              </w:rPr>
              <w:t>Pa</w:t>
            </w:r>
            <w:r>
              <w:rPr>
                <w:rFonts w:hint="default" w:ascii="Times New Roman" w:hAnsi="Times New Roman" w:eastAsia="宋体" w:cs="Times New Roman"/>
                <w:color w:val="auto"/>
                <w:sz w:val="24"/>
                <w:szCs w:val="24"/>
                <w:lang w:val="en-US" w:eastAsia="zh-CN"/>
              </w:rPr>
              <w:t>；</w:t>
            </w:r>
          </w:p>
          <w:p w14:paraId="081F0C69">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储罐直径</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m；</w:t>
            </w:r>
          </w:p>
          <w:p w14:paraId="2E53AAC3">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平均蒸气空间高度</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取高度的一半1</w:t>
            </w:r>
            <w:r>
              <w:rPr>
                <w:rFonts w:hint="default" w:ascii="Times New Roman" w:hAnsi="Times New Roman" w:eastAsia="宋体" w:cs="Times New Roman"/>
                <w:color w:val="auto"/>
                <w:sz w:val="24"/>
                <w:szCs w:val="24"/>
                <w:lang w:val="en-US" w:eastAsia="zh-CN"/>
              </w:rPr>
              <w:t>m；</w:t>
            </w:r>
          </w:p>
          <w:p w14:paraId="160C03FD">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一天之内的平均温度差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取10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p>
          <w:p w14:paraId="061BC54F">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vertAlign w:val="subscript"/>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涂层因子（无量纲），根据油漆状况取值1～1.5之间，取1.0；</w:t>
            </w:r>
          </w:p>
          <w:p w14:paraId="624F9D22">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用于小直径储罐的</w:t>
            </w:r>
            <w:r>
              <w:rPr>
                <w:rFonts w:hint="default" w:ascii="Times New Roman" w:hAnsi="Times New Roman" w:eastAsia="宋体" w:cs="Times New Roman"/>
                <w:spacing w:val="-4"/>
                <w:sz w:val="24"/>
                <w:szCs w:val="24"/>
              </w:rPr>
              <w:t>调</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节</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因</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4"/>
                <w:sz w:val="24"/>
                <w:szCs w:val="24"/>
              </w:rPr>
              <w:t>子 (</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无</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4"/>
                <w:sz w:val="24"/>
                <w:szCs w:val="24"/>
              </w:rPr>
              <w:t>纲</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58"/>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直</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径</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spacing w:val="-4"/>
                <w:sz w:val="24"/>
                <w:szCs w:val="24"/>
              </w:rPr>
              <w:t>在0~9m之</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4"/>
                <w:sz w:val="24"/>
                <w:szCs w:val="24"/>
              </w:rPr>
              <w:t>罐</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4"/>
                <w:sz w:val="24"/>
                <w:szCs w:val="24"/>
              </w:rPr>
              <w:t>体</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3"/>
                <w:sz w:val="24"/>
                <w:szCs w:val="24"/>
              </w:rPr>
              <w:t>C=1-0.0123(D-9)</w:t>
            </w:r>
            <w:r>
              <w:rPr>
                <w:rFonts w:hint="eastAsia" w:ascii="Times New Roman" w:hAnsi="Times New Roman" w:eastAsia="宋体" w:cs="Times New Roman"/>
                <w:spacing w:val="3"/>
                <w:sz w:val="24"/>
                <w:szCs w:val="24"/>
                <w:vertAlign w:val="superscript"/>
                <w:lang w:val="en-US" w:eastAsia="zh-CN"/>
              </w:rPr>
              <w:t>2</w:t>
            </w:r>
            <w:r>
              <w:rPr>
                <w:rFonts w:hint="eastAsia" w:ascii="Times New Roman" w:hAnsi="Times New Roman" w:eastAsia="宋体" w:cs="Times New Roman"/>
                <w:spacing w:val="3"/>
                <w:sz w:val="24"/>
                <w:szCs w:val="24"/>
                <w:lang w:val="en-US" w:eastAsia="zh-CN"/>
              </w:rPr>
              <w:t>；</w:t>
            </w:r>
            <w:r>
              <w:rPr>
                <w:rFonts w:hint="default" w:ascii="Times New Roman" w:hAnsi="Times New Roman" w:eastAsia="宋体" w:cs="Times New Roman"/>
                <w:spacing w:val="3"/>
                <w:sz w:val="24"/>
                <w:szCs w:val="24"/>
                <w:lang w:eastAsia="zh-CN"/>
              </w:rPr>
              <w:t>罐径大于</w:t>
            </w:r>
            <w:r>
              <w:rPr>
                <w:rFonts w:hint="default" w:ascii="Times New Roman" w:hAnsi="Times New Roman" w:eastAsia="宋体" w:cs="Times New Roman"/>
                <w:spacing w:val="3"/>
                <w:sz w:val="24"/>
                <w:szCs w:val="24"/>
                <w:lang w:val="en-US" w:eastAsia="zh-CN"/>
              </w:rPr>
              <w:t>9m的C=</w:t>
            </w:r>
            <w:r>
              <w:rPr>
                <w:rFonts w:hint="default" w:ascii="Times New Roman" w:hAnsi="Times New Roman" w:eastAsia="宋体" w:cs="Times New Roman"/>
                <w:color w:val="auto"/>
                <w:spacing w:val="3"/>
                <w:sz w:val="24"/>
                <w:szCs w:val="24"/>
                <w:lang w:val="en-US" w:eastAsia="zh-CN"/>
              </w:rPr>
              <w:t>1；本项目C=</w:t>
            </w:r>
            <w:r>
              <w:rPr>
                <w:rFonts w:hint="eastAsia" w:cs="Times New Roman"/>
                <w:color w:val="auto"/>
                <w:spacing w:val="3"/>
                <w:sz w:val="24"/>
                <w:szCs w:val="24"/>
                <w:lang w:val="en-US" w:eastAsia="zh-CN"/>
              </w:rPr>
              <w:t>0.362</w:t>
            </w:r>
          </w:p>
          <w:p w14:paraId="088021DA">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产品因子，取1.0。</w:t>
            </w:r>
          </w:p>
          <w:p w14:paraId="081AC50B">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0.045</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p>
          <w:p w14:paraId="581CC50D">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经计算，盐酸储罐大呼吸废气产生量为0.029</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0.004kg/h），小呼吸废气产生量为</w:t>
            </w:r>
            <w:r>
              <w:rPr>
                <w:rFonts w:hint="eastAsia" w:ascii="Times New Roman" w:hAnsi="Times New Roman" w:eastAsia="宋体" w:cs="Times New Roman"/>
                <w:color w:val="auto"/>
                <w:sz w:val="24"/>
                <w:szCs w:val="24"/>
                <w:lang w:val="en-US" w:eastAsia="zh-CN"/>
              </w:rPr>
              <w:t>0.045</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0.006kg/h），合计0.074t</w:t>
            </w:r>
            <w:r>
              <w:rPr>
                <w:rFonts w:hint="eastAsia"/>
                <w:color w:val="auto"/>
                <w:spacing w:val="-3"/>
                <w:sz w:val="24"/>
              </w:rPr>
              <w:t>/a</w:t>
            </w:r>
            <w:r>
              <w:rPr>
                <w:rFonts w:hint="default" w:ascii="Times New Roman" w:hAnsi="Times New Roman" w:eastAsia="宋体" w:cs="Times New Roman"/>
                <w:color w:val="auto"/>
                <w:sz w:val="24"/>
                <w:szCs w:val="24"/>
                <w:lang w:val="en-US" w:eastAsia="zh-CN"/>
              </w:rPr>
              <w:t>。</w:t>
            </w:r>
          </w:p>
          <w:p w14:paraId="49E44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eastAsia"/>
                <w:color w:val="auto"/>
                <w:spacing w:val="-3"/>
                <w:sz w:val="24"/>
                <w:lang w:val="en-US" w:eastAsia="zh-CN"/>
              </w:rPr>
            </w:pPr>
            <w:r>
              <w:rPr>
                <w:rFonts w:hint="eastAsia" w:cs="Times New Roman"/>
                <w:color w:val="auto"/>
                <w:spacing w:val="2"/>
                <w:sz w:val="24"/>
                <w:szCs w:val="24"/>
                <w:vertAlign w:val="baseline"/>
                <w:lang w:val="en-US" w:eastAsia="zh-CN"/>
              </w:rPr>
              <w:t>盐酸储罐呼吸废气采取套管收集后经密闭管道输送至二级碱喷淋装置处理，处理后由1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1</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color w:val="auto"/>
                <w:spacing w:val="-3"/>
                <w:sz w:val="24"/>
                <w:lang w:eastAsia="zh-CN"/>
              </w:rPr>
              <w:t>盐酸储罐呼吸废气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0.007t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0.001kg/h），</w:t>
            </w:r>
            <w:r>
              <w:rPr>
                <w:rFonts w:hint="eastAsia"/>
                <w:color w:val="auto"/>
                <w:spacing w:val="-3"/>
                <w:sz w:val="24"/>
                <w:lang w:eastAsia="zh-CN"/>
              </w:rPr>
              <w:t>无组织排放量为</w:t>
            </w:r>
            <w:r>
              <w:rPr>
                <w:rFonts w:hint="eastAsia"/>
                <w:color w:val="auto"/>
                <w:spacing w:val="-3"/>
                <w:sz w:val="24"/>
                <w:lang w:val="en-US" w:eastAsia="zh-CN"/>
              </w:rPr>
              <w:t>0.004t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0.0006kg/h）。</w:t>
            </w:r>
          </w:p>
          <w:p w14:paraId="5E6DD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②配酸废气</w:t>
            </w:r>
          </w:p>
          <w:p w14:paraId="4C4D6B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8" w:firstLineChars="200"/>
              <w:textAlignment w:val="auto"/>
              <w:rPr>
                <w:rFonts w:hint="eastAsia"/>
                <w:color w:val="auto"/>
                <w:spacing w:val="-3"/>
                <w:sz w:val="24"/>
                <w:lang w:val="en-US" w:eastAsia="zh-CN"/>
              </w:rPr>
            </w:pPr>
            <w:r>
              <w:rPr>
                <w:rFonts w:hint="eastAsia" w:ascii="Times New Roman" w:hAnsi="Times New Roman" w:eastAsia="宋体" w:cs="Times New Roman"/>
                <w:spacing w:val="7"/>
                <w:sz w:val="24"/>
                <w:szCs w:val="24"/>
                <w:lang w:eastAsia="zh-CN"/>
              </w:rPr>
              <w:t>项目</w:t>
            </w:r>
            <w:r>
              <w:rPr>
                <w:rFonts w:hint="default" w:ascii="Times New Roman" w:hAnsi="Times New Roman" w:eastAsia="宋体" w:cs="Times New Roman"/>
                <w:spacing w:val="7"/>
                <w:sz w:val="24"/>
                <w:szCs w:val="24"/>
              </w:rPr>
              <w:t>配酸过程为36%盐酸加入5m</w:t>
            </w:r>
            <w:r>
              <w:rPr>
                <w:rFonts w:hint="eastAsia"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rPr>
              <w:t>洗滤罐中，此过程类似于卸酸，配酸过程</w:t>
            </w:r>
            <w:r>
              <w:rPr>
                <w:rFonts w:hint="eastAsia" w:ascii="Times New Roman" w:hAnsi="Times New Roman" w:eastAsia="宋体" w:cs="Times New Roman"/>
                <w:spacing w:val="7"/>
                <w:sz w:val="24"/>
                <w:szCs w:val="24"/>
                <w:lang w:eastAsia="zh-CN"/>
              </w:rPr>
              <w:t>产生的酸性废气参照盐酸储罐大呼吸废气，配酸废气</w:t>
            </w:r>
            <w:r>
              <w:rPr>
                <w:rFonts w:hint="eastAsia" w:ascii="Times New Roman" w:hAnsi="Times New Roman" w:eastAsia="宋体" w:cs="Times New Roman"/>
                <w:color w:val="auto"/>
                <w:spacing w:val="2"/>
                <w:sz w:val="24"/>
                <w:szCs w:val="24"/>
                <w:vertAlign w:val="baseline"/>
                <w:lang w:val="en-US" w:eastAsia="zh-CN"/>
              </w:rPr>
              <w:t>HCl</w:t>
            </w:r>
            <w:r>
              <w:rPr>
                <w:rFonts w:hint="eastAsia" w:ascii="Times New Roman" w:hAnsi="Times New Roman" w:eastAsia="宋体" w:cs="Times New Roman"/>
                <w:spacing w:val="7"/>
                <w:sz w:val="24"/>
                <w:szCs w:val="24"/>
                <w:lang w:eastAsia="zh-CN"/>
              </w:rPr>
              <w:t>产生量为</w:t>
            </w:r>
            <w:r>
              <w:rPr>
                <w:rFonts w:hint="eastAsia" w:ascii="Times New Roman" w:hAnsi="Times New Roman" w:eastAsia="宋体" w:cs="Times New Roman"/>
                <w:color w:val="auto"/>
                <w:sz w:val="24"/>
                <w:szCs w:val="24"/>
                <w:lang w:val="en-US" w:eastAsia="zh-CN"/>
              </w:rPr>
              <w:t>0.029</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0.004kg/h）。</w:t>
            </w:r>
          </w:p>
          <w:p w14:paraId="69CD3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eastAsia"/>
                <w:color w:val="auto"/>
                <w:spacing w:val="-3"/>
                <w:sz w:val="24"/>
                <w:lang w:val="en-US" w:eastAsia="zh-CN"/>
              </w:rPr>
              <w:t xml:space="preserve"> </w:t>
            </w:r>
            <w:r>
              <w:rPr>
                <w:rFonts w:hint="eastAsia" w:ascii="Times New Roman" w:hAnsi="Times New Roman" w:cs="Times New Roman"/>
                <w:color w:val="auto"/>
                <w:sz w:val="24"/>
                <w:lang w:eastAsia="zh-CN"/>
              </w:rPr>
              <w:t>配酸</w:t>
            </w:r>
            <w:r>
              <w:rPr>
                <w:rFonts w:hint="eastAsia" w:cs="Times New Roman"/>
                <w:color w:val="auto"/>
                <w:spacing w:val="2"/>
                <w:sz w:val="24"/>
                <w:szCs w:val="24"/>
                <w:vertAlign w:val="baseline"/>
                <w:lang w:val="en-US" w:eastAsia="zh-CN"/>
              </w:rPr>
              <w:t>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1</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color w:val="auto"/>
                <w:spacing w:val="-3"/>
                <w:sz w:val="24"/>
                <w:lang w:eastAsia="zh-CN"/>
              </w:rPr>
              <w:t>配酸废气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0.003t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0.0004kg/h），</w:t>
            </w:r>
            <w:r>
              <w:rPr>
                <w:rFonts w:hint="eastAsia"/>
                <w:color w:val="auto"/>
                <w:spacing w:val="-3"/>
                <w:sz w:val="24"/>
                <w:lang w:eastAsia="zh-CN"/>
              </w:rPr>
              <w:t>无组织排放量为</w:t>
            </w:r>
            <w:r>
              <w:rPr>
                <w:rFonts w:hint="eastAsia"/>
                <w:color w:val="auto"/>
                <w:spacing w:val="-3"/>
                <w:sz w:val="24"/>
                <w:lang w:val="en-US" w:eastAsia="zh-CN"/>
              </w:rPr>
              <w:t>0.001t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0.0001kg/h）</w:t>
            </w:r>
            <w:r>
              <w:rPr>
                <w:rFonts w:hint="eastAsia" w:ascii="Times New Roman" w:hAnsi="Times New Roman" w:cs="Times New Roman"/>
                <w:color w:val="auto"/>
                <w:sz w:val="24"/>
                <w:lang w:eastAsia="zh-CN"/>
              </w:rPr>
              <w:t>。</w:t>
            </w:r>
          </w:p>
          <w:p w14:paraId="46BCE6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③</w:t>
            </w:r>
            <w:r>
              <w:rPr>
                <w:rFonts w:hint="eastAsia" w:ascii="Times New Roman" w:hAnsi="Times New Roman" w:eastAsia="宋体" w:cs="Times New Roman"/>
                <w:b/>
                <w:bCs/>
                <w:color w:val="auto"/>
                <w:sz w:val="24"/>
                <w:szCs w:val="24"/>
                <w:lang w:eastAsia="zh-CN"/>
              </w:rPr>
              <w:t>酸洗</w:t>
            </w:r>
            <w:r>
              <w:rPr>
                <w:rFonts w:hint="eastAsia" w:cs="Times New Roman"/>
                <w:b/>
                <w:bCs/>
                <w:color w:val="auto"/>
                <w:sz w:val="24"/>
                <w:szCs w:val="24"/>
                <w:lang w:eastAsia="zh-CN"/>
              </w:rPr>
              <w:t>、干燥废气</w:t>
            </w:r>
          </w:p>
          <w:p w14:paraId="42205CAF">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酸雾源强：</w:t>
            </w: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酸洗</w:t>
            </w:r>
            <w:r>
              <w:rPr>
                <w:rFonts w:hint="eastAsia" w:cs="Times New Roman"/>
                <w:color w:val="auto"/>
                <w:sz w:val="24"/>
                <w:lang w:eastAsia="zh-CN"/>
              </w:rPr>
              <w:t>及干燥</w:t>
            </w:r>
            <w:r>
              <w:rPr>
                <w:rFonts w:hint="eastAsia" w:ascii="Times New Roman" w:hAnsi="Times New Roman" w:cs="Times New Roman"/>
                <w:color w:val="auto"/>
                <w:sz w:val="24"/>
                <w:lang w:eastAsia="zh-CN"/>
              </w:rPr>
              <w:t>过程会产生少量</w:t>
            </w:r>
            <w:r>
              <w:rPr>
                <w:rFonts w:hint="eastAsia" w:ascii="Times New Roman" w:hAnsi="Times New Roman" w:eastAsia="宋体" w:cs="Times New Roman"/>
                <w:color w:val="auto"/>
                <w:spacing w:val="2"/>
                <w:sz w:val="24"/>
                <w:szCs w:val="24"/>
                <w:vertAlign w:val="baseline"/>
                <w:lang w:val="en-US" w:eastAsia="zh-CN"/>
              </w:rPr>
              <w:t>HCl</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产生量</w:t>
            </w:r>
            <w:r>
              <w:rPr>
                <w:rFonts w:hint="eastAsia" w:ascii="Times New Roman" w:hAnsi="Times New Roman" w:cs="Times New Roman"/>
                <w:color w:val="auto"/>
                <w:sz w:val="24"/>
                <w:lang w:eastAsia="zh-CN"/>
              </w:rPr>
              <w:t>参照</w:t>
            </w:r>
            <w:r>
              <w:rPr>
                <w:rFonts w:hint="default" w:ascii="Times New Roman" w:hAnsi="Times New Roman" w:cs="Times New Roman"/>
                <w:color w:val="auto"/>
                <w:sz w:val="24"/>
              </w:rPr>
              <w:t>《环境统计手册》（四川</w:t>
            </w:r>
            <w:r>
              <w:rPr>
                <w:rFonts w:hint="eastAsia" w:ascii="Times New Roman" w:hAnsi="Times New Roman" w:cs="Times New Roman"/>
                <w:color w:val="auto"/>
                <w:sz w:val="24"/>
                <w:lang w:eastAsia="zh-CN"/>
              </w:rPr>
              <w:t>科学技术</w:t>
            </w:r>
            <w:r>
              <w:rPr>
                <w:rFonts w:hint="default" w:ascii="Times New Roman" w:hAnsi="Times New Roman" w:cs="Times New Roman"/>
                <w:color w:val="auto"/>
                <w:sz w:val="24"/>
              </w:rPr>
              <w:t>出版社）中液体蒸发量计算公式，</w:t>
            </w:r>
            <w:r>
              <w:rPr>
                <w:rFonts w:hint="eastAsia" w:ascii="Times New Roman" w:hAnsi="Times New Roman" w:cs="Times New Roman"/>
                <w:color w:val="auto"/>
                <w:sz w:val="24"/>
                <w:lang w:eastAsia="zh-CN"/>
              </w:rPr>
              <w:t>计算公式如下</w:t>
            </w:r>
            <w:r>
              <w:rPr>
                <w:rFonts w:hint="default" w:ascii="Times New Roman" w:hAnsi="Times New Roman" w:cs="Times New Roman"/>
                <w:color w:val="auto"/>
                <w:sz w:val="24"/>
              </w:rPr>
              <w:t>：</w:t>
            </w:r>
          </w:p>
          <w:p w14:paraId="38B1C0DF">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G</w:t>
            </w:r>
            <w:r>
              <w:rPr>
                <w:rFonts w:hint="eastAsia" w:ascii="Times New Roman" w:hAnsi="Times New Roman" w:cs="Times New Roman"/>
                <w:color w:val="auto"/>
                <w:sz w:val="24"/>
                <w:vertAlign w:val="subscript"/>
                <w:lang w:val="en-US" w:eastAsia="zh-CN"/>
              </w:rPr>
              <w:t>Z</w:t>
            </w:r>
            <w:r>
              <w:rPr>
                <w:rFonts w:hint="default" w:ascii="Times New Roman" w:hAnsi="Times New Roman" w:cs="Times New Roman"/>
                <w:color w:val="auto"/>
                <w:sz w:val="24"/>
              </w:rPr>
              <w:t>=M（0.000352+0.000786×U）×P×F</w:t>
            </w:r>
          </w:p>
          <w:p w14:paraId="00612AD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式中：Gz——液体的蒸发量，kg/h；</w:t>
            </w:r>
          </w:p>
          <w:p w14:paraId="41866EE9">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M——液体分子量</w:t>
            </w:r>
            <w:r>
              <w:rPr>
                <w:rFonts w:hint="eastAsia" w:ascii="Times New Roman" w:hAnsi="Times New Roman" w:cs="Times New Roman"/>
                <w:color w:val="auto"/>
                <w:sz w:val="24"/>
                <w:lang w:eastAsia="zh-CN"/>
              </w:rPr>
              <w:t>，</w:t>
            </w:r>
            <w:r>
              <w:rPr>
                <w:rFonts w:hint="eastAsia" w:cs="Times New Roman"/>
                <w:color w:val="auto"/>
                <w:sz w:val="24"/>
                <w:szCs w:val="24"/>
                <w:lang w:val="en-US" w:eastAsia="zh-CN"/>
              </w:rPr>
              <w:t>取36.5</w:t>
            </w:r>
            <w:r>
              <w:rPr>
                <w:rFonts w:hint="default" w:ascii="Times New Roman" w:hAnsi="Times New Roman" w:cs="Times New Roman"/>
                <w:color w:val="auto"/>
                <w:sz w:val="24"/>
              </w:rPr>
              <w:t>；</w:t>
            </w:r>
          </w:p>
          <w:p w14:paraId="65B75FD6">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U——蒸发液体表面上的空气流速（m/s），应以实测数据为准。无条件实测时，一般可取0.2-0.</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m/s；本次取0.</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m/s。</w:t>
            </w:r>
          </w:p>
          <w:p w14:paraId="6DAF1782">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P——相应于液体温度下空气中的饱和蒸</w:t>
            </w:r>
            <w:r>
              <w:rPr>
                <w:rFonts w:hint="default" w:ascii="Times New Roman" w:hAnsi="Times New Roman" w:eastAsia="宋体" w:cs="Times New Roman"/>
                <w:color w:val="auto"/>
                <w:sz w:val="24"/>
                <w:szCs w:val="24"/>
              </w:rPr>
              <w:t>汽分压力（mmHg），</w:t>
            </w:r>
            <w:r>
              <w:rPr>
                <w:rFonts w:hint="default" w:ascii="Times New Roman" w:hAnsi="Times New Roman" w:eastAsia="宋体" w:cs="Times New Roman"/>
                <w:color w:val="auto"/>
                <w:spacing w:val="15"/>
                <w:sz w:val="24"/>
                <w:szCs w:val="24"/>
              </w:rPr>
              <w:t>本项目酸液浓度</w:t>
            </w:r>
            <w:r>
              <w:rPr>
                <w:rFonts w:hint="default" w:ascii="Times New Roman" w:hAnsi="Times New Roman" w:eastAsia="宋体" w:cs="Times New Roman"/>
                <w:color w:val="auto"/>
                <w:spacing w:val="7"/>
                <w:sz w:val="24"/>
                <w:szCs w:val="24"/>
              </w:rPr>
              <w:t>0.5</w:t>
            </w:r>
            <w:r>
              <w:rPr>
                <w:rFonts w:hint="default" w:ascii="Times New Roman" w:hAnsi="Times New Roman" w:eastAsia="宋体" w:cs="Times New Roman"/>
                <w:color w:val="auto"/>
                <w:sz w:val="24"/>
                <w:szCs w:val="24"/>
              </w:rPr>
              <w:t>mol</w:t>
            </w:r>
            <w:r>
              <w:rPr>
                <w:rFonts w:hint="default" w:ascii="Times New Roman" w:hAnsi="Times New Roman" w:eastAsia="宋体" w:cs="Times New Roman"/>
                <w:color w:val="auto"/>
                <w:spacing w:val="7"/>
                <w:sz w:val="24"/>
                <w:szCs w:val="24"/>
              </w:rPr>
              <w:t>/L</w:t>
            </w:r>
            <w:r>
              <w:rPr>
                <w:rFonts w:hint="eastAsia" w:ascii="Times New Roman" w:hAnsi="Times New Roman" w:eastAsia="宋体" w:cs="Times New Roman"/>
                <w:color w:val="auto"/>
                <w:spacing w:val="7"/>
                <w:sz w:val="24"/>
                <w:szCs w:val="24"/>
                <w:lang w:val="en-US" w:eastAsia="zh-CN"/>
              </w:rPr>
              <w:t>-</w:t>
            </w:r>
            <w:r>
              <w:rPr>
                <w:rFonts w:hint="default" w:ascii="Times New Roman" w:hAnsi="Times New Roman" w:eastAsia="宋体" w:cs="Times New Roman"/>
                <w:color w:val="auto"/>
                <w:spacing w:val="7"/>
                <w:sz w:val="24"/>
                <w:szCs w:val="24"/>
              </w:rPr>
              <w:t>1</w:t>
            </w:r>
            <w:r>
              <w:rPr>
                <w:rFonts w:hint="default" w:ascii="Times New Roman" w:hAnsi="Times New Roman" w:eastAsia="宋体" w:cs="Times New Roman"/>
                <w:color w:val="auto"/>
                <w:sz w:val="24"/>
                <w:szCs w:val="24"/>
              </w:rPr>
              <w:t>mol</w:t>
            </w:r>
            <w:r>
              <w:rPr>
                <w:rFonts w:hint="default" w:ascii="Times New Roman" w:hAnsi="Times New Roman" w:eastAsia="宋体" w:cs="Times New Roman"/>
                <w:color w:val="auto"/>
                <w:spacing w:val="7"/>
                <w:sz w:val="24"/>
                <w:szCs w:val="24"/>
              </w:rPr>
              <w:t>/L（质量浓度</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7"/>
                <w:sz w:val="24"/>
                <w:szCs w:val="24"/>
              </w:rPr>
              <w:t>2%-4%</w:t>
            </w:r>
            <w:r>
              <w:rPr>
                <w:rFonts w:hint="default" w:ascii="Times New Roman" w:hAnsi="Times New Roman" w:eastAsia="宋体" w:cs="Times New Roman"/>
                <w:color w:val="auto"/>
                <w:spacing w:val="17"/>
                <w:sz w:val="24"/>
                <w:szCs w:val="24"/>
              </w:rPr>
              <w:t>），</w:t>
            </w:r>
            <w:r>
              <w:rPr>
                <w:rFonts w:hint="default" w:ascii="Times New Roman" w:hAnsi="Times New Roman" w:eastAsia="宋体" w:cs="Times New Roman"/>
                <w:color w:val="auto"/>
                <w:spacing w:val="7"/>
                <w:sz w:val="24"/>
                <w:szCs w:val="24"/>
              </w:rPr>
              <w:t>参考</w:t>
            </w:r>
            <w:r>
              <w:rPr>
                <w:rFonts w:hint="default" w:ascii="Times New Roman" w:hAnsi="Times New Roman" w:eastAsia="宋体" w:cs="Times New Roman"/>
                <w:spacing w:val="-35"/>
                <w:sz w:val="24"/>
                <w:szCs w:val="24"/>
              </w:rPr>
              <w:t xml:space="preserve"> </w:t>
            </w:r>
            <w:r>
              <w:rPr>
                <w:rFonts w:hint="default" w:ascii="Times New Roman" w:hAnsi="Times New Roman" w:eastAsia="宋体" w:cs="Times New Roman"/>
                <w:spacing w:val="7"/>
                <w:sz w:val="24"/>
                <w:szCs w:val="24"/>
              </w:rPr>
              <w:t xml:space="preserve">25℃下，2%和4%浓度未查询到相关数据，本次按最不利影响按10%浓度取值 </w:t>
            </w:r>
            <w:r>
              <w:rPr>
                <w:rFonts w:hint="eastAsia" w:cs="Times New Roman"/>
                <w:spacing w:val="7"/>
                <w:sz w:val="24"/>
                <w:szCs w:val="24"/>
                <w:lang w:eastAsia="zh-CN"/>
              </w:rPr>
              <w:t>，</w:t>
            </w:r>
            <w:r>
              <w:rPr>
                <w:rFonts w:hint="default" w:ascii="Times New Roman" w:hAnsi="Times New Roman" w:eastAsia="宋体" w:cs="Times New Roman"/>
                <w:spacing w:val="7"/>
                <w:sz w:val="24"/>
                <w:szCs w:val="24"/>
              </w:rPr>
              <w:t>10%</w:t>
            </w:r>
            <w:r>
              <w:rPr>
                <w:rFonts w:hint="default" w:ascii="Times New Roman" w:hAnsi="Times New Roman" w:eastAsia="宋体" w:cs="Times New Roman"/>
                <w:sz w:val="24"/>
                <w:szCs w:val="24"/>
              </w:rPr>
              <w:t>HCl</w:t>
            </w:r>
            <w:r>
              <w:rPr>
                <w:rFonts w:hint="default" w:ascii="Times New Roman" w:hAnsi="Times New Roman" w:eastAsia="宋体" w:cs="Times New Roman"/>
                <w:spacing w:val="-38"/>
                <w:sz w:val="24"/>
                <w:szCs w:val="24"/>
              </w:rPr>
              <w:t xml:space="preserve"> </w:t>
            </w:r>
            <w:r>
              <w:rPr>
                <w:rFonts w:hint="default" w:ascii="Times New Roman" w:hAnsi="Times New Roman" w:eastAsia="宋体" w:cs="Times New Roman"/>
                <w:spacing w:val="7"/>
                <w:sz w:val="24"/>
                <w:szCs w:val="24"/>
              </w:rPr>
              <w:t>溶液</w:t>
            </w:r>
            <w:r>
              <w:rPr>
                <w:rFonts w:hint="default" w:ascii="Times New Roman" w:hAnsi="Times New Roman" w:eastAsia="宋体" w:cs="Times New Roman"/>
                <w:spacing w:val="-41"/>
                <w:sz w:val="24"/>
                <w:szCs w:val="24"/>
              </w:rPr>
              <w:t xml:space="preserve"> </w:t>
            </w:r>
            <w:r>
              <w:rPr>
                <w:rFonts w:hint="default" w:ascii="Times New Roman" w:hAnsi="Times New Roman" w:eastAsia="宋体" w:cs="Times New Roman"/>
                <w:sz w:val="24"/>
                <w:szCs w:val="24"/>
              </w:rPr>
              <w:t>HCl</w:t>
            </w:r>
            <w:r>
              <w:rPr>
                <w:rFonts w:hint="default" w:ascii="Times New Roman" w:hAnsi="Times New Roman" w:eastAsia="宋体" w:cs="Times New Roman"/>
                <w:spacing w:val="-40"/>
                <w:sz w:val="24"/>
                <w:szCs w:val="24"/>
              </w:rPr>
              <w:t xml:space="preserve"> </w:t>
            </w:r>
            <w:r>
              <w:rPr>
                <w:rFonts w:hint="default" w:ascii="Times New Roman" w:hAnsi="Times New Roman" w:eastAsia="宋体" w:cs="Times New Roman"/>
                <w:spacing w:val="7"/>
                <w:sz w:val="24"/>
                <w:szCs w:val="24"/>
              </w:rPr>
              <w:t>气体分压取</w:t>
            </w:r>
            <w:r>
              <w:rPr>
                <w:rFonts w:hint="default" w:ascii="Times New Roman" w:hAnsi="Times New Roman" w:eastAsia="宋体" w:cs="Times New Roman"/>
                <w:spacing w:val="5"/>
                <w:sz w:val="24"/>
                <w:szCs w:val="24"/>
              </w:rPr>
              <w:t>0.007</w:t>
            </w:r>
            <w:r>
              <w:rPr>
                <w:rFonts w:hint="default" w:ascii="Times New Roman" w:hAnsi="Times New Roman" w:eastAsia="宋体" w:cs="Times New Roman"/>
                <w:sz w:val="24"/>
                <w:szCs w:val="24"/>
              </w:rPr>
              <w:t>mmHg</w:t>
            </w:r>
            <w:r>
              <w:rPr>
                <w:rFonts w:hint="default" w:ascii="Times New Roman" w:hAnsi="Times New Roman" w:eastAsia="宋体" w:cs="Times New Roman"/>
                <w:color w:val="auto"/>
                <w:sz w:val="24"/>
                <w:szCs w:val="24"/>
              </w:rPr>
              <w:t>；</w:t>
            </w:r>
          </w:p>
          <w:p w14:paraId="1F79CAD3">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F——蒸发面的面积，</w:t>
            </w:r>
            <w:r>
              <w:rPr>
                <w:rFonts w:hint="eastAsia" w:ascii="Times New Roman" w:hAnsi="Times New Roman" w:cs="Times New Roman"/>
                <w:color w:val="auto"/>
                <w:sz w:val="24"/>
                <w:lang w:eastAsia="zh-CN"/>
              </w:rPr>
              <w:t>m</w:t>
            </w:r>
            <w:r>
              <w:rPr>
                <w:rFonts w:hint="eastAsia" w:ascii="Times New Roman" w:hAnsi="Times New Roman" w:cs="Times New Roman"/>
                <w:color w:val="auto"/>
                <w:sz w:val="24"/>
                <w:vertAlign w:val="superscript"/>
                <w:lang w:eastAsia="zh-CN"/>
              </w:rPr>
              <w:t>2</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项目洗滤罐直径</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F</w:t>
            </w:r>
            <w:r>
              <w:rPr>
                <w:rFonts w:hint="eastAsia" w:ascii="Times New Roman" w:hAnsi="Times New Roman" w:cs="Times New Roman"/>
                <w:color w:val="auto"/>
                <w:sz w:val="24"/>
                <w:lang w:val="en-US" w:eastAsia="zh-CN"/>
              </w:rPr>
              <w:t>=3.14</w:t>
            </w:r>
            <w:r>
              <w:rPr>
                <w:rFonts w:hint="eastAsia" w:ascii="Times New Roman" w:hAnsi="Times New Roman" w:cs="Times New Roman"/>
                <w:color w:val="auto"/>
                <w:sz w:val="24"/>
                <w:lang w:eastAsia="zh-CN"/>
              </w:rPr>
              <w:t>m</w:t>
            </w:r>
            <w:r>
              <w:rPr>
                <w:rFonts w:hint="eastAsia" w:ascii="Times New Roman" w:hAnsi="Times New Roman" w:cs="Times New Roman"/>
                <w:color w:val="auto"/>
                <w:sz w:val="24"/>
                <w:vertAlign w:val="superscript"/>
                <w:lang w:eastAsia="zh-CN"/>
              </w:rPr>
              <w:t>2</w:t>
            </w:r>
            <w:r>
              <w:rPr>
                <w:rFonts w:hint="default" w:ascii="Times New Roman" w:hAnsi="Times New Roman" w:cs="Times New Roman"/>
                <w:color w:val="auto"/>
                <w:sz w:val="24"/>
              </w:rPr>
              <w:t>。</w:t>
            </w:r>
          </w:p>
          <w:p w14:paraId="597AB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eastAsia" w:ascii="Times New Roman" w:hAnsi="Times New Roman" w:cs="Times New Roman"/>
                <w:color w:val="auto"/>
                <w:sz w:val="24"/>
                <w:lang w:eastAsia="zh-CN"/>
              </w:rPr>
              <w:t>经计算，</w:t>
            </w:r>
            <w:r>
              <w:rPr>
                <w:rFonts w:hint="eastAsia" w:cs="Times New Roman"/>
                <w:color w:val="auto"/>
                <w:sz w:val="24"/>
                <w:lang w:eastAsia="zh-CN"/>
              </w:rPr>
              <w:t>每个酸液储罐盐酸雾产生量为</w:t>
            </w:r>
            <w:r>
              <w:rPr>
                <w:rFonts w:hint="eastAsia" w:cs="Times New Roman"/>
                <w:color w:val="auto"/>
                <w:sz w:val="24"/>
                <w:lang w:val="en-US" w:eastAsia="zh-CN"/>
              </w:rPr>
              <w:t>0.0005</w:t>
            </w:r>
            <w:r>
              <w:rPr>
                <w:rFonts w:hint="eastAsia"/>
                <w:color w:val="auto"/>
                <w:spacing w:val="-3"/>
                <w:sz w:val="24"/>
                <w:lang w:val="en-US" w:eastAsia="zh-CN"/>
              </w:rPr>
              <w:t>kg/h，</w:t>
            </w:r>
            <w:r>
              <w:rPr>
                <w:rFonts w:hint="eastAsia" w:cs="Times New Roman"/>
                <w:b w:val="0"/>
                <w:bCs w:val="0"/>
                <w:color w:val="auto"/>
                <w:sz w:val="24"/>
                <w:szCs w:val="24"/>
                <w:lang w:val="en-US" w:eastAsia="zh-CN"/>
              </w:rPr>
              <w:t>1#车间共</w:t>
            </w:r>
            <w:r>
              <w:rPr>
                <w:rFonts w:hint="eastAsia" w:ascii="Times New Roman" w:hAnsi="Times New Roman" w:cs="Times New Roman"/>
                <w:color w:val="auto"/>
                <w:sz w:val="24"/>
                <w:lang w:val="en-US" w:eastAsia="zh-CN"/>
              </w:rPr>
              <w:t>32个洗滤罐</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年运行时间</w:t>
            </w:r>
            <w:r>
              <w:rPr>
                <w:rFonts w:hint="eastAsia" w:ascii="Times New Roman" w:hAnsi="Times New Roman" w:cs="Times New Roman"/>
                <w:color w:val="auto"/>
                <w:sz w:val="24"/>
                <w:lang w:val="en-US" w:eastAsia="zh-CN"/>
              </w:rPr>
              <w:t>7200h，则</w:t>
            </w:r>
            <w:r>
              <w:rPr>
                <w:rFonts w:hint="default" w:ascii="Times New Roman" w:hAnsi="Times New Roman" w:eastAsia="宋体" w:cs="Times New Roman"/>
                <w:color w:val="auto"/>
                <w:spacing w:val="-41"/>
                <w:sz w:val="24"/>
                <w:szCs w:val="24"/>
              </w:rPr>
              <w:t xml:space="preserve"> </w:t>
            </w:r>
            <w:r>
              <w:rPr>
                <w:rFonts w:hint="default" w:ascii="Times New Roman" w:hAnsi="Times New Roman" w:eastAsia="宋体" w:cs="Times New Roman"/>
                <w:color w:val="auto"/>
                <w:sz w:val="24"/>
                <w:szCs w:val="24"/>
              </w:rPr>
              <w:t>HCl</w:t>
            </w:r>
            <w:r>
              <w:rPr>
                <w:rFonts w:hint="eastAsia" w:ascii="Times New Roman" w:hAnsi="Times New Roman" w:eastAsia="宋体" w:cs="Times New Roman"/>
                <w:color w:val="auto"/>
                <w:sz w:val="24"/>
                <w:szCs w:val="24"/>
                <w:lang w:eastAsia="zh-CN"/>
              </w:rPr>
              <w:t>产生量为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115</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0.016kg/h）</w:t>
            </w:r>
            <w:r>
              <w:rPr>
                <w:rFonts w:hint="default" w:ascii="Times New Roman" w:hAnsi="Times New Roman" w:cs="Times New Roman"/>
                <w:color w:val="auto"/>
                <w:sz w:val="24"/>
              </w:rPr>
              <w:t>。</w:t>
            </w:r>
          </w:p>
          <w:p w14:paraId="2A4BD9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粉尘源强：</w:t>
            </w:r>
            <w:r>
              <w:rPr>
                <w:rFonts w:hint="default" w:ascii="Times New Roman" w:hAnsi="Times New Roman" w:eastAsia="宋体" w:cs="Times New Roman"/>
                <w:color w:val="000000"/>
                <w:kern w:val="0"/>
                <w:sz w:val="24"/>
                <w:szCs w:val="24"/>
                <w:lang w:val="en-US" w:eastAsia="zh-CN" w:bidi="ar"/>
              </w:rPr>
              <w:t>本项目烘干过程产生的废气中颗粒物产生量</w:t>
            </w:r>
            <w:r>
              <w:rPr>
                <w:rFonts w:hint="eastAsia" w:ascii="Times New Roman" w:hAnsi="Times New Roman" w:cs="Times New Roman"/>
                <w:sz w:val="24"/>
                <w:szCs w:val="24"/>
                <w:lang w:val="en-US" w:eastAsia="zh-CN"/>
              </w:rPr>
              <w:t>参照</w:t>
            </w:r>
            <w:r>
              <w:rPr>
                <w:spacing w:val="-3"/>
                <w:sz w:val="24"/>
                <w:szCs w:val="24"/>
              </w:rPr>
              <w:t>《排放源统计调查产排污核算方</w:t>
            </w:r>
            <w:r>
              <w:rPr>
                <w:spacing w:val="-6"/>
                <w:sz w:val="24"/>
                <w:szCs w:val="24"/>
              </w:rPr>
              <w:t>法和系数手册》</w:t>
            </w:r>
            <w:r>
              <w:rPr>
                <w:rFonts w:hint="default" w:ascii="Times New Roman" w:hAnsi="Times New Roman" w:eastAsia="宋体" w:cs="Times New Roman"/>
                <w:color w:val="000000"/>
                <w:kern w:val="0"/>
                <w:sz w:val="24"/>
                <w:szCs w:val="24"/>
                <w:lang w:val="en-US" w:eastAsia="zh-CN" w:bidi="ar"/>
              </w:rPr>
              <w:t>3099其他非金属矿物制品制造行业系数手册中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非金属矿物制品干燥过程颗粒物的产生系数为0.763kg/吨-产品</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进行计算，</w:t>
            </w:r>
            <w:r>
              <w:rPr>
                <w:rFonts w:hint="eastAsia"/>
                <w:color w:val="auto"/>
                <w:spacing w:val="-6"/>
                <w:sz w:val="24"/>
                <w:szCs w:val="24"/>
                <w:lang w:val="en-US" w:eastAsia="zh-CN"/>
              </w:rPr>
              <w:t>本项目1#车间</w:t>
            </w:r>
            <w:r>
              <w:rPr>
                <w:rFonts w:hint="eastAsia"/>
                <w:bCs/>
                <w:color w:val="auto"/>
                <w:sz w:val="24"/>
                <w:szCs w:val="24"/>
                <w:lang w:val="en-US" w:eastAsia="zh-CN"/>
              </w:rPr>
              <w:t>年产超级多孔碳为4000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，则1#车间干燥粉尘产生量为3.052</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p>
          <w:p w14:paraId="2FAA7D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洗滤罐均有加盖，酸洗</w:t>
            </w:r>
            <w:r>
              <w:rPr>
                <w:rFonts w:hint="eastAsia" w:cs="Times New Roman"/>
                <w:color w:val="auto"/>
                <w:sz w:val="24"/>
                <w:lang w:eastAsia="zh-CN"/>
              </w:rPr>
              <w:t>、干燥</w:t>
            </w:r>
            <w:r>
              <w:rPr>
                <w:rFonts w:hint="eastAsia" w:cs="Times New Roman"/>
                <w:color w:val="auto"/>
                <w:spacing w:val="2"/>
                <w:sz w:val="24"/>
                <w:szCs w:val="24"/>
                <w:vertAlign w:val="baseline"/>
                <w:lang w:val="en-US" w:eastAsia="zh-CN"/>
              </w:rPr>
              <w:t>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1</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ascii="Times New Roman" w:hAnsi="Times New Roman" w:cs="Times New Roman"/>
                <w:color w:val="auto"/>
                <w:sz w:val="24"/>
                <w:lang w:eastAsia="zh-CN"/>
              </w:rPr>
              <w:t>酸洗</w:t>
            </w:r>
            <w:r>
              <w:rPr>
                <w:rFonts w:hint="eastAsia" w:cs="Times New Roman"/>
                <w:color w:val="auto"/>
                <w:sz w:val="24"/>
                <w:lang w:eastAsia="zh-CN"/>
              </w:rPr>
              <w:t>、干燥</w:t>
            </w:r>
            <w:r>
              <w:rPr>
                <w:rFonts w:hint="eastAsia" w:cs="Times New Roman"/>
                <w:color w:val="auto"/>
                <w:spacing w:val="2"/>
                <w:sz w:val="24"/>
                <w:szCs w:val="24"/>
                <w:vertAlign w:val="baseline"/>
                <w:lang w:val="en-US" w:eastAsia="zh-CN"/>
              </w:rPr>
              <w:t>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0.011t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0.0015kg/h），</w:t>
            </w:r>
            <w:r>
              <w:rPr>
                <w:rFonts w:hint="eastAsia"/>
                <w:color w:val="auto"/>
                <w:spacing w:val="-3"/>
                <w:sz w:val="24"/>
                <w:lang w:eastAsia="zh-CN"/>
              </w:rPr>
              <w:t>无组织排放量为</w:t>
            </w:r>
            <w:r>
              <w:rPr>
                <w:rFonts w:hint="eastAsia"/>
                <w:color w:val="auto"/>
                <w:spacing w:val="-3"/>
                <w:sz w:val="24"/>
                <w:lang w:val="en-US" w:eastAsia="zh-CN"/>
              </w:rPr>
              <w:t>0.006t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0.0008kg/h）</w:t>
            </w:r>
            <w:r>
              <w:rPr>
                <w:rFonts w:hint="eastAsia" w:cs="Times New Roman"/>
                <w:color w:val="auto"/>
                <w:sz w:val="24"/>
                <w:lang w:eastAsia="zh-CN"/>
              </w:rPr>
              <w:t>；</w:t>
            </w:r>
            <w:r>
              <w:rPr>
                <w:rFonts w:hint="eastAsia" w:ascii="Times New Roman" w:hAnsi="Times New Roman" w:cs="Times New Roman"/>
                <w:color w:val="auto"/>
                <w:sz w:val="24"/>
                <w:lang w:eastAsia="zh-CN"/>
              </w:rPr>
              <w:t>粉尘</w:t>
            </w:r>
            <w:r>
              <w:rPr>
                <w:rFonts w:hint="eastAsia"/>
                <w:color w:val="auto"/>
                <w:spacing w:val="-3"/>
                <w:sz w:val="24"/>
                <w:lang w:eastAsia="zh-CN"/>
              </w:rPr>
              <w:t>有组织排放量为</w:t>
            </w:r>
            <w:r>
              <w:rPr>
                <w:rFonts w:hint="eastAsia"/>
                <w:color w:val="auto"/>
                <w:spacing w:val="-3"/>
                <w:sz w:val="24"/>
                <w:lang w:val="en-US" w:eastAsia="zh-CN"/>
              </w:rPr>
              <w:t>0.29t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0.04kg/h），</w:t>
            </w:r>
            <w:r>
              <w:rPr>
                <w:rFonts w:hint="eastAsia"/>
                <w:color w:val="auto"/>
                <w:spacing w:val="-3"/>
                <w:sz w:val="24"/>
                <w:lang w:eastAsia="zh-CN"/>
              </w:rPr>
              <w:t>无组织排放量为</w:t>
            </w:r>
            <w:r>
              <w:rPr>
                <w:rFonts w:hint="eastAsia"/>
                <w:color w:val="auto"/>
                <w:spacing w:val="-3"/>
                <w:sz w:val="24"/>
                <w:lang w:val="en-US" w:eastAsia="zh-CN"/>
              </w:rPr>
              <w:t>0.153t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0.02kg/h）</w:t>
            </w:r>
            <w:r>
              <w:rPr>
                <w:rFonts w:hint="eastAsia" w:ascii="Times New Roman" w:hAnsi="Times New Roman" w:cs="Times New Roman"/>
                <w:color w:val="auto"/>
                <w:sz w:val="24"/>
                <w:lang w:eastAsia="zh-CN"/>
              </w:rPr>
              <w:t>。</w:t>
            </w:r>
          </w:p>
          <w:p w14:paraId="6EA790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④</w:t>
            </w:r>
            <w:r>
              <w:rPr>
                <w:rFonts w:hint="eastAsia" w:ascii="Times New Roman" w:hAnsi="Times New Roman" w:eastAsia="宋体" w:cs="Times New Roman"/>
                <w:b/>
                <w:bCs/>
                <w:color w:val="auto"/>
                <w:sz w:val="24"/>
                <w:szCs w:val="24"/>
                <w:lang w:eastAsia="zh-CN"/>
              </w:rPr>
              <w:t>粉碎</w:t>
            </w:r>
            <w:r>
              <w:rPr>
                <w:rFonts w:hint="eastAsia" w:cs="Times New Roman"/>
                <w:b/>
                <w:bCs/>
                <w:color w:val="auto"/>
                <w:sz w:val="24"/>
                <w:szCs w:val="24"/>
                <w:lang w:eastAsia="zh-CN"/>
              </w:rPr>
              <w:t>粉尘</w:t>
            </w:r>
          </w:p>
          <w:p w14:paraId="1188B2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000000"/>
                <w:kern w:val="0"/>
                <w:sz w:val="24"/>
                <w:szCs w:val="24"/>
                <w:lang w:val="en-US" w:eastAsia="zh-CN" w:bidi="ar"/>
              </w:rPr>
              <w:t>项目</w:t>
            </w:r>
            <w:r>
              <w:rPr>
                <w:rFonts w:hint="eastAsia" w:cs="Times New Roman"/>
                <w:color w:val="000000"/>
                <w:kern w:val="0"/>
                <w:sz w:val="24"/>
                <w:szCs w:val="24"/>
                <w:lang w:val="en-US" w:eastAsia="zh-CN" w:bidi="ar"/>
              </w:rPr>
              <w:t>粉碎系统为封闭式，</w:t>
            </w:r>
            <w:r>
              <w:rPr>
                <w:rFonts w:hint="default" w:ascii="Times New Roman" w:hAnsi="Times New Roman" w:eastAsia="宋体" w:cs="Times New Roman"/>
                <w:color w:val="auto"/>
                <w:sz w:val="24"/>
                <w:szCs w:val="24"/>
                <w:lang w:val="en-US" w:eastAsia="zh-CN"/>
              </w:rPr>
              <w:t>采用航天射流技术，通过物料间的高速碰撞实现粉碎</w:t>
            </w:r>
            <w:r>
              <w:rPr>
                <w:rFonts w:hint="eastAsia" w:ascii="Times New Roman" w:hAnsi="Times New Roman" w:eastAsia="宋体" w:cs="宋体"/>
                <w:color w:val="auto"/>
                <w:sz w:val="24"/>
                <w:szCs w:val="24"/>
                <w:lang w:val="en-US" w:eastAsia="zh-CN"/>
              </w:rPr>
              <w:t>，</w:t>
            </w:r>
            <w:r>
              <w:rPr>
                <w:rFonts w:hint="eastAsia" w:cs="宋体"/>
                <w:color w:val="auto"/>
                <w:sz w:val="24"/>
                <w:szCs w:val="24"/>
                <w:lang w:val="en-US" w:eastAsia="zh-CN"/>
              </w:rPr>
              <w:t>仅产生少量粉尘。</w:t>
            </w:r>
            <w:r>
              <w:rPr>
                <w:rFonts w:hint="eastAsia" w:ascii="Times New Roman" w:hAnsi="Times New Roman" w:cs="Times New Roman"/>
                <w:sz w:val="24"/>
                <w:szCs w:val="24"/>
                <w:lang w:val="en-US" w:eastAsia="zh-CN"/>
              </w:rPr>
              <w:t>参照</w:t>
            </w:r>
            <w:r>
              <w:rPr>
                <w:spacing w:val="-3"/>
                <w:sz w:val="24"/>
                <w:szCs w:val="24"/>
              </w:rPr>
              <w:t>《排放源统计调查产排污核算方</w:t>
            </w:r>
            <w:r>
              <w:rPr>
                <w:spacing w:val="-6"/>
                <w:sz w:val="24"/>
                <w:szCs w:val="24"/>
              </w:rPr>
              <w:t>法和系数手册》</w:t>
            </w:r>
            <w:r>
              <w:rPr>
                <w:rFonts w:hint="eastAsia"/>
                <w:spacing w:val="-6"/>
                <w:sz w:val="24"/>
                <w:szCs w:val="24"/>
                <w:lang w:val="en-US" w:eastAsia="zh-CN"/>
              </w:rPr>
              <w:t>3099其他非金属矿物制品制造行业系数手册，钙粉破碎工艺，颗粒物产污系数为1.13</w:t>
            </w:r>
            <w:r>
              <w:rPr>
                <w:rFonts w:hint="eastAsia"/>
                <w:color w:val="auto"/>
                <w:spacing w:val="-6"/>
                <w:sz w:val="24"/>
                <w:szCs w:val="24"/>
                <w:lang w:val="en-US" w:eastAsia="zh-CN"/>
              </w:rPr>
              <w:t>kg/t产品，本项目1#车间</w:t>
            </w:r>
            <w:r>
              <w:rPr>
                <w:rFonts w:hint="eastAsia"/>
                <w:bCs/>
                <w:color w:val="auto"/>
                <w:sz w:val="24"/>
                <w:szCs w:val="24"/>
                <w:lang w:val="en-US" w:eastAsia="zh-CN"/>
              </w:rPr>
              <w:t>年产超级多孔碳为4000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，则1#车间粉碎粉尘产生量为4.52</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p>
          <w:p w14:paraId="2CF21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cs="Times New Roman"/>
                <w:color w:val="auto"/>
                <w:sz w:val="24"/>
                <w:lang w:eastAsia="zh-CN"/>
              </w:rPr>
              <w:t>粉碎粉尘</w:t>
            </w:r>
            <w:r>
              <w:rPr>
                <w:rFonts w:hint="eastAsia" w:cs="Times New Roman"/>
                <w:color w:val="auto"/>
                <w:spacing w:val="2"/>
                <w:sz w:val="24"/>
                <w:szCs w:val="24"/>
                <w:vertAlign w:val="baseline"/>
                <w:lang w:val="en-US" w:eastAsia="zh-CN"/>
              </w:rPr>
              <w:t>收集后经设备自带布袋除尘器处理，处理后由1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2</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ascii="Times New Roman" w:hAnsi="Times New Roman" w:cs="Times New Roman"/>
                <w:color w:val="auto"/>
                <w:sz w:val="24"/>
                <w:lang w:eastAsia="zh-CN"/>
              </w:rPr>
              <w:t>粉碎粉尘</w:t>
            </w:r>
            <w:r>
              <w:rPr>
                <w:rFonts w:hint="eastAsia"/>
                <w:color w:val="auto"/>
                <w:spacing w:val="-3"/>
                <w:sz w:val="24"/>
                <w:lang w:eastAsia="zh-CN"/>
              </w:rPr>
              <w:t>有组织排放量为</w:t>
            </w:r>
            <w:r>
              <w:rPr>
                <w:rFonts w:hint="eastAsia"/>
                <w:color w:val="auto"/>
                <w:spacing w:val="-3"/>
                <w:sz w:val="24"/>
                <w:lang w:val="en-US" w:eastAsia="zh-CN"/>
              </w:rPr>
              <w:t>0.043t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0.006kg/h），</w:t>
            </w:r>
            <w:r>
              <w:rPr>
                <w:rFonts w:hint="eastAsia"/>
                <w:color w:val="auto"/>
                <w:spacing w:val="-3"/>
                <w:sz w:val="24"/>
                <w:lang w:eastAsia="zh-CN"/>
              </w:rPr>
              <w:t>无组织排放量为</w:t>
            </w:r>
            <w:r>
              <w:rPr>
                <w:rFonts w:hint="eastAsia"/>
                <w:color w:val="auto"/>
                <w:spacing w:val="-3"/>
                <w:sz w:val="24"/>
                <w:lang w:val="en-US" w:eastAsia="zh-CN"/>
              </w:rPr>
              <w:t>0.226t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0.031kg/h）</w:t>
            </w:r>
            <w:r>
              <w:rPr>
                <w:rFonts w:hint="eastAsia" w:ascii="Times New Roman" w:hAnsi="Times New Roman" w:cs="Times New Roman"/>
                <w:color w:val="auto"/>
                <w:sz w:val="24"/>
                <w:lang w:eastAsia="zh-CN"/>
              </w:rPr>
              <w:t>。</w:t>
            </w:r>
          </w:p>
          <w:p w14:paraId="36A0A4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⑤拆包粉尘</w:t>
            </w:r>
          </w:p>
          <w:p w14:paraId="4A816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宋体"/>
                <w:color w:val="000000"/>
                <w:sz w:val="24"/>
                <w:szCs w:val="24"/>
                <w:lang w:val="en-US" w:eastAsia="zh-CN"/>
              </w:rPr>
              <w:t>项目外购多孔炭为颗粒状，</w:t>
            </w:r>
            <w:r>
              <w:rPr>
                <w:rFonts w:hint="eastAsia" w:cs="宋体"/>
                <w:color w:val="000000"/>
                <w:sz w:val="24"/>
                <w:szCs w:val="24"/>
                <w:lang w:val="en-US" w:eastAsia="zh-CN"/>
              </w:rPr>
              <w:t>在拆包落入料仓过程中产生少量粉尘，由于拆包过程中产生的粉尘难以定量，该部分粉尘参照</w:t>
            </w:r>
            <w:r>
              <w:rPr>
                <w:snapToGrid w:val="0"/>
                <w:color w:val="auto"/>
                <w:kern w:val="10"/>
                <w:sz w:val="24"/>
                <w:szCs w:val="24"/>
              </w:rPr>
              <w:t>《逸散性工业粉尘控制技术》</w:t>
            </w:r>
            <w:r>
              <w:rPr>
                <w:rFonts w:hint="eastAsia"/>
                <w:snapToGrid w:val="0"/>
                <w:color w:val="auto"/>
                <w:kern w:val="10"/>
                <w:sz w:val="24"/>
                <w:szCs w:val="24"/>
                <w:lang w:eastAsia="zh-CN"/>
              </w:rPr>
              <w:t>卸料时粉尘逸散系数为</w:t>
            </w:r>
            <w:r>
              <w:rPr>
                <w:rFonts w:hint="eastAsia"/>
                <w:snapToGrid w:val="0"/>
                <w:color w:val="auto"/>
                <w:kern w:val="10"/>
                <w:sz w:val="24"/>
                <w:szCs w:val="24"/>
                <w:lang w:val="en-US" w:eastAsia="zh-CN"/>
              </w:rPr>
              <w:t>0.01</w:t>
            </w:r>
            <w:r>
              <w:rPr>
                <w:snapToGrid w:val="0"/>
                <w:color w:val="auto"/>
                <w:kern w:val="10"/>
                <w:sz w:val="24"/>
                <w:szCs w:val="24"/>
              </w:rPr>
              <w:t>kg/t</w:t>
            </w:r>
            <w:r>
              <w:rPr>
                <w:rFonts w:hint="eastAsia"/>
                <w:snapToGrid w:val="0"/>
                <w:color w:val="auto"/>
                <w:kern w:val="10"/>
                <w:sz w:val="24"/>
                <w:szCs w:val="24"/>
                <w:lang w:eastAsia="zh-CN"/>
              </w:rPr>
              <w:t>（卸料），本项目</w:t>
            </w:r>
            <w:r>
              <w:rPr>
                <w:rFonts w:hint="eastAsia"/>
                <w:color w:val="auto"/>
                <w:spacing w:val="-6"/>
                <w:sz w:val="24"/>
                <w:szCs w:val="24"/>
                <w:lang w:val="en-US" w:eastAsia="zh-CN"/>
              </w:rPr>
              <w:t>1#车间</w:t>
            </w:r>
            <w:r>
              <w:rPr>
                <w:rFonts w:hint="eastAsia" w:ascii="Times New Roman" w:hAnsi="Times New Roman" w:eastAsia="宋体" w:cs="宋体"/>
                <w:color w:val="auto"/>
                <w:sz w:val="24"/>
                <w:szCs w:val="24"/>
                <w:lang w:val="en-US" w:eastAsia="zh-CN"/>
              </w:rPr>
              <w:t>外购多孔炭</w:t>
            </w:r>
            <w:r>
              <w:rPr>
                <w:rFonts w:hint="eastAsia"/>
                <w:bCs/>
                <w:color w:val="auto"/>
                <w:sz w:val="24"/>
                <w:szCs w:val="24"/>
                <w:lang w:val="en-US" w:eastAsia="zh-CN"/>
              </w:rPr>
              <w:t>为7200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，则1#车间拆包粉尘产生量为0.072</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宋体"/>
                <w:color w:val="auto"/>
                <w:sz w:val="24"/>
                <w:szCs w:val="24"/>
                <w:lang w:val="en-US" w:eastAsia="zh-CN"/>
              </w:rPr>
              <w:t>拆包机呼吸口处装有除尘滤芯，</w:t>
            </w:r>
            <w:r>
              <w:rPr>
                <w:rFonts w:hint="eastAsia" w:cs="Times New Roman"/>
                <w:color w:val="auto"/>
                <w:spacing w:val="2"/>
                <w:sz w:val="24"/>
                <w:szCs w:val="24"/>
                <w:vertAlign w:val="baseline"/>
                <w:lang w:val="en-US" w:eastAsia="zh-CN"/>
              </w:rPr>
              <w:t>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cs="Times New Roman"/>
                <w:color w:val="auto"/>
                <w:sz w:val="24"/>
                <w:lang w:eastAsia="zh-CN"/>
              </w:rPr>
              <w:t>拆包</w:t>
            </w:r>
            <w:r>
              <w:rPr>
                <w:rFonts w:hint="eastAsia" w:ascii="Times New Roman" w:hAnsi="Times New Roman" w:cs="Times New Roman"/>
                <w:color w:val="auto"/>
                <w:sz w:val="24"/>
                <w:lang w:eastAsia="zh-CN"/>
              </w:rPr>
              <w:t>粉尘</w:t>
            </w:r>
            <w:r>
              <w:rPr>
                <w:rFonts w:hint="eastAsia"/>
                <w:color w:val="auto"/>
                <w:spacing w:val="-3"/>
                <w:sz w:val="24"/>
                <w:lang w:eastAsia="zh-CN"/>
              </w:rPr>
              <w:t>无组织排放量为</w:t>
            </w:r>
            <w:r>
              <w:rPr>
                <w:rFonts w:hint="eastAsia"/>
                <w:color w:val="auto"/>
                <w:spacing w:val="-3"/>
                <w:sz w:val="24"/>
                <w:lang w:val="en-US" w:eastAsia="zh-CN"/>
              </w:rPr>
              <w:t>0.004t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0.0006kg/h）</w:t>
            </w:r>
            <w:r>
              <w:rPr>
                <w:rFonts w:hint="default" w:ascii="Times New Roman" w:hAnsi="Times New Roman" w:eastAsia="宋体" w:cs="Times New Roman"/>
                <w:color w:val="auto"/>
                <w:kern w:val="0"/>
                <w:sz w:val="24"/>
                <w:szCs w:val="24"/>
                <w:highlight w:val="none"/>
                <w:lang w:val="en-US" w:eastAsia="zh-CN" w:bidi="ar"/>
              </w:rPr>
              <w:t>。</w:t>
            </w:r>
          </w:p>
          <w:p w14:paraId="683A40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⑥</w:t>
            </w:r>
            <w:r>
              <w:rPr>
                <w:rFonts w:hint="eastAsia" w:ascii="Times New Roman" w:hAnsi="Times New Roman" w:eastAsia="宋体" w:cs="Times New Roman"/>
                <w:b/>
                <w:bCs/>
                <w:color w:val="auto"/>
                <w:sz w:val="24"/>
                <w:szCs w:val="24"/>
                <w:lang w:eastAsia="zh-CN"/>
              </w:rPr>
              <w:t>输送</w:t>
            </w:r>
            <w:r>
              <w:rPr>
                <w:rFonts w:hint="default" w:ascii="Times New Roman" w:hAnsi="Times New Roman" w:eastAsia="宋体" w:cs="Times New Roman"/>
                <w:b/>
                <w:bCs/>
                <w:color w:val="auto"/>
                <w:sz w:val="24"/>
                <w:szCs w:val="24"/>
                <w:lang w:eastAsia="zh-CN"/>
              </w:rPr>
              <w:t>粉尘</w:t>
            </w:r>
          </w:p>
          <w:p w14:paraId="3E0ED2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color w:val="auto"/>
                <w:sz w:val="24"/>
                <w:szCs w:val="24"/>
                <w:lang w:val="en-US" w:eastAsia="zh-CN"/>
              </w:rPr>
              <w:t>项目物料输送采用气力输送</w:t>
            </w:r>
            <w:r>
              <w:rPr>
                <w:rFonts w:hint="eastAsia" w:cs="Times New Roman"/>
                <w:color w:val="auto"/>
                <w:sz w:val="24"/>
                <w:szCs w:val="24"/>
                <w:lang w:val="en-US" w:eastAsia="zh-CN"/>
              </w:rPr>
              <w:t>和</w:t>
            </w:r>
            <w:r>
              <w:rPr>
                <w:rFonts w:hint="eastAsia" w:ascii="Times New Roman" w:hAnsi="Times New Roman" w:eastAsia="宋体" w:cs="Times New Roman"/>
                <w:color w:val="auto"/>
                <w:sz w:val="24"/>
                <w:szCs w:val="24"/>
                <w:lang w:val="en-US" w:eastAsia="zh-CN"/>
              </w:rPr>
              <w:t>重力落料输送方式，</w:t>
            </w:r>
            <w:r>
              <w:rPr>
                <w:rFonts w:hint="eastAsia" w:cs="Times New Roman"/>
                <w:color w:val="auto"/>
                <w:sz w:val="24"/>
                <w:szCs w:val="24"/>
                <w:lang w:val="en-US" w:eastAsia="zh-CN"/>
              </w:rPr>
              <w:t>根据建设单位提供资料，粉尘产生量约为产能的0.1%</w:t>
            </w:r>
            <w:r>
              <w:rPr>
                <w:rFonts w:hint="eastAsia" w:ascii="Times New Roman" w:hAnsi="Times New Roman" w:eastAsia="宋体" w:cs="Times New Roman"/>
                <w:color w:val="auto"/>
                <w:sz w:val="24"/>
                <w:szCs w:val="24"/>
                <w:lang w:val="en-US" w:eastAsia="zh-CN"/>
              </w:rPr>
              <w:t>，</w:t>
            </w:r>
            <w:r>
              <w:rPr>
                <w:rFonts w:hint="eastAsia"/>
                <w:snapToGrid w:val="0"/>
                <w:color w:val="auto"/>
                <w:kern w:val="10"/>
                <w:sz w:val="24"/>
                <w:szCs w:val="24"/>
                <w:lang w:eastAsia="zh-CN"/>
              </w:rPr>
              <w:t>本项目</w:t>
            </w:r>
            <w:r>
              <w:rPr>
                <w:rFonts w:hint="eastAsia"/>
                <w:color w:val="auto"/>
                <w:spacing w:val="-6"/>
                <w:sz w:val="24"/>
                <w:szCs w:val="24"/>
                <w:lang w:val="en-US" w:eastAsia="zh-CN"/>
              </w:rPr>
              <w:t>1#车间</w:t>
            </w:r>
            <w:r>
              <w:rPr>
                <w:rFonts w:hint="eastAsia"/>
                <w:bCs/>
                <w:color w:val="auto"/>
                <w:sz w:val="24"/>
                <w:szCs w:val="24"/>
                <w:lang w:val="en-US" w:eastAsia="zh-CN"/>
              </w:rPr>
              <w:t>年产超级多孔碳为4000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，则1#车间输送粉尘产生量为4</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气力输送系统及</w:t>
            </w:r>
            <w:r>
              <w:rPr>
                <w:rFonts w:hint="eastAsia" w:ascii="Times New Roman" w:hAnsi="Times New Roman" w:eastAsia="宋体" w:cs="Times New Roman"/>
                <w:color w:val="auto"/>
                <w:sz w:val="24"/>
                <w:szCs w:val="24"/>
                <w:lang w:val="en-US" w:eastAsia="zh-CN"/>
              </w:rPr>
              <w:t>各中转料仓均配</w:t>
            </w:r>
            <w:r>
              <w:rPr>
                <w:rFonts w:hint="default" w:ascii="Times New Roman" w:hAnsi="Times New Roman" w:eastAsia="宋体" w:cs="Times New Roman"/>
                <w:color w:val="auto"/>
                <w:sz w:val="24"/>
                <w:szCs w:val="24"/>
                <w:lang w:val="en-US" w:eastAsia="zh-CN"/>
              </w:rPr>
              <w:t>有除尘滤芯，</w:t>
            </w:r>
            <w:r>
              <w:rPr>
                <w:rFonts w:hint="eastAsia" w:cs="Times New Roman"/>
                <w:color w:val="auto"/>
                <w:spacing w:val="2"/>
                <w:sz w:val="24"/>
                <w:szCs w:val="24"/>
                <w:vertAlign w:val="baseline"/>
                <w:lang w:val="en-US" w:eastAsia="zh-CN"/>
              </w:rPr>
              <w:t>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cs="Times New Roman"/>
                <w:color w:val="auto"/>
                <w:sz w:val="24"/>
                <w:lang w:eastAsia="zh-CN"/>
              </w:rPr>
              <w:t>输送</w:t>
            </w:r>
            <w:r>
              <w:rPr>
                <w:rFonts w:hint="eastAsia" w:ascii="Times New Roman" w:hAnsi="Times New Roman" w:cs="Times New Roman"/>
                <w:color w:val="auto"/>
                <w:sz w:val="24"/>
                <w:lang w:eastAsia="zh-CN"/>
              </w:rPr>
              <w:t>粉尘</w:t>
            </w:r>
            <w:r>
              <w:rPr>
                <w:rFonts w:hint="eastAsia"/>
                <w:color w:val="auto"/>
                <w:spacing w:val="-3"/>
                <w:sz w:val="24"/>
                <w:lang w:eastAsia="zh-CN"/>
              </w:rPr>
              <w:t>无组织排放量为</w:t>
            </w:r>
            <w:r>
              <w:rPr>
                <w:rFonts w:hint="eastAsia"/>
                <w:color w:val="auto"/>
                <w:spacing w:val="-3"/>
                <w:sz w:val="24"/>
                <w:lang w:val="en-US" w:eastAsia="zh-CN"/>
              </w:rPr>
              <w:t>0.238t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0.033kg/h）。</w:t>
            </w:r>
          </w:p>
          <w:p w14:paraId="351DEE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⑦包装粉尘</w:t>
            </w:r>
          </w:p>
          <w:p w14:paraId="6BD649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color w:val="auto"/>
                <w:sz w:val="24"/>
                <w:szCs w:val="24"/>
                <w:lang w:val="en-US" w:eastAsia="zh-CN"/>
              </w:rPr>
              <w:t>项目包装过程中会有少量粉尘产生，参照</w:t>
            </w:r>
            <w:r>
              <w:rPr>
                <w:snapToGrid w:val="0"/>
                <w:color w:val="auto"/>
                <w:kern w:val="10"/>
                <w:sz w:val="24"/>
                <w:szCs w:val="24"/>
              </w:rPr>
              <w:t>《逸散性工业粉尘控制技术》</w:t>
            </w:r>
            <w:r>
              <w:rPr>
                <w:rFonts w:hint="eastAsia"/>
                <w:snapToGrid w:val="0"/>
                <w:color w:val="auto"/>
                <w:kern w:val="10"/>
                <w:sz w:val="24"/>
                <w:szCs w:val="24"/>
                <w:lang w:eastAsia="zh-CN"/>
              </w:rPr>
              <w:t>，粉状物料包装时粉尘逸散系数为</w:t>
            </w:r>
            <w:r>
              <w:rPr>
                <w:rFonts w:hint="eastAsia"/>
                <w:snapToGrid w:val="0"/>
                <w:color w:val="auto"/>
                <w:kern w:val="10"/>
                <w:sz w:val="24"/>
                <w:szCs w:val="24"/>
                <w:lang w:val="en-US" w:eastAsia="zh-CN"/>
              </w:rPr>
              <w:t>0.1</w:t>
            </w:r>
            <w:r>
              <w:rPr>
                <w:snapToGrid w:val="0"/>
                <w:color w:val="auto"/>
                <w:kern w:val="10"/>
                <w:sz w:val="24"/>
                <w:szCs w:val="24"/>
              </w:rPr>
              <w:t>kg/t</w:t>
            </w:r>
            <w:r>
              <w:rPr>
                <w:rFonts w:hint="eastAsia"/>
                <w:snapToGrid w:val="0"/>
                <w:color w:val="auto"/>
                <w:kern w:val="10"/>
                <w:sz w:val="24"/>
                <w:szCs w:val="24"/>
                <w:lang w:eastAsia="zh-CN"/>
              </w:rPr>
              <w:t>产品，本项目</w:t>
            </w:r>
            <w:r>
              <w:rPr>
                <w:rFonts w:hint="eastAsia"/>
                <w:color w:val="auto"/>
                <w:spacing w:val="-6"/>
                <w:sz w:val="24"/>
                <w:szCs w:val="24"/>
                <w:lang w:val="en-US" w:eastAsia="zh-CN"/>
              </w:rPr>
              <w:t>1#车间</w:t>
            </w:r>
            <w:r>
              <w:rPr>
                <w:rFonts w:hint="eastAsia"/>
                <w:bCs/>
                <w:color w:val="auto"/>
                <w:sz w:val="24"/>
                <w:szCs w:val="24"/>
                <w:lang w:val="en-US" w:eastAsia="zh-CN"/>
              </w:rPr>
              <w:t>年产超级多孔碳为4000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，则1#车间包装粉尘产生量为0.4</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sz w:val="24"/>
                <w:lang w:eastAsia="zh-CN"/>
              </w:rPr>
              <w:t>包装粉尘</w:t>
            </w:r>
            <w:r>
              <w:rPr>
                <w:rFonts w:hint="eastAsia" w:cs="Times New Roman"/>
                <w:color w:val="auto"/>
                <w:spacing w:val="2"/>
                <w:sz w:val="24"/>
                <w:szCs w:val="24"/>
                <w:vertAlign w:val="baseline"/>
                <w:lang w:val="en-US" w:eastAsia="zh-CN"/>
              </w:rPr>
              <w:t>收集后经设备自带滤芯除尘器处理，处理后车间内无组织排放，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ascii="Times New Roman" w:hAnsi="Times New Roman" w:cs="Times New Roman"/>
                <w:color w:val="auto"/>
                <w:sz w:val="24"/>
                <w:lang w:eastAsia="zh-CN"/>
              </w:rPr>
              <w:t>包装粉尘</w:t>
            </w:r>
            <w:r>
              <w:rPr>
                <w:rFonts w:hint="eastAsia"/>
                <w:color w:val="auto"/>
                <w:spacing w:val="-3"/>
                <w:sz w:val="24"/>
                <w:lang w:eastAsia="zh-CN"/>
              </w:rPr>
              <w:t>无组织排放量为</w:t>
            </w:r>
            <w:r>
              <w:rPr>
                <w:rFonts w:hint="eastAsia"/>
                <w:color w:val="auto"/>
                <w:spacing w:val="-3"/>
                <w:sz w:val="24"/>
                <w:lang w:val="en-US" w:eastAsia="zh-CN"/>
              </w:rPr>
              <w:t>0.024t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0.003kg/h）</w:t>
            </w:r>
            <w:r>
              <w:rPr>
                <w:rFonts w:hint="default" w:ascii="Times New Roman" w:hAnsi="Times New Roman" w:eastAsia="宋体" w:cs="Times New Roman"/>
                <w:color w:val="auto"/>
                <w:kern w:val="0"/>
                <w:sz w:val="24"/>
                <w:szCs w:val="24"/>
                <w:highlight w:val="none"/>
                <w:lang w:val="en-US" w:eastAsia="zh-CN" w:bidi="ar"/>
              </w:rPr>
              <w:t>。</w:t>
            </w:r>
          </w:p>
          <w:p w14:paraId="5B2984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sz w:val="24"/>
                <w:szCs w:val="24"/>
                <w:lang w:val="en-US" w:eastAsia="zh-CN"/>
              </w:rPr>
            </w:pPr>
            <w:r>
              <w:rPr>
                <w:rFonts w:hint="eastAsia" w:cs="Times New Roman"/>
                <w:b/>
                <w:bCs/>
                <w:color w:val="auto"/>
                <w:sz w:val="24"/>
                <w:szCs w:val="24"/>
                <w:lang w:eastAsia="zh-CN"/>
              </w:rPr>
              <w:t>（</w:t>
            </w:r>
            <w:r>
              <w:rPr>
                <w:rFonts w:hint="eastAsia" w:cs="Times New Roman"/>
                <w:b/>
                <w:bCs/>
                <w:color w:val="auto"/>
                <w:sz w:val="24"/>
                <w:szCs w:val="24"/>
                <w:lang w:val="en-US" w:eastAsia="zh-CN"/>
              </w:rPr>
              <w:t>2）2#车间</w:t>
            </w:r>
          </w:p>
          <w:p w14:paraId="0625DE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①</w:t>
            </w:r>
            <w:r>
              <w:rPr>
                <w:rFonts w:hint="default" w:ascii="Times New Roman" w:hAnsi="Times New Roman" w:eastAsia="宋体" w:cs="Times New Roman"/>
                <w:b/>
                <w:bCs/>
                <w:color w:val="auto"/>
                <w:sz w:val="24"/>
                <w:szCs w:val="24"/>
                <w:lang w:eastAsia="zh-CN"/>
              </w:rPr>
              <w:t>盐酸储罐呼吸废气</w:t>
            </w:r>
          </w:p>
          <w:p w14:paraId="737859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pacing w:val="2"/>
                <w:sz w:val="24"/>
                <w:szCs w:val="24"/>
                <w:vertAlign w:val="baseline"/>
                <w:lang w:val="en-US" w:eastAsia="zh-CN"/>
              </w:rPr>
            </w:pPr>
            <w:r>
              <w:rPr>
                <w:rFonts w:hint="eastAsia" w:cs="Times New Roman"/>
                <w:b w:val="0"/>
                <w:bCs w:val="0"/>
                <w:color w:val="auto"/>
                <w:sz w:val="24"/>
                <w:szCs w:val="24"/>
                <w:lang w:val="en-US" w:eastAsia="zh-CN"/>
              </w:rPr>
              <w:t>2#车间设置2个</w:t>
            </w:r>
            <w:r>
              <w:rPr>
                <w:rFonts w:hint="eastAsia"/>
                <w:b w:val="0"/>
                <w:bCs/>
                <w:color w:val="auto"/>
                <w:sz w:val="24"/>
                <w:szCs w:val="24"/>
                <w:lang w:val="en-US" w:eastAsia="zh-CN"/>
              </w:rPr>
              <w:t>5</w:t>
            </w:r>
            <w:r>
              <w:rPr>
                <w:rFonts w:hint="default" w:ascii="Times New Roman" w:hAnsi="Times New Roman" w:eastAsia="宋体" w:cs="Times New Roman"/>
                <w:color w:val="auto"/>
                <w:spacing w:val="2"/>
                <w:sz w:val="24"/>
                <w:szCs w:val="24"/>
              </w:rPr>
              <w:t>m</w:t>
            </w:r>
            <w:r>
              <w:rPr>
                <w:rFonts w:hint="eastAsia" w:ascii="Times New Roman" w:hAnsi="Times New Roman" w:eastAsia="宋体" w:cs="Times New Roman"/>
                <w:color w:val="auto"/>
                <w:spacing w:val="2"/>
                <w:sz w:val="24"/>
                <w:szCs w:val="24"/>
                <w:vertAlign w:val="superscript"/>
                <w:lang w:val="en-US" w:eastAsia="zh-CN"/>
              </w:rPr>
              <w:t>3</w:t>
            </w:r>
            <w:r>
              <w:rPr>
                <w:rFonts w:hint="eastAsia" w:ascii="Times New Roman" w:hAnsi="Times New Roman" w:eastAsia="宋体" w:cs="Times New Roman"/>
                <w:color w:val="auto"/>
                <w:spacing w:val="2"/>
                <w:sz w:val="24"/>
                <w:szCs w:val="24"/>
                <w:vertAlign w:val="baseline"/>
                <w:lang w:val="en-US" w:eastAsia="zh-CN"/>
              </w:rPr>
              <w:t>固定顶盐酸储罐，用于储存36%盐酸。盐酸在储存和装卸料过程中会产生大、小呼吸废气，废气污染因子为HCl。</w:t>
            </w:r>
          </w:p>
          <w:p w14:paraId="619BCFC5">
            <w:pPr>
              <w:pStyle w:val="10"/>
              <w:keepNext w:val="0"/>
              <w:keepLines w:val="0"/>
              <w:pageBreakBefore w:val="0"/>
              <w:widowControl w:val="0"/>
              <w:kinsoku/>
              <w:wordWrap/>
              <w:overflowPunct/>
              <w:topLinePunct w:val="0"/>
              <w:autoSpaceDE/>
              <w:autoSpaceDN/>
              <w:bidi w:val="0"/>
              <w:adjustRightInd/>
              <w:snapToGrid/>
              <w:spacing w:after="0" w:line="360" w:lineRule="auto"/>
              <w:ind w:firstLine="488"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pacing w:val="2"/>
                <w:sz w:val="24"/>
                <w:szCs w:val="24"/>
                <w:vertAlign w:val="baseline"/>
                <w:lang w:val="en-US" w:eastAsia="zh-CN"/>
              </w:rPr>
              <w:t>盐酸储罐</w:t>
            </w:r>
            <w:r>
              <w:rPr>
                <w:rFonts w:hint="default" w:ascii="Times New Roman" w:hAnsi="Times New Roman" w:eastAsia="宋体" w:cs="Times New Roman"/>
                <w:color w:val="auto"/>
                <w:sz w:val="24"/>
                <w:szCs w:val="24"/>
                <w:lang w:val="en-US" w:eastAsia="zh-CN"/>
              </w:rPr>
              <w:t>“大呼吸”</w:t>
            </w:r>
            <w:r>
              <w:rPr>
                <w:rFonts w:hint="eastAsia" w:ascii="Times New Roman" w:hAnsi="Times New Roman" w:eastAsia="宋体" w:cs="Times New Roman"/>
                <w:color w:val="auto"/>
                <w:sz w:val="24"/>
                <w:szCs w:val="24"/>
                <w:lang w:val="en-US" w:eastAsia="zh-CN"/>
              </w:rPr>
              <w:t>废气</w:t>
            </w:r>
            <w:r>
              <w:rPr>
                <w:rFonts w:hint="default" w:ascii="Times New Roman" w:hAnsi="Times New Roman" w:eastAsia="宋体" w:cs="Times New Roman"/>
                <w:color w:val="auto"/>
                <w:sz w:val="24"/>
                <w:szCs w:val="24"/>
                <w:lang w:val="en-US" w:eastAsia="zh-CN"/>
              </w:rPr>
              <w:t>计算公式如下：</w:t>
            </w:r>
          </w:p>
          <w:p w14:paraId="06690997">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lang w:val="en-US" w:eastAsia="zh-CN"/>
              </w:rPr>
              <w:t>= 4.188×10</w:t>
            </w:r>
            <w:r>
              <w:rPr>
                <w:rFonts w:hint="default" w:ascii="Times New Roman" w:hAnsi="Times New Roman" w:eastAsia="宋体" w:cs="Times New Roman"/>
                <w:color w:val="auto"/>
                <w:sz w:val="24"/>
                <w:szCs w:val="24"/>
                <w:vertAlign w:val="superscript"/>
                <w:lang w:val="en-US" w:eastAsia="zh-CN"/>
              </w:rPr>
              <w:t>-7</w:t>
            </w:r>
            <w:r>
              <w:rPr>
                <w:rFonts w:hint="default" w:ascii="Times New Roman" w:hAnsi="Times New Roman" w:eastAsia="宋体" w:cs="Times New Roman"/>
                <w:color w:val="auto"/>
                <w:sz w:val="24"/>
                <w:szCs w:val="24"/>
                <w:lang w:val="en-US" w:eastAsia="zh-CN"/>
              </w:rPr>
              <w:t>×M×P×K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×K</w:t>
            </w:r>
            <w:r>
              <w:rPr>
                <w:rFonts w:hint="default" w:ascii="Times New Roman" w:hAnsi="Times New Roman" w:eastAsia="宋体" w:cs="Times New Roman"/>
                <w:color w:val="auto"/>
                <w:sz w:val="24"/>
                <w:szCs w:val="24"/>
                <w:vertAlign w:val="subscript"/>
                <w:lang w:val="en-US" w:eastAsia="zh-CN"/>
              </w:rPr>
              <w:t>C</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V</w:t>
            </w:r>
          </w:p>
          <w:p w14:paraId="48441AB2">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式中：L</w:t>
            </w:r>
            <w:r>
              <w:rPr>
                <w:rFonts w:hint="default" w:ascii="Times New Roman" w:hAnsi="Times New Roman" w:eastAsia="宋体" w:cs="Times New Roman"/>
                <w:color w:val="auto"/>
                <w:sz w:val="24"/>
                <w:szCs w:val="24"/>
                <w:vertAlign w:val="subscript"/>
                <w:lang w:eastAsia="zh-CN"/>
              </w:rPr>
              <w:t>W</w:t>
            </w:r>
            <w:r>
              <w:rPr>
                <w:rFonts w:hint="default" w:ascii="Times New Roman" w:hAnsi="Times New Roman" w:eastAsia="宋体" w:cs="Times New Roman"/>
                <w:color w:val="auto"/>
                <w:sz w:val="24"/>
                <w:szCs w:val="24"/>
                <w:lang w:eastAsia="zh-CN"/>
              </w:rPr>
              <w:t>——固定顶罐的工作损失(kg/</w:t>
            </w:r>
            <w:r>
              <w:rPr>
                <w:rFonts w:hint="default" w:ascii="Times New Roman" w:hAnsi="Times New Roman" w:eastAsia="宋体" w:cs="Times New Roman"/>
                <w:color w:val="auto"/>
                <w:sz w:val="24"/>
                <w:szCs w:val="24"/>
                <w:vertAlign w:val="baseline"/>
                <w:lang w:eastAsia="zh-CN"/>
              </w:rPr>
              <w:t>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投入量)</w:t>
            </w:r>
          </w:p>
          <w:p w14:paraId="525F3F9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eastAsia="zh-CN"/>
              </w:rPr>
              <w:t>——储罐内</w:t>
            </w:r>
            <w:r>
              <w:rPr>
                <w:rFonts w:hint="default" w:ascii="Times New Roman" w:hAnsi="Times New Roman" w:eastAsia="宋体" w:cs="Times New Roman"/>
                <w:color w:val="auto"/>
                <w:sz w:val="24"/>
                <w:szCs w:val="24"/>
                <w:lang w:val="en-US" w:eastAsia="zh-CN"/>
              </w:rPr>
              <w:t>蒸气的分子量，取36.5；</w:t>
            </w:r>
          </w:p>
          <w:p w14:paraId="2053B11F">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spacing w:val="9"/>
                <w:sz w:val="24"/>
                <w:szCs w:val="24"/>
              </w:rPr>
              <w:t>泵送液体入罐量；项目</w:t>
            </w:r>
            <w:r>
              <w:rPr>
                <w:rFonts w:hint="eastAsia" w:ascii="Times New Roman" w:hAnsi="Times New Roman" w:eastAsia="宋体" w:cs="Times New Roman"/>
                <w:spacing w:val="9"/>
                <w:sz w:val="24"/>
                <w:szCs w:val="24"/>
                <w:lang w:val="en-US" w:eastAsia="zh-CN"/>
              </w:rPr>
              <w:t>2</w:t>
            </w:r>
            <w:r>
              <w:rPr>
                <w:rFonts w:hint="default" w:ascii="Times New Roman" w:hAnsi="Times New Roman" w:eastAsia="宋体" w:cs="Times New Roman"/>
                <w:spacing w:val="9"/>
                <w:sz w:val="24"/>
                <w:szCs w:val="24"/>
                <w:lang w:val="en-US" w:eastAsia="zh-CN"/>
              </w:rPr>
              <w:t>#车间</w:t>
            </w:r>
            <w:r>
              <w:rPr>
                <w:rFonts w:hint="default" w:ascii="Times New Roman" w:hAnsi="Times New Roman" w:eastAsia="宋体" w:cs="Times New Roman"/>
                <w:spacing w:val="9"/>
                <w:sz w:val="24"/>
                <w:szCs w:val="24"/>
              </w:rPr>
              <w:t>盐酸消耗量</w:t>
            </w:r>
            <w:r>
              <w:rPr>
                <w:rFonts w:hint="eastAsia" w:ascii="Times New Roman" w:hAnsi="Times New Roman" w:eastAsia="宋体" w:cs="Times New Roman"/>
                <w:spacing w:val="9"/>
                <w:sz w:val="24"/>
                <w:szCs w:val="24"/>
                <w:lang w:val="en-US" w:eastAsia="zh-CN"/>
              </w:rPr>
              <w:t>4</w:t>
            </w:r>
            <w:r>
              <w:rPr>
                <w:rFonts w:hint="default" w:ascii="Times New Roman" w:hAnsi="Times New Roman" w:eastAsia="宋体" w:cs="Times New Roman"/>
                <w:spacing w:val="9"/>
                <w:sz w:val="24"/>
                <w:szCs w:val="24"/>
              </w:rPr>
              <w:t>0t/a，密度</w:t>
            </w:r>
            <w:r>
              <w:rPr>
                <w:rFonts w:hint="eastAsia" w:ascii="Times New Roman" w:hAnsi="Times New Roman" w:eastAsia="宋体" w:cs="Times New Roman"/>
                <w:spacing w:val="9"/>
                <w:sz w:val="24"/>
                <w:szCs w:val="24"/>
                <w:lang w:eastAsia="zh-CN"/>
              </w:rPr>
              <w:t>为</w:t>
            </w:r>
            <w:r>
              <w:rPr>
                <w:rFonts w:hint="default" w:ascii="Times New Roman" w:hAnsi="Times New Roman" w:eastAsia="宋体" w:cs="Times New Roman"/>
                <w:spacing w:val="9"/>
                <w:sz w:val="24"/>
                <w:szCs w:val="24"/>
              </w:rPr>
              <w:t>1.18g/</w:t>
            </w:r>
            <w:r>
              <w:rPr>
                <w:rFonts w:hint="default" w:ascii="Times New Roman" w:hAnsi="Times New Roman" w:eastAsia="宋体" w:cs="Times New Roman"/>
                <w:sz w:val="24"/>
                <w:szCs w:val="24"/>
              </w:rPr>
              <w:t>cm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pacing w:val="8"/>
                <w:sz w:val="24"/>
                <w:szCs w:val="24"/>
              </w:rPr>
              <w:t>，则盐酸体积</w:t>
            </w:r>
            <w:r>
              <w:rPr>
                <w:rFonts w:hint="eastAsia" w:ascii="Times New Roman" w:hAnsi="Times New Roman" w:eastAsia="宋体" w:cs="Times New Roman"/>
                <w:sz w:val="24"/>
                <w:szCs w:val="24"/>
                <w:lang w:val="en-US" w:eastAsia="zh-CN"/>
              </w:rPr>
              <w:t>34</w:t>
            </w:r>
            <w:r>
              <w:rPr>
                <w:rFonts w:hint="default" w:ascii="Times New Roman" w:hAnsi="Times New Roman" w:eastAsia="宋体" w:cs="Times New Roman"/>
                <w:spacing w:val="2"/>
                <w:sz w:val="24"/>
                <w:szCs w:val="24"/>
              </w:rPr>
              <w:t>m</w:t>
            </w:r>
            <w:r>
              <w:rPr>
                <w:rFonts w:hint="eastAsia"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/a</w:t>
            </w:r>
            <w:r>
              <w:rPr>
                <w:rFonts w:hint="default" w:ascii="Times New Roman" w:hAnsi="Times New Roman" w:eastAsia="宋体" w:cs="Times New Roman"/>
                <w:color w:val="auto"/>
                <w:sz w:val="24"/>
                <w:szCs w:val="24"/>
                <w:lang w:val="en-US" w:eastAsia="zh-CN"/>
              </w:rPr>
              <w:t>；</w:t>
            </w:r>
          </w:p>
          <w:p w14:paraId="11B466A6">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eastAsia" w:ascii="Times New Roman" w:hAnsi="Times New Roman" w:eastAsia="宋体" w:cs="Times New Roman"/>
                <w:spacing w:val="-57"/>
                <w:sz w:val="24"/>
                <w:szCs w:val="24"/>
                <w:lang w:eastAsia="zh-CN"/>
              </w:rPr>
            </w:pP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在大</w:t>
            </w:r>
            <w:r>
              <w:rPr>
                <w:rFonts w:hint="eastAsia" w:ascii="Times New Roman" w:hAnsi="Times New Roman" w:eastAsia="宋体" w:cs="Times New Roman"/>
                <w:color w:val="auto"/>
                <w:sz w:val="24"/>
                <w:szCs w:val="24"/>
                <w:lang w:val="en-US" w:eastAsia="zh-CN"/>
              </w:rPr>
              <w:t>量液体状态下</w:t>
            </w:r>
            <w:r>
              <w:rPr>
                <w:rFonts w:hint="default" w:ascii="Times New Roman" w:hAnsi="Times New Roman" w:eastAsia="宋体" w:cs="Times New Roman"/>
                <w:color w:val="auto"/>
                <w:sz w:val="24"/>
                <w:szCs w:val="24"/>
                <w:lang w:val="en-US" w:eastAsia="zh-CN"/>
              </w:rPr>
              <w:t>，真实的蒸汽压力（Pa），</w:t>
            </w:r>
            <w:r>
              <w:rPr>
                <w:rFonts w:hint="default" w:ascii="Times New Roman" w:hAnsi="Times New Roman" w:eastAsia="宋体" w:cs="Times New Roman"/>
                <w:color w:val="auto"/>
                <w:spacing w:val="13"/>
                <w:sz w:val="24"/>
                <w:szCs w:val="24"/>
              </w:rPr>
              <w:t>36</w:t>
            </w:r>
            <w:r>
              <w:rPr>
                <w:rFonts w:hint="default" w:ascii="Times New Roman" w:hAnsi="Times New Roman" w:eastAsia="宋体" w:cs="Times New Roman"/>
                <w:spacing w:val="13"/>
                <w:sz w:val="24"/>
                <w:szCs w:val="24"/>
              </w:rPr>
              <w:t>%盐酸在20摄</w:t>
            </w:r>
            <w:r>
              <w:rPr>
                <w:rFonts w:hint="default" w:ascii="Times New Roman" w:hAnsi="Times New Roman" w:eastAsia="宋体" w:cs="Times New Roman"/>
                <w:spacing w:val="12"/>
                <w:sz w:val="24"/>
                <w:szCs w:val="24"/>
              </w:rPr>
              <w:t>氏度下蒸气压</w:t>
            </w:r>
            <w:r>
              <w:rPr>
                <w:rFonts w:hint="default" w:ascii="Times New Roman" w:hAnsi="Times New Roman" w:eastAsia="宋体" w:cs="Times New Roman"/>
                <w:spacing w:val="4"/>
                <w:sz w:val="24"/>
                <w:szCs w:val="24"/>
              </w:rPr>
              <w:t>105</w:t>
            </w:r>
            <w:r>
              <w:rPr>
                <w:rFonts w:hint="default" w:ascii="Times New Roman" w:hAnsi="Times New Roman" w:eastAsia="宋体" w:cs="Times New Roman"/>
                <w:sz w:val="24"/>
                <w:szCs w:val="24"/>
              </w:rPr>
              <w:t>mmHg</w:t>
            </w:r>
            <w:r>
              <w:rPr>
                <w:rFonts w:hint="default" w:ascii="Times New Roman" w:hAnsi="Times New Roman" w:eastAsia="宋体" w:cs="Times New Roman"/>
                <w:spacing w:val="-39"/>
                <w:sz w:val="24"/>
                <w:szCs w:val="24"/>
              </w:rPr>
              <w:t xml:space="preserve"> </w:t>
            </w:r>
            <w:r>
              <w:rPr>
                <w:rFonts w:hint="default" w:ascii="Times New Roman" w:hAnsi="Times New Roman" w:eastAsia="宋体" w:cs="Times New Roman"/>
                <w:spacing w:val="4"/>
                <w:sz w:val="24"/>
                <w:szCs w:val="24"/>
              </w:rPr>
              <w:t>汞，折算13998.8</w:t>
            </w:r>
            <w:r>
              <w:rPr>
                <w:rFonts w:hint="default" w:ascii="Times New Roman" w:hAnsi="Times New Roman" w:eastAsia="宋体" w:cs="Times New Roman"/>
                <w:sz w:val="24"/>
                <w:szCs w:val="24"/>
              </w:rPr>
              <w:t>Pa</w:t>
            </w:r>
            <w:r>
              <w:rPr>
                <w:rFonts w:hint="eastAsia" w:ascii="Times New Roman" w:hAnsi="Times New Roman" w:eastAsia="宋体" w:cs="Times New Roman"/>
                <w:spacing w:val="-57"/>
                <w:sz w:val="24"/>
                <w:szCs w:val="24"/>
                <w:lang w:eastAsia="zh-CN"/>
              </w:rPr>
              <w:t>；</w:t>
            </w:r>
          </w:p>
          <w:p w14:paraId="6F832A3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w:t>
            </w:r>
            <w:r>
              <w:rPr>
                <w:rFonts w:hint="eastAsia"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周转因子</w:t>
            </w:r>
            <w:r>
              <w:rPr>
                <w:rFonts w:hint="eastAsia" w:ascii="Times New Roman" w:hAnsi="Times New Roman" w:eastAsia="宋体" w:cs="Times New Roman"/>
                <w:color w:val="auto"/>
                <w:sz w:val="24"/>
                <w:szCs w:val="24"/>
                <w:lang w:val="en-US" w:eastAsia="zh-CN"/>
              </w:rPr>
              <w:t>（无量纲），取值按年周转次数（K）确定。</w:t>
            </w:r>
          </w:p>
          <w:p w14:paraId="1252C54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K≤36，K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=1；36＜K≤220，K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=11.467×K</w:t>
            </w:r>
            <w:r>
              <w:rPr>
                <w:rFonts w:hint="default" w:ascii="Times New Roman" w:hAnsi="Times New Roman" w:eastAsia="宋体" w:cs="Times New Roman"/>
                <w:color w:val="auto"/>
                <w:sz w:val="24"/>
                <w:szCs w:val="24"/>
                <w:vertAlign w:val="superscript"/>
                <w:lang w:val="en-US" w:eastAsia="zh-CN"/>
              </w:rPr>
              <w:t>-0.7026</w:t>
            </w:r>
            <w:r>
              <w:rPr>
                <w:rFonts w:hint="default" w:ascii="Times New Roman" w:hAnsi="Times New Roman" w:eastAsia="宋体" w:cs="Times New Roman"/>
                <w:color w:val="auto"/>
                <w:sz w:val="24"/>
                <w:szCs w:val="24"/>
                <w:lang w:val="en-US" w:eastAsia="zh-CN"/>
              </w:rPr>
              <w:t>；K＞220，K</w:t>
            </w:r>
            <w:r>
              <w:rPr>
                <w:rFonts w:hint="default" w:ascii="Times New Roman" w:hAnsi="Times New Roman" w:eastAsia="宋体" w:cs="Times New Roman"/>
                <w:color w:val="auto"/>
                <w:sz w:val="24"/>
                <w:szCs w:val="24"/>
                <w:vertAlign w:val="subscript"/>
                <w:lang w:val="en-US" w:eastAsia="zh-CN"/>
              </w:rPr>
              <w:t>N</w:t>
            </w:r>
            <w:r>
              <w:rPr>
                <w:rFonts w:hint="default" w:ascii="Times New Roman" w:hAnsi="Times New Roman" w:eastAsia="宋体" w:cs="Times New Roman"/>
                <w:color w:val="auto"/>
                <w:sz w:val="24"/>
                <w:szCs w:val="24"/>
                <w:lang w:val="en-US" w:eastAsia="zh-CN"/>
              </w:rPr>
              <w:t>=0.26，</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项目K</w:t>
            </w:r>
            <w:r>
              <w:rPr>
                <w:rFonts w:hint="default" w:ascii="Times New Roman" w:hAnsi="Times New Roman" w:eastAsia="宋体" w:cs="Times New Roman"/>
                <w:color w:val="auto"/>
                <w:sz w:val="24"/>
                <w:szCs w:val="24"/>
                <w:vertAlign w:val="subscript"/>
                <w:lang w:val="en-US" w:eastAsia="zh-CN"/>
              </w:rPr>
              <w:t>N</w:t>
            </w:r>
            <w:r>
              <w:rPr>
                <w:rFonts w:hint="eastAsia" w:cs="Times New Roman"/>
                <w:color w:val="auto"/>
                <w:sz w:val="24"/>
                <w:szCs w:val="24"/>
                <w:lang w:val="en-US" w:eastAsia="zh-CN"/>
              </w:rPr>
              <w:t>取1</w:t>
            </w:r>
            <w:r>
              <w:rPr>
                <w:rFonts w:hint="eastAsia" w:ascii="Times New Roman" w:hAnsi="Times New Roman" w:eastAsia="宋体" w:cs="Times New Roman"/>
                <w:color w:val="auto"/>
                <w:sz w:val="24"/>
                <w:szCs w:val="24"/>
                <w:lang w:val="en-US" w:eastAsia="zh-CN"/>
              </w:rPr>
              <w:t>；</w:t>
            </w:r>
          </w:p>
          <w:p w14:paraId="3156C15F">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产品因子</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取1.0</w:t>
            </w:r>
            <w:r>
              <w:rPr>
                <w:rFonts w:hint="eastAsia" w:ascii="Times New Roman" w:hAnsi="Times New Roman" w:eastAsia="宋体" w:cs="Times New Roman"/>
                <w:color w:val="auto"/>
                <w:sz w:val="24"/>
                <w:szCs w:val="24"/>
                <w:lang w:val="en-US" w:eastAsia="zh-CN"/>
              </w:rPr>
              <w:t>。</w:t>
            </w:r>
          </w:p>
          <w:p w14:paraId="06C4C4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pacing w:val="2"/>
                <w:sz w:val="24"/>
                <w:szCs w:val="24"/>
                <w:vertAlign w:val="baseline"/>
                <w:lang w:val="en-US" w:eastAsia="zh-CN"/>
              </w:rPr>
            </w:pPr>
            <w:r>
              <w:rPr>
                <w:rFonts w:hint="eastAsia"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W</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0.007</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p>
          <w:p w14:paraId="1E53D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default" w:ascii="Times New Roman" w:hAnsi="Times New Roman" w:eastAsia="宋体" w:cs="Times New Roman"/>
                <w:b w:val="0"/>
                <w:bCs w:val="0"/>
                <w:color w:val="auto"/>
                <w:spacing w:val="2"/>
                <w:sz w:val="24"/>
                <w:szCs w:val="24"/>
                <w:vertAlign w:val="baseline"/>
                <w:lang w:val="en-US" w:eastAsia="zh-CN"/>
              </w:rPr>
              <w:t>盐酸</w:t>
            </w:r>
            <w:r>
              <w:rPr>
                <w:rFonts w:hint="default" w:ascii="Times New Roman" w:hAnsi="Times New Roman" w:eastAsia="宋体" w:cs="Times New Roman"/>
                <w:color w:val="auto"/>
                <w:sz w:val="24"/>
                <w:szCs w:val="24"/>
                <w:lang w:val="en-US" w:eastAsia="zh-CN"/>
              </w:rPr>
              <w:t>储罐“小呼吸”废气计算公式如下：</w:t>
            </w:r>
          </w:p>
          <w:p w14:paraId="125B704C">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val="en-US" w:eastAsia="zh-CN"/>
              </w:rPr>
              <w:t xml:space="preserve"> = 0.191×M[ P/(100910-P )]</w:t>
            </w:r>
            <w:r>
              <w:rPr>
                <w:rFonts w:hint="default" w:ascii="Times New Roman" w:hAnsi="Times New Roman" w:eastAsia="宋体" w:cs="Times New Roman"/>
                <w:color w:val="auto"/>
                <w:sz w:val="24"/>
                <w:szCs w:val="24"/>
                <w:vertAlign w:val="superscript"/>
                <w:lang w:val="en-US" w:eastAsia="zh-CN"/>
              </w:rPr>
              <w:t>0.68</w:t>
            </w: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vertAlign w:val="superscript"/>
                <w:lang w:val="en-US" w:eastAsia="zh-CN"/>
              </w:rPr>
              <w:t>1.73</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perscript"/>
                <w:lang w:val="en-US" w:eastAsia="zh-CN"/>
              </w:rPr>
              <w:t>0.51</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perscript"/>
                <w:lang w:val="en-US" w:eastAsia="zh-CN"/>
              </w:rPr>
              <w:t>0.45</w:t>
            </w:r>
            <w:r>
              <w:rPr>
                <w:rFonts w:hint="default"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vertAlign w:val="subscript"/>
                <w:lang w:val="en-US" w:eastAsia="zh-CN"/>
              </w:rPr>
              <w:t xml:space="preserve">P </w:t>
            </w:r>
            <w:r>
              <w:rPr>
                <w:rFonts w:hint="default" w:ascii="Times New Roman" w:hAnsi="Times New Roman" w:eastAsia="宋体" w:cs="Times New Roman"/>
                <w:color w:val="auto"/>
                <w:sz w:val="24"/>
                <w:szCs w:val="24"/>
                <w:lang w:val="en-US" w:eastAsia="zh-CN"/>
              </w:rPr>
              <w:t>×C×K</w:t>
            </w:r>
            <w:r>
              <w:rPr>
                <w:rFonts w:hint="default" w:ascii="Times New Roman" w:hAnsi="Times New Roman" w:eastAsia="宋体" w:cs="Times New Roman"/>
                <w:color w:val="auto"/>
                <w:sz w:val="24"/>
                <w:szCs w:val="24"/>
                <w:vertAlign w:val="subscript"/>
                <w:lang w:val="en-US" w:eastAsia="zh-CN"/>
              </w:rPr>
              <w:t>C</w:t>
            </w:r>
          </w:p>
          <w:p w14:paraId="407DBC43">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其中：L</w:t>
            </w:r>
            <w:r>
              <w:rPr>
                <w:rFonts w:hint="default"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固定顶罐的呼吸排放量，kg/a；</w:t>
            </w:r>
          </w:p>
          <w:p w14:paraId="0ABE268D">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lang w:eastAsia="zh-CN"/>
              </w:rPr>
              <w:t>——储罐内</w:t>
            </w:r>
            <w:r>
              <w:rPr>
                <w:rFonts w:hint="default" w:ascii="Times New Roman" w:hAnsi="Times New Roman" w:eastAsia="宋体" w:cs="Times New Roman"/>
                <w:color w:val="auto"/>
                <w:sz w:val="24"/>
                <w:szCs w:val="24"/>
                <w:lang w:val="en-US" w:eastAsia="zh-CN"/>
              </w:rPr>
              <w:t>蒸气的分子量</w:t>
            </w:r>
            <w:r>
              <w:rPr>
                <w:rFonts w:hint="eastAsia" w:cs="Times New Roman"/>
                <w:color w:val="auto"/>
                <w:sz w:val="24"/>
                <w:szCs w:val="24"/>
                <w:lang w:val="en-US" w:eastAsia="zh-CN"/>
              </w:rPr>
              <w:t>，取36.5</w:t>
            </w:r>
            <w:r>
              <w:rPr>
                <w:rFonts w:hint="default" w:ascii="Times New Roman" w:hAnsi="Times New Roman" w:eastAsia="宋体" w:cs="Times New Roman"/>
                <w:color w:val="auto"/>
                <w:sz w:val="24"/>
                <w:szCs w:val="24"/>
                <w:lang w:val="en-US" w:eastAsia="zh-CN"/>
              </w:rPr>
              <w:t>；</w:t>
            </w:r>
          </w:p>
          <w:p w14:paraId="5C1F2F11">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在大量液体状态下，真实的蒸汽压力（Pa），</w:t>
            </w:r>
            <w:r>
              <w:rPr>
                <w:rFonts w:hint="default" w:ascii="Times New Roman" w:hAnsi="Times New Roman" w:eastAsia="宋体" w:cs="Times New Roman"/>
                <w:color w:val="auto"/>
                <w:spacing w:val="13"/>
                <w:sz w:val="24"/>
                <w:szCs w:val="24"/>
              </w:rPr>
              <w:t>36%盐</w:t>
            </w:r>
            <w:r>
              <w:rPr>
                <w:rFonts w:hint="default" w:ascii="Times New Roman" w:hAnsi="Times New Roman" w:eastAsia="宋体" w:cs="Times New Roman"/>
                <w:spacing w:val="13"/>
                <w:sz w:val="24"/>
                <w:szCs w:val="24"/>
              </w:rPr>
              <w:t>酸在20摄</w:t>
            </w:r>
            <w:r>
              <w:rPr>
                <w:rFonts w:hint="default" w:ascii="Times New Roman" w:hAnsi="Times New Roman" w:eastAsia="宋体" w:cs="Times New Roman"/>
                <w:spacing w:val="12"/>
                <w:sz w:val="24"/>
                <w:szCs w:val="24"/>
              </w:rPr>
              <w:t>氏度下蒸气压</w:t>
            </w:r>
            <w:r>
              <w:rPr>
                <w:rFonts w:hint="default" w:ascii="Times New Roman" w:hAnsi="Times New Roman" w:eastAsia="宋体" w:cs="Times New Roman"/>
                <w:spacing w:val="4"/>
                <w:sz w:val="24"/>
                <w:szCs w:val="24"/>
              </w:rPr>
              <w:t>105</w:t>
            </w:r>
            <w:r>
              <w:rPr>
                <w:rFonts w:hint="default" w:ascii="Times New Roman" w:hAnsi="Times New Roman" w:eastAsia="宋体" w:cs="Times New Roman"/>
                <w:sz w:val="24"/>
                <w:szCs w:val="24"/>
              </w:rPr>
              <w:t>mmHg</w:t>
            </w:r>
            <w:r>
              <w:rPr>
                <w:rFonts w:hint="default" w:ascii="Times New Roman" w:hAnsi="Times New Roman" w:eastAsia="宋体" w:cs="Times New Roman"/>
                <w:spacing w:val="-39"/>
                <w:sz w:val="24"/>
                <w:szCs w:val="24"/>
              </w:rPr>
              <w:t xml:space="preserve"> </w:t>
            </w:r>
            <w:r>
              <w:rPr>
                <w:rFonts w:hint="default" w:ascii="Times New Roman" w:hAnsi="Times New Roman" w:eastAsia="宋体" w:cs="Times New Roman"/>
                <w:spacing w:val="4"/>
                <w:sz w:val="24"/>
                <w:szCs w:val="24"/>
              </w:rPr>
              <w:t>汞，折算13998.8</w:t>
            </w:r>
            <w:r>
              <w:rPr>
                <w:rFonts w:hint="default" w:ascii="Times New Roman" w:hAnsi="Times New Roman" w:eastAsia="宋体" w:cs="Times New Roman"/>
                <w:sz w:val="24"/>
                <w:szCs w:val="24"/>
              </w:rPr>
              <w:t>Pa</w:t>
            </w:r>
            <w:r>
              <w:rPr>
                <w:rFonts w:hint="default" w:ascii="Times New Roman" w:hAnsi="Times New Roman" w:eastAsia="宋体" w:cs="Times New Roman"/>
                <w:color w:val="auto"/>
                <w:sz w:val="24"/>
                <w:szCs w:val="24"/>
                <w:lang w:val="en-US" w:eastAsia="zh-CN"/>
              </w:rPr>
              <w:t>；</w:t>
            </w:r>
          </w:p>
          <w:p w14:paraId="0F6144B8">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储罐直径</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1.8</w:t>
            </w:r>
            <w:r>
              <w:rPr>
                <w:rFonts w:hint="default" w:ascii="Times New Roman" w:hAnsi="Times New Roman" w:eastAsia="宋体" w:cs="Times New Roman"/>
                <w:color w:val="auto"/>
                <w:sz w:val="24"/>
                <w:szCs w:val="24"/>
                <w:lang w:val="en-US" w:eastAsia="zh-CN"/>
              </w:rPr>
              <w:t>m；</w:t>
            </w:r>
          </w:p>
          <w:p w14:paraId="28C63810">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平均蒸气空间高度</w:t>
            </w:r>
            <w:r>
              <w:rPr>
                <w:rFonts w:hint="eastAsia"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取高度的一半1</w:t>
            </w:r>
            <w:r>
              <w:rPr>
                <w:rFonts w:hint="default" w:ascii="Times New Roman" w:hAnsi="Times New Roman" w:eastAsia="宋体" w:cs="Times New Roman"/>
                <w:color w:val="auto"/>
                <w:sz w:val="24"/>
                <w:szCs w:val="24"/>
                <w:lang w:val="en-US" w:eastAsia="zh-CN"/>
              </w:rPr>
              <w:t>m；</w:t>
            </w:r>
          </w:p>
          <w:p w14:paraId="7CFD324F">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一天之内的平均温度差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取10</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p>
          <w:p w14:paraId="4A0E4656">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w:t>
            </w:r>
            <w:r>
              <w:rPr>
                <w:rFonts w:hint="default" w:ascii="Times New Roman" w:hAnsi="Times New Roman" w:eastAsia="宋体" w:cs="Times New Roman"/>
                <w:color w:val="auto"/>
                <w:sz w:val="24"/>
                <w:szCs w:val="24"/>
                <w:vertAlign w:val="subscript"/>
                <w:lang w:val="en-US" w:eastAsia="zh-CN"/>
              </w:rPr>
              <w:t>P</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涂层因子（无量纲），根据油漆状况取值1～1.5之间，取1.0；</w:t>
            </w:r>
          </w:p>
          <w:p w14:paraId="5AD07D1D">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用于小直径储罐的</w:t>
            </w:r>
            <w:r>
              <w:rPr>
                <w:rFonts w:hint="default" w:ascii="Times New Roman" w:hAnsi="Times New Roman" w:eastAsia="宋体" w:cs="Times New Roman"/>
                <w:spacing w:val="-4"/>
                <w:sz w:val="24"/>
                <w:szCs w:val="24"/>
              </w:rPr>
              <w:t>调</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节</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因</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4"/>
                <w:sz w:val="24"/>
                <w:szCs w:val="24"/>
              </w:rPr>
              <w:t>子 (</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无</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量</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4"/>
                <w:sz w:val="24"/>
                <w:szCs w:val="24"/>
              </w:rPr>
              <w:t>纲</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58"/>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直</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径</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spacing w:val="-4"/>
                <w:sz w:val="24"/>
                <w:szCs w:val="24"/>
              </w:rPr>
              <w:t>在0~9m之</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间</w:t>
            </w:r>
            <w:r>
              <w:rPr>
                <w:rFonts w:hint="default" w:ascii="Times New Roman" w:hAnsi="Times New Roman" w:eastAsia="宋体" w:cs="Times New Roman"/>
                <w:spacing w:val="-30"/>
                <w:sz w:val="24"/>
                <w:szCs w:val="24"/>
              </w:rPr>
              <w:t xml:space="preserve"> </w:t>
            </w:r>
            <w:r>
              <w:rPr>
                <w:rFonts w:hint="default" w:ascii="Times New Roman" w:hAnsi="Times New Roman" w:eastAsia="宋体" w:cs="Times New Roman"/>
                <w:spacing w:val="-4"/>
                <w:sz w:val="24"/>
                <w:szCs w:val="24"/>
              </w:rPr>
              <w:t>的</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4"/>
                <w:sz w:val="24"/>
                <w:szCs w:val="24"/>
              </w:rPr>
              <w:t>罐</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4"/>
                <w:sz w:val="24"/>
                <w:szCs w:val="24"/>
              </w:rPr>
              <w:t>体</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4"/>
                <w:sz w:val="24"/>
                <w:szCs w:val="24"/>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3"/>
                <w:sz w:val="24"/>
                <w:szCs w:val="24"/>
              </w:rPr>
              <w:t>C=1-0.0123(D-9)</w:t>
            </w:r>
            <w:r>
              <w:rPr>
                <w:rFonts w:hint="eastAsia" w:ascii="Times New Roman" w:hAnsi="Times New Roman" w:eastAsia="宋体" w:cs="Times New Roman"/>
                <w:spacing w:val="3"/>
                <w:sz w:val="24"/>
                <w:szCs w:val="24"/>
                <w:vertAlign w:val="superscript"/>
                <w:lang w:val="en-US" w:eastAsia="zh-CN"/>
              </w:rPr>
              <w:t>2</w:t>
            </w:r>
            <w:r>
              <w:rPr>
                <w:rFonts w:hint="eastAsia" w:ascii="Times New Roman" w:hAnsi="Times New Roman" w:eastAsia="宋体" w:cs="Times New Roman"/>
                <w:spacing w:val="3"/>
                <w:sz w:val="24"/>
                <w:szCs w:val="24"/>
                <w:lang w:val="en-US" w:eastAsia="zh-CN"/>
              </w:rPr>
              <w:t>；</w:t>
            </w:r>
            <w:r>
              <w:rPr>
                <w:rFonts w:hint="default" w:ascii="Times New Roman" w:hAnsi="Times New Roman" w:eastAsia="宋体" w:cs="Times New Roman"/>
                <w:spacing w:val="3"/>
                <w:sz w:val="24"/>
                <w:szCs w:val="24"/>
                <w:lang w:eastAsia="zh-CN"/>
              </w:rPr>
              <w:t>罐径大于</w:t>
            </w:r>
            <w:r>
              <w:rPr>
                <w:rFonts w:hint="default" w:ascii="Times New Roman" w:hAnsi="Times New Roman" w:eastAsia="宋体" w:cs="Times New Roman"/>
                <w:spacing w:val="3"/>
                <w:sz w:val="24"/>
                <w:szCs w:val="24"/>
                <w:lang w:val="en-US" w:eastAsia="zh-CN"/>
              </w:rPr>
              <w:t>9m的C=</w:t>
            </w:r>
            <w:r>
              <w:rPr>
                <w:rFonts w:hint="default" w:ascii="Times New Roman" w:hAnsi="Times New Roman" w:eastAsia="宋体" w:cs="Times New Roman"/>
                <w:color w:val="auto"/>
                <w:spacing w:val="3"/>
                <w:sz w:val="24"/>
                <w:szCs w:val="24"/>
                <w:lang w:val="en-US" w:eastAsia="zh-CN"/>
              </w:rPr>
              <w:t>1；本项目C=</w:t>
            </w:r>
            <w:r>
              <w:rPr>
                <w:rFonts w:hint="eastAsia" w:cs="Times New Roman"/>
                <w:color w:val="auto"/>
                <w:spacing w:val="3"/>
                <w:sz w:val="24"/>
                <w:szCs w:val="24"/>
                <w:lang w:val="en-US" w:eastAsia="zh-CN"/>
              </w:rPr>
              <w:t>0.362</w:t>
            </w:r>
          </w:p>
          <w:p w14:paraId="6B5F65AE">
            <w:pPr>
              <w:pStyle w:val="10"/>
              <w:keepNext w:val="0"/>
              <w:keepLines w:val="0"/>
              <w:pageBreakBefore w:val="0"/>
              <w:widowControl w:val="0"/>
              <w:kinsoku/>
              <w:wordWrap/>
              <w:overflowPunct/>
              <w:topLinePunct w:val="0"/>
              <w:autoSpaceDE/>
              <w:autoSpaceDN/>
              <w:bidi w:val="0"/>
              <w:adjustRightInd/>
              <w:snapToGrid/>
              <w:spacing w:after="0" w:line="360" w:lineRule="auto"/>
              <w:ind w:firstLine="960" w:firstLineChars="4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Kc</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产品因子，取1.0。</w:t>
            </w:r>
          </w:p>
          <w:p w14:paraId="40E96379">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vertAlign w:val="subscript"/>
                <w:lang w:val="en-US" w:eastAsia="zh-CN"/>
              </w:rPr>
              <w:t>B</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0.045</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p>
          <w:p w14:paraId="32B8F8B7">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经计算，盐酸储罐大呼吸废气产生量为0.007</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0.001kg/h），小呼吸废气产生量为</w:t>
            </w:r>
            <w:r>
              <w:rPr>
                <w:rFonts w:hint="eastAsia" w:ascii="Times New Roman" w:hAnsi="Times New Roman" w:eastAsia="宋体" w:cs="Times New Roman"/>
                <w:color w:val="auto"/>
                <w:sz w:val="24"/>
                <w:szCs w:val="24"/>
                <w:lang w:val="en-US" w:eastAsia="zh-CN"/>
              </w:rPr>
              <w:t>0.045</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0.006kg/h），合计0.052t</w:t>
            </w:r>
            <w:r>
              <w:rPr>
                <w:rFonts w:hint="eastAsia"/>
                <w:color w:val="auto"/>
                <w:spacing w:val="-3"/>
                <w:sz w:val="24"/>
              </w:rPr>
              <w:t>/a</w:t>
            </w:r>
            <w:r>
              <w:rPr>
                <w:rFonts w:hint="default" w:ascii="Times New Roman" w:hAnsi="Times New Roman" w:eastAsia="宋体" w:cs="Times New Roman"/>
                <w:color w:val="auto"/>
                <w:sz w:val="24"/>
                <w:szCs w:val="24"/>
                <w:lang w:val="en-US" w:eastAsia="zh-CN"/>
              </w:rPr>
              <w:t>。</w:t>
            </w:r>
          </w:p>
          <w:p w14:paraId="57B5DF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8" w:firstLineChars="200"/>
              <w:textAlignment w:val="auto"/>
              <w:rPr>
                <w:rFonts w:hint="eastAsia"/>
                <w:color w:val="auto"/>
                <w:spacing w:val="-3"/>
                <w:sz w:val="24"/>
                <w:lang w:val="en-US" w:eastAsia="zh-CN"/>
              </w:rPr>
            </w:pPr>
            <w:r>
              <w:rPr>
                <w:rFonts w:hint="eastAsia" w:cs="Times New Roman"/>
                <w:color w:val="auto"/>
                <w:spacing w:val="2"/>
                <w:sz w:val="24"/>
                <w:szCs w:val="24"/>
                <w:vertAlign w:val="baseline"/>
                <w:lang w:val="en-US" w:eastAsia="zh-CN"/>
              </w:rPr>
              <w:t>盐酸储罐呼吸废气采取套管收集后经密闭管道输送至二级碱喷淋装置处理，处理后由1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3</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color w:val="auto"/>
                <w:spacing w:val="-3"/>
                <w:sz w:val="24"/>
                <w:lang w:eastAsia="zh-CN"/>
              </w:rPr>
              <w:t>盐酸储罐呼吸废气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0.005t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0.0007kg/h），</w:t>
            </w:r>
            <w:r>
              <w:rPr>
                <w:rFonts w:hint="eastAsia"/>
                <w:color w:val="auto"/>
                <w:spacing w:val="-3"/>
                <w:sz w:val="24"/>
                <w:lang w:eastAsia="zh-CN"/>
              </w:rPr>
              <w:t>无组织排放量为</w:t>
            </w:r>
            <w:r>
              <w:rPr>
                <w:rFonts w:hint="eastAsia"/>
                <w:color w:val="auto"/>
                <w:spacing w:val="-3"/>
                <w:sz w:val="24"/>
                <w:lang w:val="en-US" w:eastAsia="zh-CN"/>
              </w:rPr>
              <w:t>0.003t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0.0004kg/h）。</w:t>
            </w:r>
          </w:p>
          <w:p w14:paraId="45A02E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②配酸废气</w:t>
            </w:r>
          </w:p>
          <w:p w14:paraId="6EA6EC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8" w:firstLineChars="200"/>
              <w:textAlignment w:val="auto"/>
              <w:rPr>
                <w:rFonts w:hint="eastAsia"/>
                <w:color w:val="auto"/>
                <w:spacing w:val="-3"/>
                <w:sz w:val="24"/>
                <w:lang w:val="en-US" w:eastAsia="zh-CN"/>
              </w:rPr>
            </w:pPr>
            <w:r>
              <w:rPr>
                <w:rFonts w:hint="eastAsia" w:ascii="Times New Roman" w:hAnsi="Times New Roman" w:eastAsia="宋体" w:cs="Times New Roman"/>
                <w:spacing w:val="7"/>
                <w:sz w:val="24"/>
                <w:szCs w:val="24"/>
                <w:lang w:eastAsia="zh-CN"/>
              </w:rPr>
              <w:t>项目</w:t>
            </w:r>
            <w:r>
              <w:rPr>
                <w:rFonts w:hint="default" w:ascii="Times New Roman" w:hAnsi="Times New Roman" w:eastAsia="宋体" w:cs="Times New Roman"/>
                <w:spacing w:val="7"/>
                <w:sz w:val="24"/>
                <w:szCs w:val="24"/>
              </w:rPr>
              <w:t>配酸过程为36%盐酸加入5m</w:t>
            </w:r>
            <w:r>
              <w:rPr>
                <w:rFonts w:hint="eastAsia"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rPr>
              <w:t>洗滤罐中，此过程类似于卸酸，配酸过程</w:t>
            </w:r>
            <w:r>
              <w:rPr>
                <w:rFonts w:hint="eastAsia" w:ascii="Times New Roman" w:hAnsi="Times New Roman" w:eastAsia="宋体" w:cs="Times New Roman"/>
                <w:spacing w:val="7"/>
                <w:sz w:val="24"/>
                <w:szCs w:val="24"/>
                <w:lang w:eastAsia="zh-CN"/>
              </w:rPr>
              <w:t>产生的酸性废气参照盐酸储罐大呼吸废气，配酸废气</w:t>
            </w:r>
            <w:r>
              <w:rPr>
                <w:rFonts w:hint="eastAsia" w:ascii="Times New Roman" w:hAnsi="Times New Roman" w:eastAsia="宋体" w:cs="Times New Roman"/>
                <w:color w:val="auto"/>
                <w:spacing w:val="2"/>
                <w:sz w:val="24"/>
                <w:szCs w:val="24"/>
                <w:vertAlign w:val="baseline"/>
                <w:lang w:val="en-US" w:eastAsia="zh-CN"/>
              </w:rPr>
              <w:t>HCl</w:t>
            </w:r>
            <w:r>
              <w:rPr>
                <w:rFonts w:hint="eastAsia" w:ascii="Times New Roman" w:hAnsi="Times New Roman" w:eastAsia="宋体" w:cs="Times New Roman"/>
                <w:spacing w:val="7"/>
                <w:sz w:val="24"/>
                <w:szCs w:val="24"/>
                <w:lang w:eastAsia="zh-CN"/>
              </w:rPr>
              <w:t>产生量为</w:t>
            </w:r>
            <w:r>
              <w:rPr>
                <w:rFonts w:hint="eastAsia" w:ascii="Times New Roman" w:hAnsi="Times New Roman" w:eastAsia="宋体" w:cs="Times New Roman"/>
                <w:color w:val="auto"/>
                <w:sz w:val="24"/>
                <w:szCs w:val="24"/>
                <w:lang w:val="en-US" w:eastAsia="zh-CN"/>
              </w:rPr>
              <w:t>0.007</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0.001kg/h）。</w:t>
            </w:r>
          </w:p>
          <w:p w14:paraId="2ECA8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eastAsia"/>
                <w:color w:val="auto"/>
                <w:spacing w:val="-3"/>
                <w:sz w:val="24"/>
                <w:lang w:val="en-US" w:eastAsia="zh-CN"/>
              </w:rPr>
              <w:t xml:space="preserve"> </w:t>
            </w:r>
            <w:r>
              <w:rPr>
                <w:rFonts w:hint="eastAsia" w:ascii="Times New Roman" w:hAnsi="Times New Roman" w:cs="Times New Roman"/>
                <w:color w:val="auto"/>
                <w:sz w:val="24"/>
                <w:lang w:eastAsia="zh-CN"/>
              </w:rPr>
              <w:t>配酸</w:t>
            </w:r>
            <w:r>
              <w:rPr>
                <w:rFonts w:hint="eastAsia" w:cs="Times New Roman"/>
                <w:color w:val="auto"/>
                <w:spacing w:val="2"/>
                <w:sz w:val="24"/>
                <w:szCs w:val="24"/>
                <w:vertAlign w:val="baseline"/>
                <w:lang w:val="en-US" w:eastAsia="zh-CN"/>
              </w:rPr>
              <w:t>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3</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cs="Times New Roman"/>
                <w:color w:val="auto"/>
                <w:kern w:val="0"/>
                <w:sz w:val="24"/>
                <w:szCs w:val="24"/>
                <w:lang w:val="en-US" w:eastAsia="zh-CN" w:bidi="ar"/>
              </w:rPr>
              <w:t>，设计</w:t>
            </w:r>
            <w:r>
              <w:rPr>
                <w:rFonts w:hint="default" w:ascii="Times New Roman" w:hAnsi="Times New Roman" w:eastAsia="宋体" w:cs="Times New Roman"/>
                <w:color w:val="auto"/>
                <w:kern w:val="0"/>
                <w:sz w:val="24"/>
                <w:szCs w:val="24"/>
                <w:lang w:val="en-US" w:eastAsia="zh-CN" w:bidi="ar"/>
              </w:rPr>
              <w:t>风量为</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000</w:t>
            </w:r>
            <w:r>
              <w:rPr>
                <w:rFonts w:hint="default" w:ascii="Times New Roman" w:hAnsi="Times New Roman" w:eastAsia="宋体" w:cs="Times New Roman"/>
                <w:color w:val="auto"/>
                <w:w w:val="100"/>
                <w:sz w:val="24"/>
                <w:szCs w:val="24"/>
                <w:highlight w:val="none"/>
                <w:lang w:val="zh-CN" w:eastAsia="zh-CN"/>
              </w:rPr>
              <w:t>m</w:t>
            </w:r>
            <w:r>
              <w:rPr>
                <w:rFonts w:hint="default" w:ascii="Times New Roman" w:hAnsi="Times New Roman" w:eastAsia="宋体" w:cs="Times New Roman"/>
                <w:color w:val="auto"/>
                <w:w w:val="100"/>
                <w:sz w:val="24"/>
                <w:szCs w:val="24"/>
                <w:highlight w:val="none"/>
                <w:vertAlign w:val="superscript"/>
                <w:lang w:val="zh-CN" w:eastAsia="zh-CN"/>
              </w:rPr>
              <w:t>3</w:t>
            </w:r>
            <w:r>
              <w:rPr>
                <w:rFonts w:hint="default" w:ascii="Times New Roman" w:hAnsi="Times New Roman" w:eastAsia="宋体" w:cs="Times New Roman"/>
                <w:color w:val="auto"/>
                <w:w w:val="100"/>
                <w:sz w:val="24"/>
                <w:szCs w:val="24"/>
                <w:highlight w:val="none"/>
                <w:lang w:val="zh-CN" w:eastAsia="zh-CN"/>
              </w:rPr>
              <w:t>/h</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color w:val="auto"/>
                <w:spacing w:val="-3"/>
                <w:sz w:val="24"/>
                <w:lang w:eastAsia="zh-CN"/>
              </w:rPr>
              <w:t>配酸废气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0.001t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0.0001kg/h），</w:t>
            </w:r>
            <w:r>
              <w:rPr>
                <w:rFonts w:hint="eastAsia"/>
                <w:color w:val="auto"/>
                <w:spacing w:val="-3"/>
                <w:sz w:val="24"/>
                <w:lang w:eastAsia="zh-CN"/>
              </w:rPr>
              <w:t>无组织排放量为</w:t>
            </w:r>
            <w:r>
              <w:rPr>
                <w:rFonts w:hint="eastAsia"/>
                <w:color w:val="auto"/>
                <w:spacing w:val="-3"/>
                <w:sz w:val="24"/>
                <w:lang w:val="en-US" w:eastAsia="zh-CN"/>
              </w:rPr>
              <w:t>0.0004t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0.00004kg/h）</w:t>
            </w:r>
            <w:r>
              <w:rPr>
                <w:rFonts w:hint="eastAsia" w:ascii="Times New Roman" w:hAnsi="Times New Roman" w:cs="Times New Roman"/>
                <w:color w:val="auto"/>
                <w:sz w:val="24"/>
                <w:lang w:eastAsia="zh-CN"/>
              </w:rPr>
              <w:t>。</w:t>
            </w:r>
          </w:p>
          <w:p w14:paraId="35C99D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③</w:t>
            </w:r>
            <w:r>
              <w:rPr>
                <w:rFonts w:hint="eastAsia" w:ascii="Times New Roman" w:hAnsi="Times New Roman" w:eastAsia="宋体" w:cs="Times New Roman"/>
                <w:b/>
                <w:bCs/>
                <w:color w:val="auto"/>
                <w:sz w:val="24"/>
                <w:szCs w:val="24"/>
                <w:lang w:eastAsia="zh-CN"/>
              </w:rPr>
              <w:t>酸洗</w:t>
            </w:r>
            <w:r>
              <w:rPr>
                <w:rFonts w:hint="eastAsia" w:cs="Times New Roman"/>
                <w:b/>
                <w:bCs/>
                <w:color w:val="auto"/>
                <w:sz w:val="24"/>
                <w:szCs w:val="24"/>
                <w:lang w:eastAsia="zh-CN"/>
              </w:rPr>
              <w:t>、干燥废气</w:t>
            </w:r>
          </w:p>
          <w:p w14:paraId="7B34E89E">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酸雾源强：</w:t>
            </w: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酸洗过程会产生少量酸洗</w:t>
            </w:r>
            <w:r>
              <w:rPr>
                <w:rFonts w:hint="default" w:ascii="Times New Roman" w:hAnsi="Times New Roman" w:cs="Times New Roman"/>
                <w:color w:val="auto"/>
                <w:sz w:val="24"/>
              </w:rPr>
              <w:t>废气</w:t>
            </w:r>
            <w:r>
              <w:rPr>
                <w:rFonts w:hint="eastAsia" w:ascii="Times New Roman" w:hAnsi="Times New Roman" w:eastAsia="宋体" w:cs="Times New Roman"/>
                <w:color w:val="auto"/>
                <w:spacing w:val="2"/>
                <w:sz w:val="24"/>
                <w:szCs w:val="24"/>
                <w:vertAlign w:val="baseline"/>
                <w:lang w:val="en-US" w:eastAsia="zh-CN"/>
              </w:rPr>
              <w:t>HCl</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产生量</w:t>
            </w:r>
            <w:r>
              <w:rPr>
                <w:rFonts w:hint="eastAsia" w:ascii="Times New Roman" w:hAnsi="Times New Roman" w:cs="Times New Roman"/>
                <w:color w:val="auto"/>
                <w:sz w:val="24"/>
                <w:lang w:eastAsia="zh-CN"/>
              </w:rPr>
              <w:t>参照</w:t>
            </w:r>
            <w:r>
              <w:rPr>
                <w:rFonts w:hint="default" w:ascii="Times New Roman" w:hAnsi="Times New Roman" w:cs="Times New Roman"/>
                <w:color w:val="auto"/>
                <w:sz w:val="24"/>
              </w:rPr>
              <w:t>《环境统计手册》（四川</w:t>
            </w:r>
            <w:r>
              <w:rPr>
                <w:rFonts w:hint="eastAsia" w:ascii="Times New Roman" w:hAnsi="Times New Roman" w:cs="Times New Roman"/>
                <w:color w:val="auto"/>
                <w:sz w:val="24"/>
                <w:lang w:eastAsia="zh-CN"/>
              </w:rPr>
              <w:t>科学技术</w:t>
            </w:r>
            <w:r>
              <w:rPr>
                <w:rFonts w:hint="default" w:ascii="Times New Roman" w:hAnsi="Times New Roman" w:cs="Times New Roman"/>
                <w:color w:val="auto"/>
                <w:sz w:val="24"/>
              </w:rPr>
              <w:t>出版社）中液体蒸发量计算公式，</w:t>
            </w:r>
            <w:r>
              <w:rPr>
                <w:rFonts w:hint="eastAsia" w:ascii="Times New Roman" w:hAnsi="Times New Roman" w:cs="Times New Roman"/>
                <w:color w:val="auto"/>
                <w:sz w:val="24"/>
                <w:lang w:eastAsia="zh-CN"/>
              </w:rPr>
              <w:t>计算公式如下</w:t>
            </w:r>
            <w:r>
              <w:rPr>
                <w:rFonts w:hint="default" w:ascii="Times New Roman" w:hAnsi="Times New Roman" w:cs="Times New Roman"/>
                <w:color w:val="auto"/>
                <w:sz w:val="24"/>
              </w:rPr>
              <w:t>：</w:t>
            </w:r>
          </w:p>
          <w:p w14:paraId="68202C10">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G</w:t>
            </w:r>
            <w:r>
              <w:rPr>
                <w:rFonts w:hint="eastAsia" w:ascii="Times New Roman" w:hAnsi="Times New Roman" w:cs="Times New Roman"/>
                <w:color w:val="auto"/>
                <w:sz w:val="24"/>
                <w:vertAlign w:val="subscript"/>
                <w:lang w:val="en-US" w:eastAsia="zh-CN"/>
              </w:rPr>
              <w:t>Z</w:t>
            </w:r>
            <w:r>
              <w:rPr>
                <w:rFonts w:hint="default" w:ascii="Times New Roman" w:hAnsi="Times New Roman" w:cs="Times New Roman"/>
                <w:color w:val="auto"/>
                <w:sz w:val="24"/>
              </w:rPr>
              <w:t>=M（0.000352+0.000786×U）×P×F</w:t>
            </w:r>
          </w:p>
          <w:p w14:paraId="321FFD0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式中：Gz——液体的蒸发量，kg/h；</w:t>
            </w:r>
          </w:p>
          <w:p w14:paraId="1BF5AA70">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M——液体分子量</w:t>
            </w:r>
            <w:r>
              <w:rPr>
                <w:rFonts w:hint="eastAsia" w:ascii="Times New Roman" w:hAnsi="Times New Roman" w:cs="Times New Roman"/>
                <w:color w:val="auto"/>
                <w:sz w:val="24"/>
                <w:lang w:eastAsia="zh-CN"/>
              </w:rPr>
              <w:t>，</w:t>
            </w:r>
            <w:r>
              <w:rPr>
                <w:rFonts w:hint="eastAsia" w:cs="Times New Roman"/>
                <w:color w:val="auto"/>
                <w:sz w:val="24"/>
                <w:szCs w:val="24"/>
                <w:lang w:val="en-US" w:eastAsia="zh-CN"/>
              </w:rPr>
              <w:t>取36.5</w:t>
            </w:r>
            <w:r>
              <w:rPr>
                <w:rFonts w:hint="default" w:ascii="Times New Roman" w:hAnsi="Times New Roman" w:cs="Times New Roman"/>
                <w:color w:val="auto"/>
                <w:sz w:val="24"/>
              </w:rPr>
              <w:t>；</w:t>
            </w:r>
          </w:p>
          <w:p w14:paraId="30A2411C">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U——蒸发液体表面上的空气流速（m/s），应以实测数据为准。无条件实测时，一般可取0.2-0.</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m/s；本次取0.</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m/s。</w:t>
            </w:r>
          </w:p>
          <w:p w14:paraId="693840A3">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P——相应于液体温度下空气中的饱和蒸</w:t>
            </w:r>
            <w:r>
              <w:rPr>
                <w:rFonts w:hint="default" w:ascii="Times New Roman" w:hAnsi="Times New Roman" w:eastAsia="宋体" w:cs="Times New Roman"/>
                <w:color w:val="auto"/>
                <w:sz w:val="24"/>
                <w:szCs w:val="24"/>
              </w:rPr>
              <w:t>汽分压力（mmHg），</w:t>
            </w:r>
            <w:r>
              <w:rPr>
                <w:rFonts w:hint="default" w:ascii="Times New Roman" w:hAnsi="Times New Roman" w:eastAsia="宋体" w:cs="Times New Roman"/>
                <w:color w:val="auto"/>
                <w:spacing w:val="15"/>
                <w:sz w:val="24"/>
                <w:szCs w:val="24"/>
              </w:rPr>
              <w:t>本项目酸液浓度</w:t>
            </w:r>
            <w:r>
              <w:rPr>
                <w:rFonts w:hint="default" w:ascii="Times New Roman" w:hAnsi="Times New Roman" w:eastAsia="宋体" w:cs="Times New Roman"/>
                <w:color w:val="auto"/>
                <w:spacing w:val="7"/>
                <w:sz w:val="24"/>
                <w:szCs w:val="24"/>
              </w:rPr>
              <w:t>0.5</w:t>
            </w:r>
            <w:r>
              <w:rPr>
                <w:rFonts w:hint="default" w:ascii="Times New Roman" w:hAnsi="Times New Roman" w:eastAsia="宋体" w:cs="Times New Roman"/>
                <w:color w:val="auto"/>
                <w:sz w:val="24"/>
                <w:szCs w:val="24"/>
              </w:rPr>
              <w:t>mol</w:t>
            </w:r>
            <w:r>
              <w:rPr>
                <w:rFonts w:hint="default" w:ascii="Times New Roman" w:hAnsi="Times New Roman" w:eastAsia="宋体" w:cs="Times New Roman"/>
                <w:color w:val="auto"/>
                <w:spacing w:val="7"/>
                <w:sz w:val="24"/>
                <w:szCs w:val="24"/>
              </w:rPr>
              <w:t>/L</w:t>
            </w:r>
            <w:r>
              <w:rPr>
                <w:rFonts w:hint="eastAsia" w:ascii="Times New Roman" w:hAnsi="Times New Roman" w:eastAsia="宋体" w:cs="Times New Roman"/>
                <w:color w:val="auto"/>
                <w:spacing w:val="7"/>
                <w:sz w:val="24"/>
                <w:szCs w:val="24"/>
                <w:lang w:val="en-US" w:eastAsia="zh-CN"/>
              </w:rPr>
              <w:t>-</w:t>
            </w:r>
            <w:r>
              <w:rPr>
                <w:rFonts w:hint="default" w:ascii="Times New Roman" w:hAnsi="Times New Roman" w:eastAsia="宋体" w:cs="Times New Roman"/>
                <w:color w:val="auto"/>
                <w:spacing w:val="7"/>
                <w:sz w:val="24"/>
                <w:szCs w:val="24"/>
              </w:rPr>
              <w:t>1</w:t>
            </w:r>
            <w:r>
              <w:rPr>
                <w:rFonts w:hint="default" w:ascii="Times New Roman" w:hAnsi="Times New Roman" w:eastAsia="宋体" w:cs="Times New Roman"/>
                <w:color w:val="auto"/>
                <w:sz w:val="24"/>
                <w:szCs w:val="24"/>
              </w:rPr>
              <w:t>mol</w:t>
            </w:r>
            <w:r>
              <w:rPr>
                <w:rFonts w:hint="default" w:ascii="Times New Roman" w:hAnsi="Times New Roman" w:eastAsia="宋体" w:cs="Times New Roman"/>
                <w:color w:val="auto"/>
                <w:spacing w:val="7"/>
                <w:sz w:val="24"/>
                <w:szCs w:val="24"/>
              </w:rPr>
              <w:t>/L（质量浓度</w:t>
            </w:r>
            <w:r>
              <w:rPr>
                <w:rFonts w:hint="default" w:ascii="Times New Roman" w:hAnsi="Times New Roman" w:eastAsia="宋体" w:cs="Times New Roman"/>
                <w:color w:val="auto"/>
                <w:spacing w:val="-33"/>
                <w:sz w:val="24"/>
                <w:szCs w:val="24"/>
              </w:rPr>
              <w:t xml:space="preserve"> </w:t>
            </w:r>
            <w:r>
              <w:rPr>
                <w:rFonts w:hint="default" w:ascii="Times New Roman" w:hAnsi="Times New Roman" w:eastAsia="宋体" w:cs="Times New Roman"/>
                <w:color w:val="auto"/>
                <w:spacing w:val="7"/>
                <w:sz w:val="24"/>
                <w:szCs w:val="24"/>
              </w:rPr>
              <w:t>2%-4%</w:t>
            </w:r>
            <w:r>
              <w:rPr>
                <w:rFonts w:hint="default" w:ascii="Times New Roman" w:hAnsi="Times New Roman" w:eastAsia="宋体" w:cs="Times New Roman"/>
                <w:color w:val="auto"/>
                <w:spacing w:val="17"/>
                <w:sz w:val="24"/>
                <w:szCs w:val="24"/>
              </w:rPr>
              <w:t>），</w:t>
            </w:r>
            <w:r>
              <w:rPr>
                <w:rFonts w:hint="default" w:ascii="Times New Roman" w:hAnsi="Times New Roman" w:eastAsia="宋体" w:cs="Times New Roman"/>
                <w:color w:val="auto"/>
                <w:spacing w:val="7"/>
                <w:sz w:val="24"/>
                <w:szCs w:val="24"/>
              </w:rPr>
              <w:t>参考</w:t>
            </w:r>
            <w:r>
              <w:rPr>
                <w:rFonts w:hint="default" w:ascii="Times New Roman" w:hAnsi="Times New Roman" w:eastAsia="宋体" w:cs="Times New Roman"/>
                <w:color w:val="auto"/>
                <w:spacing w:val="-35"/>
                <w:sz w:val="24"/>
                <w:szCs w:val="24"/>
              </w:rPr>
              <w:t xml:space="preserve"> </w:t>
            </w:r>
            <w:r>
              <w:rPr>
                <w:rFonts w:hint="default" w:ascii="Times New Roman" w:hAnsi="Times New Roman" w:eastAsia="宋体" w:cs="Times New Roman"/>
                <w:color w:val="auto"/>
                <w:spacing w:val="7"/>
                <w:sz w:val="24"/>
                <w:szCs w:val="24"/>
              </w:rPr>
              <w:t>25℃下，10%</w:t>
            </w:r>
            <w:r>
              <w:rPr>
                <w:rFonts w:hint="default" w:ascii="Times New Roman" w:hAnsi="Times New Roman" w:eastAsia="宋体" w:cs="Times New Roman"/>
                <w:color w:val="auto"/>
                <w:sz w:val="24"/>
                <w:szCs w:val="24"/>
              </w:rPr>
              <w:t>HCl</w:t>
            </w:r>
            <w:r>
              <w:rPr>
                <w:rFonts w:hint="default" w:ascii="Times New Roman" w:hAnsi="Times New Roman" w:eastAsia="宋体" w:cs="Times New Roman"/>
                <w:color w:val="auto"/>
                <w:spacing w:val="-38"/>
                <w:sz w:val="24"/>
                <w:szCs w:val="24"/>
              </w:rPr>
              <w:t xml:space="preserve"> </w:t>
            </w:r>
            <w:r>
              <w:rPr>
                <w:rFonts w:hint="default" w:ascii="Times New Roman" w:hAnsi="Times New Roman" w:eastAsia="宋体" w:cs="Times New Roman"/>
                <w:color w:val="auto"/>
                <w:spacing w:val="7"/>
                <w:sz w:val="24"/>
                <w:szCs w:val="24"/>
              </w:rPr>
              <w:t>溶液</w:t>
            </w:r>
            <w:r>
              <w:rPr>
                <w:rFonts w:hint="default" w:ascii="Times New Roman" w:hAnsi="Times New Roman" w:eastAsia="宋体" w:cs="Times New Roman"/>
                <w:color w:val="auto"/>
                <w:spacing w:val="-41"/>
                <w:sz w:val="24"/>
                <w:szCs w:val="24"/>
              </w:rPr>
              <w:t xml:space="preserve"> </w:t>
            </w:r>
            <w:r>
              <w:rPr>
                <w:rFonts w:hint="default" w:ascii="Times New Roman" w:hAnsi="Times New Roman" w:eastAsia="宋体" w:cs="Times New Roman"/>
                <w:color w:val="auto"/>
                <w:sz w:val="24"/>
                <w:szCs w:val="24"/>
              </w:rPr>
              <w:t>HCl</w:t>
            </w:r>
            <w:r>
              <w:rPr>
                <w:rFonts w:hint="default" w:ascii="Times New Roman" w:hAnsi="Times New Roman" w:eastAsia="宋体" w:cs="Times New Roman"/>
                <w:color w:val="auto"/>
                <w:spacing w:val="-40"/>
                <w:sz w:val="24"/>
                <w:szCs w:val="24"/>
              </w:rPr>
              <w:t xml:space="preserve"> </w:t>
            </w:r>
            <w:r>
              <w:rPr>
                <w:rFonts w:hint="default" w:ascii="Times New Roman" w:hAnsi="Times New Roman" w:eastAsia="宋体" w:cs="Times New Roman"/>
                <w:color w:val="auto"/>
                <w:spacing w:val="7"/>
                <w:sz w:val="24"/>
                <w:szCs w:val="24"/>
              </w:rPr>
              <w:t>气体分压取</w:t>
            </w:r>
            <w:r>
              <w:rPr>
                <w:rFonts w:hint="default" w:ascii="Times New Roman" w:hAnsi="Times New Roman" w:eastAsia="宋体" w:cs="Times New Roman"/>
                <w:color w:val="auto"/>
                <w:spacing w:val="5"/>
                <w:sz w:val="24"/>
                <w:szCs w:val="24"/>
              </w:rPr>
              <w:t>0.007</w:t>
            </w:r>
            <w:r>
              <w:rPr>
                <w:rFonts w:hint="default" w:ascii="Times New Roman" w:hAnsi="Times New Roman" w:eastAsia="宋体" w:cs="Times New Roman"/>
                <w:color w:val="auto"/>
                <w:sz w:val="24"/>
                <w:szCs w:val="24"/>
              </w:rPr>
              <w:t>mmHg；</w:t>
            </w:r>
          </w:p>
          <w:p w14:paraId="75104EEA">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color w:val="auto"/>
                <w:sz w:val="24"/>
              </w:rPr>
            </w:pPr>
            <w:r>
              <w:rPr>
                <w:rFonts w:hint="default" w:ascii="Times New Roman" w:hAnsi="Times New Roman" w:cs="Times New Roman"/>
                <w:color w:val="auto"/>
                <w:sz w:val="24"/>
              </w:rPr>
              <w:t>F——蒸发面的面积，</w:t>
            </w:r>
            <w:r>
              <w:rPr>
                <w:rFonts w:hint="eastAsia" w:ascii="Times New Roman" w:hAnsi="Times New Roman" w:cs="Times New Roman"/>
                <w:color w:val="auto"/>
                <w:sz w:val="24"/>
                <w:lang w:eastAsia="zh-CN"/>
              </w:rPr>
              <w:t>m</w:t>
            </w:r>
            <w:r>
              <w:rPr>
                <w:rFonts w:hint="eastAsia" w:ascii="Times New Roman" w:hAnsi="Times New Roman" w:cs="Times New Roman"/>
                <w:color w:val="auto"/>
                <w:sz w:val="24"/>
                <w:vertAlign w:val="superscript"/>
                <w:lang w:eastAsia="zh-CN"/>
              </w:rPr>
              <w:t>2</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项目洗滤罐直径</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F</w:t>
            </w:r>
            <w:r>
              <w:rPr>
                <w:rFonts w:hint="eastAsia" w:ascii="Times New Roman" w:hAnsi="Times New Roman" w:cs="Times New Roman"/>
                <w:color w:val="auto"/>
                <w:sz w:val="24"/>
                <w:lang w:val="en-US" w:eastAsia="zh-CN"/>
              </w:rPr>
              <w:t>=3.14</w:t>
            </w:r>
            <w:r>
              <w:rPr>
                <w:rFonts w:hint="eastAsia" w:ascii="Times New Roman" w:hAnsi="Times New Roman" w:cs="Times New Roman"/>
                <w:color w:val="auto"/>
                <w:sz w:val="24"/>
                <w:lang w:eastAsia="zh-CN"/>
              </w:rPr>
              <w:t>m</w:t>
            </w:r>
            <w:r>
              <w:rPr>
                <w:rFonts w:hint="eastAsia" w:ascii="Times New Roman" w:hAnsi="Times New Roman" w:cs="Times New Roman"/>
                <w:color w:val="auto"/>
                <w:sz w:val="24"/>
                <w:vertAlign w:val="superscript"/>
                <w:lang w:eastAsia="zh-CN"/>
              </w:rPr>
              <w:t>2</w:t>
            </w:r>
            <w:r>
              <w:rPr>
                <w:rFonts w:hint="default" w:ascii="Times New Roman" w:hAnsi="Times New Roman" w:cs="Times New Roman"/>
                <w:color w:val="auto"/>
                <w:sz w:val="24"/>
              </w:rPr>
              <w:t>。</w:t>
            </w:r>
          </w:p>
          <w:p w14:paraId="1B939D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eastAsia" w:ascii="Times New Roman" w:hAnsi="Times New Roman" w:cs="Times New Roman"/>
                <w:color w:val="auto"/>
                <w:sz w:val="24"/>
                <w:lang w:eastAsia="zh-CN"/>
              </w:rPr>
              <w:t>经计算，</w:t>
            </w:r>
            <w:r>
              <w:rPr>
                <w:rFonts w:hint="eastAsia" w:cs="Times New Roman"/>
                <w:color w:val="auto"/>
                <w:sz w:val="24"/>
                <w:lang w:eastAsia="zh-CN"/>
              </w:rPr>
              <w:t>每个酸液储罐盐酸雾产生量为</w:t>
            </w:r>
            <w:r>
              <w:rPr>
                <w:rFonts w:hint="eastAsia" w:cs="Times New Roman"/>
                <w:color w:val="auto"/>
                <w:sz w:val="24"/>
                <w:lang w:val="en-US" w:eastAsia="zh-CN"/>
              </w:rPr>
              <w:t>0.0005</w:t>
            </w:r>
            <w:r>
              <w:rPr>
                <w:rFonts w:hint="eastAsia"/>
                <w:color w:val="auto"/>
                <w:spacing w:val="-3"/>
                <w:sz w:val="24"/>
                <w:lang w:val="en-US" w:eastAsia="zh-CN"/>
              </w:rPr>
              <w:t>kg/h，</w:t>
            </w:r>
            <w:r>
              <w:rPr>
                <w:rFonts w:hint="eastAsia" w:cs="Times New Roman"/>
                <w:b w:val="0"/>
                <w:bCs w:val="0"/>
                <w:color w:val="auto"/>
                <w:sz w:val="24"/>
                <w:szCs w:val="24"/>
                <w:lang w:val="en-US" w:eastAsia="zh-CN"/>
              </w:rPr>
              <w:t>2#车间共</w:t>
            </w:r>
            <w:r>
              <w:rPr>
                <w:rFonts w:hint="eastAsia" w:ascii="Times New Roman" w:hAnsi="Times New Roman" w:cs="Times New Roman"/>
                <w:color w:val="auto"/>
                <w:sz w:val="24"/>
                <w:lang w:val="en-US" w:eastAsia="zh-CN"/>
              </w:rPr>
              <w:t>8个洗滤罐</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年运行时间</w:t>
            </w:r>
            <w:r>
              <w:rPr>
                <w:rFonts w:hint="eastAsia" w:ascii="Times New Roman" w:hAnsi="Times New Roman" w:cs="Times New Roman"/>
                <w:color w:val="auto"/>
                <w:sz w:val="24"/>
                <w:lang w:val="en-US" w:eastAsia="zh-CN"/>
              </w:rPr>
              <w:t>7200h，则</w:t>
            </w:r>
            <w:r>
              <w:rPr>
                <w:rFonts w:hint="default" w:ascii="Times New Roman" w:hAnsi="Times New Roman" w:eastAsia="宋体" w:cs="Times New Roman"/>
                <w:color w:val="auto"/>
                <w:spacing w:val="-41"/>
                <w:sz w:val="24"/>
                <w:szCs w:val="24"/>
              </w:rPr>
              <w:t xml:space="preserve"> </w:t>
            </w:r>
            <w:r>
              <w:rPr>
                <w:rFonts w:hint="default" w:ascii="Times New Roman" w:hAnsi="Times New Roman" w:eastAsia="宋体" w:cs="Times New Roman"/>
                <w:color w:val="auto"/>
                <w:sz w:val="24"/>
                <w:szCs w:val="24"/>
              </w:rPr>
              <w:t>HCl</w:t>
            </w:r>
            <w:r>
              <w:rPr>
                <w:rFonts w:hint="eastAsia" w:ascii="Times New Roman" w:hAnsi="Times New Roman" w:eastAsia="宋体" w:cs="Times New Roman"/>
                <w:color w:val="auto"/>
                <w:sz w:val="24"/>
                <w:szCs w:val="24"/>
                <w:lang w:eastAsia="zh-CN"/>
              </w:rPr>
              <w:t>产生量为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029</w:t>
            </w:r>
            <w:r>
              <w:rPr>
                <w:rFonts w:hint="eastAsia"/>
                <w:color w:val="auto"/>
                <w:spacing w:val="-3"/>
                <w:sz w:val="24"/>
                <w:lang w:val="en-US" w:eastAsia="zh-CN"/>
              </w:rPr>
              <w:t>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0.004kg/h）</w:t>
            </w:r>
            <w:r>
              <w:rPr>
                <w:rFonts w:hint="default" w:ascii="Times New Roman" w:hAnsi="Times New Roman" w:cs="Times New Roman"/>
                <w:color w:val="auto"/>
                <w:sz w:val="24"/>
              </w:rPr>
              <w:t>。</w:t>
            </w:r>
          </w:p>
          <w:p w14:paraId="421D004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粉尘源强：</w:t>
            </w:r>
            <w:r>
              <w:rPr>
                <w:rFonts w:hint="default" w:ascii="Times New Roman" w:hAnsi="Times New Roman" w:eastAsia="宋体" w:cs="Times New Roman"/>
                <w:color w:val="000000"/>
                <w:kern w:val="0"/>
                <w:sz w:val="24"/>
                <w:szCs w:val="24"/>
                <w:lang w:val="en-US" w:eastAsia="zh-CN" w:bidi="ar"/>
              </w:rPr>
              <w:t>本项目烘干过程产生的废气中颗粒物产生量</w:t>
            </w:r>
            <w:r>
              <w:rPr>
                <w:rFonts w:hint="eastAsia" w:ascii="Times New Roman" w:hAnsi="Times New Roman" w:cs="Times New Roman"/>
                <w:sz w:val="24"/>
                <w:szCs w:val="24"/>
                <w:lang w:val="en-US" w:eastAsia="zh-CN"/>
              </w:rPr>
              <w:t>参照</w:t>
            </w:r>
            <w:r>
              <w:rPr>
                <w:spacing w:val="-3"/>
                <w:sz w:val="24"/>
                <w:szCs w:val="24"/>
              </w:rPr>
              <w:t>《排放源统计调查产排污核算方</w:t>
            </w:r>
            <w:r>
              <w:rPr>
                <w:spacing w:val="-6"/>
                <w:sz w:val="24"/>
                <w:szCs w:val="24"/>
              </w:rPr>
              <w:t>法和系数手册》</w:t>
            </w:r>
            <w:r>
              <w:rPr>
                <w:rFonts w:hint="default" w:ascii="Times New Roman" w:hAnsi="Times New Roman" w:eastAsia="宋体" w:cs="Times New Roman"/>
                <w:color w:val="000000"/>
                <w:kern w:val="0"/>
                <w:sz w:val="24"/>
                <w:szCs w:val="24"/>
                <w:lang w:val="en-US" w:eastAsia="zh-CN" w:bidi="ar"/>
              </w:rPr>
              <w:t>3099其他非金属矿物制品制造行业系数手册中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非金属矿物制品干燥过程颗粒物的产生系数为0.763kg/吨-产品</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进行计算，</w:t>
            </w:r>
            <w:r>
              <w:rPr>
                <w:rFonts w:hint="eastAsia"/>
                <w:color w:val="auto"/>
                <w:spacing w:val="-6"/>
                <w:sz w:val="24"/>
                <w:szCs w:val="24"/>
                <w:lang w:val="en-US" w:eastAsia="zh-CN"/>
              </w:rPr>
              <w:t>本项目2#车间</w:t>
            </w:r>
            <w:r>
              <w:rPr>
                <w:rFonts w:hint="eastAsia"/>
                <w:bCs/>
                <w:color w:val="auto"/>
                <w:sz w:val="24"/>
                <w:szCs w:val="24"/>
                <w:lang w:val="en-US" w:eastAsia="zh-CN"/>
              </w:rPr>
              <w:t>年产超级多孔碳为1000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，则2#车间干燥粉尘产生量为0.763</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p>
          <w:p w14:paraId="258026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2"/>
                <w:sz w:val="24"/>
                <w:szCs w:val="24"/>
                <w:vertAlign w:val="baseline"/>
                <w:lang w:val="en-US" w:eastAsia="zh-CN"/>
              </w:rPr>
            </w:pP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洗滤罐均有加盖，酸洗</w:t>
            </w:r>
            <w:r>
              <w:rPr>
                <w:rFonts w:hint="eastAsia" w:cs="Times New Roman"/>
                <w:color w:val="auto"/>
                <w:sz w:val="24"/>
                <w:lang w:eastAsia="zh-CN"/>
              </w:rPr>
              <w:t>、干燥</w:t>
            </w:r>
            <w:r>
              <w:rPr>
                <w:rFonts w:hint="eastAsia" w:cs="Times New Roman"/>
                <w:color w:val="auto"/>
                <w:spacing w:val="2"/>
                <w:sz w:val="24"/>
                <w:szCs w:val="24"/>
                <w:vertAlign w:val="baseline"/>
                <w:lang w:val="en-US" w:eastAsia="zh-CN"/>
              </w:rPr>
              <w:t>废气采取套管收集后经密闭管道输送至二级碱喷淋装置处理，处理后由1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3</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000000"/>
                <w:kern w:val="0"/>
                <w:sz w:val="24"/>
                <w:szCs w:val="24"/>
                <w:lang w:val="en-US" w:eastAsia="zh-CN" w:bidi="ar"/>
              </w:rPr>
              <w:t>收</w:t>
            </w:r>
            <w:r>
              <w:rPr>
                <w:rFonts w:hint="default" w:ascii="Times New Roman" w:hAnsi="Times New Roman" w:eastAsia="宋体" w:cs="Times New Roman"/>
                <w:color w:val="000000"/>
                <w:kern w:val="0"/>
                <w:sz w:val="24"/>
                <w:szCs w:val="24"/>
                <w:lang w:val="en-US" w:eastAsia="zh-CN" w:bidi="ar"/>
              </w:rPr>
              <w:t>集效率为9</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处理效率90%</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ascii="Times New Roman" w:hAnsi="Times New Roman" w:cs="Times New Roman"/>
                <w:color w:val="auto"/>
                <w:sz w:val="24"/>
                <w:lang w:eastAsia="zh-CN"/>
              </w:rPr>
              <w:t>酸洗</w:t>
            </w:r>
            <w:r>
              <w:rPr>
                <w:rFonts w:hint="eastAsia" w:cs="Times New Roman"/>
                <w:color w:val="auto"/>
                <w:sz w:val="24"/>
                <w:lang w:eastAsia="zh-CN"/>
              </w:rPr>
              <w:t>、干燥</w:t>
            </w:r>
            <w:r>
              <w:rPr>
                <w:rFonts w:hint="eastAsia" w:cs="Times New Roman"/>
                <w:color w:val="auto"/>
                <w:spacing w:val="2"/>
                <w:sz w:val="24"/>
                <w:szCs w:val="24"/>
                <w:vertAlign w:val="baseline"/>
                <w:lang w:val="en-US" w:eastAsia="zh-CN"/>
              </w:rPr>
              <w:t>废气</w:t>
            </w:r>
            <w:r>
              <w:rPr>
                <w:rFonts w:hint="eastAsia" w:ascii="Times New Roman" w:hAnsi="Times New Roman" w:eastAsia="宋体" w:cs="Times New Roman"/>
                <w:color w:val="auto"/>
                <w:spacing w:val="2"/>
                <w:sz w:val="24"/>
                <w:szCs w:val="24"/>
                <w:vertAlign w:val="baseline"/>
                <w:lang w:val="en-US" w:eastAsia="zh-CN"/>
              </w:rPr>
              <w:t>HCl</w:t>
            </w:r>
            <w:r>
              <w:rPr>
                <w:rFonts w:hint="eastAsia"/>
                <w:color w:val="auto"/>
                <w:spacing w:val="-3"/>
                <w:sz w:val="24"/>
                <w:lang w:eastAsia="zh-CN"/>
              </w:rPr>
              <w:t>有组织排放量为</w:t>
            </w:r>
            <w:r>
              <w:rPr>
                <w:rFonts w:hint="eastAsia"/>
                <w:color w:val="auto"/>
                <w:spacing w:val="-3"/>
                <w:sz w:val="24"/>
                <w:lang w:val="en-US" w:eastAsia="zh-CN"/>
              </w:rPr>
              <w:t>0.003t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0.0004kg/h），</w:t>
            </w:r>
            <w:r>
              <w:rPr>
                <w:rFonts w:hint="eastAsia"/>
                <w:color w:val="auto"/>
                <w:spacing w:val="-3"/>
                <w:sz w:val="24"/>
                <w:lang w:eastAsia="zh-CN"/>
              </w:rPr>
              <w:t>无组织排放量为</w:t>
            </w:r>
            <w:r>
              <w:rPr>
                <w:rFonts w:hint="eastAsia"/>
                <w:color w:val="auto"/>
                <w:spacing w:val="-3"/>
                <w:sz w:val="24"/>
                <w:lang w:val="en-US" w:eastAsia="zh-CN"/>
              </w:rPr>
              <w:t>0.001t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0.0001kg/h）</w:t>
            </w:r>
            <w:r>
              <w:rPr>
                <w:rFonts w:hint="eastAsia" w:cs="Times New Roman"/>
                <w:color w:val="auto"/>
                <w:sz w:val="24"/>
                <w:lang w:eastAsia="zh-CN"/>
              </w:rPr>
              <w:t>；</w:t>
            </w:r>
            <w:r>
              <w:rPr>
                <w:rFonts w:hint="eastAsia" w:ascii="Times New Roman" w:hAnsi="Times New Roman" w:cs="Times New Roman"/>
                <w:color w:val="auto"/>
                <w:sz w:val="24"/>
                <w:lang w:eastAsia="zh-CN"/>
              </w:rPr>
              <w:t>粉尘</w:t>
            </w:r>
            <w:r>
              <w:rPr>
                <w:rFonts w:hint="eastAsia"/>
                <w:color w:val="auto"/>
                <w:spacing w:val="-3"/>
                <w:sz w:val="24"/>
                <w:lang w:eastAsia="zh-CN"/>
              </w:rPr>
              <w:t>有组织排放量为</w:t>
            </w:r>
            <w:r>
              <w:rPr>
                <w:rFonts w:hint="eastAsia"/>
                <w:color w:val="auto"/>
                <w:spacing w:val="-3"/>
                <w:sz w:val="24"/>
                <w:lang w:val="en-US" w:eastAsia="zh-CN"/>
              </w:rPr>
              <w:t>0.072t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0.01kg/h），</w:t>
            </w:r>
            <w:r>
              <w:rPr>
                <w:rFonts w:hint="eastAsia"/>
                <w:color w:val="auto"/>
                <w:spacing w:val="-3"/>
                <w:sz w:val="24"/>
                <w:lang w:eastAsia="zh-CN"/>
              </w:rPr>
              <w:t>无组织排放量为</w:t>
            </w:r>
            <w:r>
              <w:rPr>
                <w:rFonts w:hint="eastAsia"/>
                <w:color w:val="auto"/>
                <w:spacing w:val="-3"/>
                <w:sz w:val="24"/>
                <w:lang w:val="en-US" w:eastAsia="zh-CN"/>
              </w:rPr>
              <w:t>0.038t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0.005kg/h）</w:t>
            </w:r>
            <w:r>
              <w:rPr>
                <w:rFonts w:hint="eastAsia" w:ascii="Times New Roman" w:hAnsi="Times New Roman" w:cs="Times New Roman"/>
                <w:color w:val="auto"/>
                <w:sz w:val="24"/>
                <w:lang w:eastAsia="zh-CN"/>
              </w:rPr>
              <w:t>。</w:t>
            </w:r>
          </w:p>
          <w:p w14:paraId="1F9530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④</w:t>
            </w:r>
            <w:r>
              <w:rPr>
                <w:rFonts w:hint="eastAsia" w:ascii="Times New Roman" w:hAnsi="Times New Roman" w:eastAsia="宋体" w:cs="Times New Roman"/>
                <w:b/>
                <w:bCs/>
                <w:color w:val="auto"/>
                <w:sz w:val="24"/>
                <w:szCs w:val="24"/>
                <w:lang w:eastAsia="zh-CN"/>
              </w:rPr>
              <w:t>粉碎</w:t>
            </w:r>
            <w:r>
              <w:rPr>
                <w:rFonts w:hint="eastAsia" w:cs="Times New Roman"/>
                <w:b/>
                <w:bCs/>
                <w:color w:val="auto"/>
                <w:sz w:val="24"/>
                <w:szCs w:val="24"/>
                <w:lang w:eastAsia="zh-CN"/>
              </w:rPr>
              <w:t>粉尘</w:t>
            </w:r>
          </w:p>
          <w:p w14:paraId="70B0EA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000000"/>
                <w:kern w:val="0"/>
                <w:sz w:val="24"/>
                <w:szCs w:val="24"/>
                <w:lang w:val="en-US" w:eastAsia="zh-CN" w:bidi="ar"/>
              </w:rPr>
              <w:t>项目</w:t>
            </w:r>
            <w:r>
              <w:rPr>
                <w:rFonts w:hint="eastAsia" w:cs="Times New Roman"/>
                <w:color w:val="000000"/>
                <w:kern w:val="0"/>
                <w:sz w:val="24"/>
                <w:szCs w:val="24"/>
                <w:lang w:val="en-US" w:eastAsia="zh-CN" w:bidi="ar"/>
              </w:rPr>
              <w:t>粉碎系统为封闭式，</w:t>
            </w:r>
            <w:r>
              <w:rPr>
                <w:rFonts w:hint="default" w:ascii="Times New Roman" w:hAnsi="Times New Roman" w:eastAsia="宋体" w:cs="Times New Roman"/>
                <w:color w:val="auto"/>
                <w:sz w:val="24"/>
                <w:szCs w:val="24"/>
                <w:lang w:val="en-US" w:eastAsia="zh-CN"/>
              </w:rPr>
              <w:t>采用航天射流技术，通过物料间的高速碰撞实现粉碎</w:t>
            </w:r>
            <w:r>
              <w:rPr>
                <w:rFonts w:hint="eastAsia" w:ascii="Times New Roman" w:hAnsi="Times New Roman" w:eastAsia="宋体" w:cs="宋体"/>
                <w:color w:val="auto"/>
                <w:sz w:val="24"/>
                <w:szCs w:val="24"/>
                <w:lang w:val="en-US" w:eastAsia="zh-CN"/>
              </w:rPr>
              <w:t>，</w:t>
            </w:r>
            <w:r>
              <w:rPr>
                <w:rFonts w:hint="eastAsia" w:cs="宋体"/>
                <w:color w:val="auto"/>
                <w:sz w:val="24"/>
                <w:szCs w:val="24"/>
                <w:lang w:val="en-US" w:eastAsia="zh-CN"/>
              </w:rPr>
              <w:t>仅产生少量粉尘。</w:t>
            </w:r>
            <w:r>
              <w:rPr>
                <w:rFonts w:hint="eastAsia" w:ascii="Times New Roman" w:hAnsi="Times New Roman" w:cs="Times New Roman"/>
                <w:sz w:val="24"/>
                <w:szCs w:val="24"/>
                <w:lang w:val="en-US" w:eastAsia="zh-CN"/>
              </w:rPr>
              <w:t>参照</w:t>
            </w:r>
            <w:r>
              <w:rPr>
                <w:spacing w:val="-3"/>
                <w:sz w:val="24"/>
                <w:szCs w:val="24"/>
              </w:rPr>
              <w:t>《排放源统计调查产排污核算方</w:t>
            </w:r>
            <w:r>
              <w:rPr>
                <w:spacing w:val="-6"/>
                <w:sz w:val="24"/>
                <w:szCs w:val="24"/>
              </w:rPr>
              <w:t>法和系数手册》</w:t>
            </w:r>
            <w:r>
              <w:rPr>
                <w:rFonts w:hint="eastAsia"/>
                <w:spacing w:val="-6"/>
                <w:sz w:val="24"/>
                <w:szCs w:val="24"/>
                <w:lang w:val="en-US" w:eastAsia="zh-CN"/>
              </w:rPr>
              <w:t>3099其他非金属矿物制品制造行业系数手册，钙粉破碎工艺，颗粒物产污系数为1.13</w:t>
            </w:r>
            <w:r>
              <w:rPr>
                <w:rFonts w:hint="eastAsia"/>
                <w:color w:val="auto"/>
                <w:spacing w:val="-6"/>
                <w:sz w:val="24"/>
                <w:szCs w:val="24"/>
                <w:lang w:val="en-US" w:eastAsia="zh-CN"/>
              </w:rPr>
              <w:t>kg/t产品，本项目2#车间</w:t>
            </w:r>
            <w:r>
              <w:rPr>
                <w:rFonts w:hint="eastAsia"/>
                <w:bCs/>
                <w:color w:val="auto"/>
                <w:sz w:val="24"/>
                <w:szCs w:val="24"/>
                <w:lang w:val="en-US" w:eastAsia="zh-CN"/>
              </w:rPr>
              <w:t>年产超级多孔碳为1000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，则2#车间粉碎粉尘产生量为1.13</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p>
          <w:p w14:paraId="77356A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cs="Times New Roman"/>
                <w:color w:val="auto"/>
                <w:sz w:val="24"/>
                <w:lang w:eastAsia="zh-CN"/>
              </w:rPr>
              <w:t>粉碎粉尘</w:t>
            </w:r>
            <w:r>
              <w:rPr>
                <w:rFonts w:hint="eastAsia" w:cs="Times New Roman"/>
                <w:color w:val="auto"/>
                <w:spacing w:val="2"/>
                <w:sz w:val="24"/>
                <w:szCs w:val="24"/>
                <w:vertAlign w:val="baseline"/>
                <w:lang w:val="en-US" w:eastAsia="zh-CN"/>
              </w:rPr>
              <w:t>收集后经设备自带布袋除尘器处理，处理后由1</w:t>
            </w:r>
            <w:r>
              <w:rPr>
                <w:color w:val="auto"/>
                <w:sz w:val="24"/>
                <w:szCs w:val="24"/>
              </w:rPr>
              <w:t>根</w:t>
            </w:r>
            <w:r>
              <w:rPr>
                <w:rFonts w:hint="eastAsia"/>
                <w:color w:val="auto"/>
                <w:sz w:val="24"/>
                <w:szCs w:val="24"/>
                <w:lang w:val="en-US" w:eastAsia="zh-CN"/>
              </w:rPr>
              <w:t>20</w:t>
            </w:r>
            <w:r>
              <w:rPr>
                <w:color w:val="auto"/>
                <w:sz w:val="24"/>
                <w:szCs w:val="24"/>
              </w:rPr>
              <w:t>m高排气筒（DA0</w:t>
            </w:r>
            <w:r>
              <w:rPr>
                <w:rFonts w:hint="eastAsia"/>
                <w:color w:val="auto"/>
                <w:sz w:val="24"/>
                <w:szCs w:val="24"/>
              </w:rPr>
              <w:t>0</w:t>
            </w:r>
            <w:r>
              <w:rPr>
                <w:rFonts w:hint="eastAsia"/>
                <w:color w:val="auto"/>
                <w:sz w:val="24"/>
                <w:szCs w:val="24"/>
                <w:lang w:val="en-US" w:eastAsia="zh-CN"/>
              </w:rPr>
              <w:t>4</w:t>
            </w:r>
            <w:r>
              <w:rPr>
                <w:color w:val="auto"/>
                <w:sz w:val="24"/>
                <w:szCs w:val="24"/>
              </w:rPr>
              <w:t>）排放</w:t>
            </w:r>
            <w:r>
              <w:rPr>
                <w:rFonts w:hint="eastAsia" w:ascii="Times New Roman" w:hAnsi="Times New Roman" w:eastAsia="宋体" w:cs="Times New Roman"/>
                <w:color w:val="auto"/>
                <w:kern w:val="0"/>
                <w:sz w:val="24"/>
                <w:szCs w:val="24"/>
                <w:lang w:val="en-US" w:eastAsia="zh-CN"/>
              </w:rPr>
              <w:t>。</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ascii="Times New Roman" w:hAnsi="Times New Roman" w:cs="Times New Roman"/>
                <w:color w:val="auto"/>
                <w:sz w:val="24"/>
                <w:lang w:eastAsia="zh-CN"/>
              </w:rPr>
              <w:t>粉碎粉尘</w:t>
            </w:r>
            <w:r>
              <w:rPr>
                <w:rFonts w:hint="eastAsia"/>
                <w:color w:val="auto"/>
                <w:spacing w:val="-3"/>
                <w:sz w:val="24"/>
                <w:lang w:eastAsia="zh-CN"/>
              </w:rPr>
              <w:t>有组织排放量为</w:t>
            </w:r>
            <w:r>
              <w:rPr>
                <w:rFonts w:hint="eastAsia"/>
                <w:color w:val="auto"/>
                <w:spacing w:val="-3"/>
                <w:sz w:val="24"/>
                <w:lang w:val="en-US" w:eastAsia="zh-CN"/>
              </w:rPr>
              <w:t>0.011t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0.0015kg/h），</w:t>
            </w:r>
            <w:r>
              <w:rPr>
                <w:rFonts w:hint="eastAsia"/>
                <w:color w:val="auto"/>
                <w:spacing w:val="-3"/>
                <w:sz w:val="24"/>
                <w:lang w:eastAsia="zh-CN"/>
              </w:rPr>
              <w:t>无组织排放量为</w:t>
            </w:r>
            <w:r>
              <w:rPr>
                <w:rFonts w:hint="eastAsia"/>
                <w:color w:val="auto"/>
                <w:spacing w:val="-3"/>
                <w:sz w:val="24"/>
                <w:lang w:val="en-US" w:eastAsia="zh-CN"/>
              </w:rPr>
              <w:t>0.057t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0.008kg/h）</w:t>
            </w:r>
            <w:r>
              <w:rPr>
                <w:rFonts w:hint="eastAsia" w:ascii="Times New Roman" w:hAnsi="Times New Roman" w:cs="Times New Roman"/>
                <w:color w:val="auto"/>
                <w:sz w:val="24"/>
                <w:lang w:eastAsia="zh-CN"/>
              </w:rPr>
              <w:t>。</w:t>
            </w:r>
          </w:p>
          <w:p w14:paraId="64E8E6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⑤拆包粉尘</w:t>
            </w:r>
          </w:p>
          <w:p w14:paraId="23B3A5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宋体"/>
                <w:color w:val="000000"/>
                <w:sz w:val="24"/>
                <w:szCs w:val="24"/>
                <w:lang w:val="en-US" w:eastAsia="zh-CN"/>
              </w:rPr>
              <w:t>项目外购多孔炭为颗粒状，</w:t>
            </w:r>
            <w:r>
              <w:rPr>
                <w:rFonts w:hint="eastAsia" w:cs="宋体"/>
                <w:color w:val="000000"/>
                <w:sz w:val="24"/>
                <w:szCs w:val="24"/>
                <w:lang w:val="en-US" w:eastAsia="zh-CN"/>
              </w:rPr>
              <w:t>在拆包落入料仓过程中产生少量粉尘，由于拆包过程中产生的粉尘难以定量，该部分粉尘参照</w:t>
            </w:r>
            <w:r>
              <w:rPr>
                <w:snapToGrid w:val="0"/>
                <w:color w:val="auto"/>
                <w:kern w:val="10"/>
                <w:sz w:val="24"/>
                <w:szCs w:val="24"/>
              </w:rPr>
              <w:t>《逸散性工业粉尘控制技术》</w:t>
            </w:r>
            <w:r>
              <w:rPr>
                <w:rFonts w:hint="eastAsia"/>
                <w:snapToGrid w:val="0"/>
                <w:color w:val="auto"/>
                <w:kern w:val="10"/>
                <w:sz w:val="24"/>
                <w:szCs w:val="24"/>
                <w:lang w:eastAsia="zh-CN"/>
              </w:rPr>
              <w:t>卸料时粉尘逸散系数为</w:t>
            </w:r>
            <w:r>
              <w:rPr>
                <w:rFonts w:hint="eastAsia"/>
                <w:snapToGrid w:val="0"/>
                <w:color w:val="auto"/>
                <w:kern w:val="10"/>
                <w:sz w:val="24"/>
                <w:szCs w:val="24"/>
                <w:lang w:val="en-US" w:eastAsia="zh-CN"/>
              </w:rPr>
              <w:t>0.01</w:t>
            </w:r>
            <w:r>
              <w:rPr>
                <w:snapToGrid w:val="0"/>
                <w:color w:val="auto"/>
                <w:kern w:val="10"/>
                <w:sz w:val="24"/>
                <w:szCs w:val="24"/>
              </w:rPr>
              <w:t>kg/t</w:t>
            </w:r>
            <w:r>
              <w:rPr>
                <w:rFonts w:hint="eastAsia"/>
                <w:snapToGrid w:val="0"/>
                <w:color w:val="auto"/>
                <w:kern w:val="10"/>
                <w:sz w:val="24"/>
                <w:szCs w:val="24"/>
                <w:lang w:eastAsia="zh-CN"/>
              </w:rPr>
              <w:t>（卸料），本项目</w:t>
            </w:r>
            <w:r>
              <w:rPr>
                <w:rFonts w:hint="eastAsia"/>
                <w:color w:val="auto"/>
                <w:spacing w:val="-6"/>
                <w:sz w:val="24"/>
                <w:szCs w:val="24"/>
                <w:lang w:val="en-US" w:eastAsia="zh-CN"/>
              </w:rPr>
              <w:t>2#车间</w:t>
            </w:r>
            <w:r>
              <w:rPr>
                <w:rFonts w:hint="eastAsia" w:ascii="Times New Roman" w:hAnsi="Times New Roman" w:eastAsia="宋体" w:cs="宋体"/>
                <w:color w:val="auto"/>
                <w:sz w:val="24"/>
                <w:szCs w:val="24"/>
                <w:lang w:val="en-US" w:eastAsia="zh-CN"/>
              </w:rPr>
              <w:t>外购多孔炭</w:t>
            </w:r>
            <w:r>
              <w:rPr>
                <w:rFonts w:hint="eastAsia"/>
                <w:bCs/>
                <w:color w:val="auto"/>
                <w:sz w:val="24"/>
                <w:szCs w:val="24"/>
                <w:lang w:val="en-US" w:eastAsia="zh-CN"/>
              </w:rPr>
              <w:t>为1800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，则2#车间拆包粉尘产生量为0.018</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宋体"/>
                <w:color w:val="auto"/>
                <w:sz w:val="24"/>
                <w:szCs w:val="24"/>
                <w:lang w:val="en-US" w:eastAsia="zh-CN"/>
              </w:rPr>
              <w:t>拆包机呼吸口处装有除尘滤芯，</w:t>
            </w:r>
            <w:r>
              <w:rPr>
                <w:rFonts w:hint="eastAsia" w:cs="Times New Roman"/>
                <w:color w:val="auto"/>
                <w:spacing w:val="2"/>
                <w:sz w:val="24"/>
                <w:szCs w:val="24"/>
                <w:vertAlign w:val="baseline"/>
                <w:lang w:val="en-US" w:eastAsia="zh-CN"/>
              </w:rPr>
              <w:t>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cs="Times New Roman"/>
                <w:color w:val="auto"/>
                <w:sz w:val="24"/>
                <w:lang w:eastAsia="zh-CN"/>
              </w:rPr>
              <w:t>拆包</w:t>
            </w:r>
            <w:r>
              <w:rPr>
                <w:rFonts w:hint="eastAsia" w:ascii="Times New Roman" w:hAnsi="Times New Roman" w:cs="Times New Roman"/>
                <w:color w:val="auto"/>
                <w:sz w:val="24"/>
                <w:lang w:eastAsia="zh-CN"/>
              </w:rPr>
              <w:t>粉尘</w:t>
            </w:r>
            <w:r>
              <w:rPr>
                <w:rFonts w:hint="eastAsia"/>
                <w:color w:val="auto"/>
                <w:spacing w:val="-3"/>
                <w:sz w:val="24"/>
                <w:lang w:eastAsia="zh-CN"/>
              </w:rPr>
              <w:t>无组织排放量为</w:t>
            </w:r>
            <w:r>
              <w:rPr>
                <w:rFonts w:hint="eastAsia"/>
                <w:color w:val="auto"/>
                <w:spacing w:val="-3"/>
                <w:sz w:val="24"/>
                <w:lang w:val="en-US" w:eastAsia="zh-CN"/>
              </w:rPr>
              <w:t>0.001t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0.0002kg/h）</w:t>
            </w:r>
          </w:p>
          <w:p w14:paraId="7E3D93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⑥</w:t>
            </w:r>
            <w:r>
              <w:rPr>
                <w:rFonts w:hint="eastAsia" w:cs="Times New Roman"/>
                <w:b/>
                <w:bCs/>
                <w:color w:val="auto"/>
                <w:sz w:val="24"/>
                <w:szCs w:val="24"/>
                <w:lang w:eastAsia="zh-CN"/>
              </w:rPr>
              <w:t>输送</w:t>
            </w:r>
            <w:r>
              <w:rPr>
                <w:rFonts w:hint="default" w:ascii="Times New Roman" w:hAnsi="Times New Roman" w:eastAsia="宋体" w:cs="Times New Roman"/>
                <w:b/>
                <w:bCs/>
                <w:color w:val="auto"/>
                <w:sz w:val="24"/>
                <w:szCs w:val="24"/>
                <w:lang w:eastAsia="zh-CN"/>
              </w:rPr>
              <w:t>粉尘</w:t>
            </w:r>
          </w:p>
          <w:p w14:paraId="12F918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color w:val="auto"/>
                <w:sz w:val="24"/>
                <w:szCs w:val="24"/>
                <w:lang w:val="en-US" w:eastAsia="zh-CN"/>
              </w:rPr>
              <w:t>项目物料输送采用气力输送</w:t>
            </w:r>
            <w:r>
              <w:rPr>
                <w:rFonts w:hint="eastAsia" w:cs="Times New Roman"/>
                <w:color w:val="auto"/>
                <w:sz w:val="24"/>
                <w:szCs w:val="24"/>
                <w:lang w:val="en-US" w:eastAsia="zh-CN"/>
              </w:rPr>
              <w:t>和</w:t>
            </w:r>
            <w:r>
              <w:rPr>
                <w:rFonts w:hint="eastAsia" w:ascii="Times New Roman" w:hAnsi="Times New Roman" w:eastAsia="宋体" w:cs="Times New Roman"/>
                <w:color w:val="auto"/>
                <w:sz w:val="24"/>
                <w:szCs w:val="24"/>
                <w:lang w:val="en-US" w:eastAsia="zh-CN"/>
              </w:rPr>
              <w:t>重力落料输送方式，</w:t>
            </w:r>
            <w:r>
              <w:rPr>
                <w:rFonts w:hint="eastAsia" w:cs="Times New Roman"/>
                <w:color w:val="auto"/>
                <w:sz w:val="24"/>
                <w:szCs w:val="24"/>
                <w:lang w:val="en-US" w:eastAsia="zh-CN"/>
              </w:rPr>
              <w:t>根据建设单位提供资料，粉尘产生量约为产能的0.1%</w:t>
            </w:r>
            <w:r>
              <w:rPr>
                <w:rFonts w:hint="eastAsia" w:ascii="Times New Roman" w:hAnsi="Times New Roman" w:eastAsia="宋体" w:cs="Times New Roman"/>
                <w:color w:val="auto"/>
                <w:sz w:val="24"/>
                <w:szCs w:val="24"/>
                <w:lang w:val="en-US" w:eastAsia="zh-CN"/>
              </w:rPr>
              <w:t>，</w:t>
            </w:r>
            <w:r>
              <w:rPr>
                <w:rFonts w:hint="eastAsia"/>
                <w:snapToGrid w:val="0"/>
                <w:color w:val="auto"/>
                <w:kern w:val="10"/>
                <w:sz w:val="24"/>
                <w:szCs w:val="24"/>
                <w:lang w:eastAsia="zh-CN"/>
              </w:rPr>
              <w:t>本项目</w:t>
            </w:r>
            <w:r>
              <w:rPr>
                <w:rFonts w:hint="eastAsia"/>
                <w:color w:val="auto"/>
                <w:spacing w:val="-6"/>
                <w:sz w:val="24"/>
                <w:szCs w:val="24"/>
                <w:lang w:val="en-US" w:eastAsia="zh-CN"/>
              </w:rPr>
              <w:t>2#车间</w:t>
            </w:r>
            <w:r>
              <w:rPr>
                <w:rFonts w:hint="eastAsia"/>
                <w:bCs/>
                <w:color w:val="auto"/>
                <w:sz w:val="24"/>
                <w:szCs w:val="24"/>
                <w:lang w:val="en-US" w:eastAsia="zh-CN"/>
              </w:rPr>
              <w:t>年产超级多孔碳为1000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，则2#车间输送粉尘产生量为1</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气力输送系统及</w:t>
            </w:r>
            <w:r>
              <w:rPr>
                <w:rFonts w:hint="eastAsia" w:ascii="Times New Roman" w:hAnsi="Times New Roman" w:eastAsia="宋体" w:cs="Times New Roman"/>
                <w:color w:val="auto"/>
                <w:sz w:val="24"/>
                <w:szCs w:val="24"/>
                <w:lang w:val="en-US" w:eastAsia="zh-CN"/>
              </w:rPr>
              <w:t>各中转料仓均配</w:t>
            </w:r>
            <w:r>
              <w:rPr>
                <w:rFonts w:hint="default" w:ascii="Times New Roman" w:hAnsi="Times New Roman" w:eastAsia="宋体" w:cs="Times New Roman"/>
                <w:color w:val="auto"/>
                <w:sz w:val="24"/>
                <w:szCs w:val="24"/>
                <w:lang w:val="en-US" w:eastAsia="zh-CN"/>
              </w:rPr>
              <w:t>有除尘滤芯，</w:t>
            </w:r>
            <w:r>
              <w:rPr>
                <w:rFonts w:hint="eastAsia" w:cs="Times New Roman"/>
                <w:color w:val="auto"/>
                <w:spacing w:val="2"/>
                <w:sz w:val="24"/>
                <w:szCs w:val="24"/>
                <w:vertAlign w:val="baseline"/>
                <w:lang w:val="en-US" w:eastAsia="zh-CN"/>
              </w:rPr>
              <w:t>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2#车间</w:t>
            </w:r>
            <w:r>
              <w:rPr>
                <w:rFonts w:hint="eastAsia" w:cs="Times New Roman"/>
                <w:color w:val="auto"/>
                <w:sz w:val="24"/>
                <w:lang w:eastAsia="zh-CN"/>
              </w:rPr>
              <w:t>输送</w:t>
            </w:r>
            <w:r>
              <w:rPr>
                <w:rFonts w:hint="eastAsia" w:ascii="Times New Roman" w:hAnsi="Times New Roman" w:cs="Times New Roman"/>
                <w:color w:val="auto"/>
                <w:sz w:val="24"/>
                <w:lang w:eastAsia="zh-CN"/>
              </w:rPr>
              <w:t>粉尘</w:t>
            </w:r>
            <w:r>
              <w:rPr>
                <w:rFonts w:hint="eastAsia"/>
                <w:color w:val="auto"/>
                <w:spacing w:val="-3"/>
                <w:sz w:val="24"/>
                <w:lang w:eastAsia="zh-CN"/>
              </w:rPr>
              <w:t>无组织排放量为</w:t>
            </w:r>
            <w:r>
              <w:rPr>
                <w:rFonts w:hint="eastAsia"/>
                <w:color w:val="auto"/>
                <w:spacing w:val="-3"/>
                <w:sz w:val="24"/>
                <w:lang w:val="en-US" w:eastAsia="zh-CN"/>
              </w:rPr>
              <w:t>0.06t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0.008kg/h）。</w:t>
            </w:r>
          </w:p>
          <w:p w14:paraId="058141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⑦</w:t>
            </w:r>
            <w:r>
              <w:rPr>
                <w:rFonts w:hint="eastAsia" w:ascii="Times New Roman" w:hAnsi="Times New Roman" w:eastAsia="宋体" w:cs="Times New Roman"/>
                <w:b/>
                <w:bCs/>
                <w:color w:val="auto"/>
                <w:sz w:val="24"/>
                <w:szCs w:val="24"/>
                <w:lang w:eastAsia="zh-CN"/>
              </w:rPr>
              <w:t>包装</w:t>
            </w:r>
            <w:r>
              <w:rPr>
                <w:rFonts w:hint="default" w:ascii="Times New Roman" w:hAnsi="Times New Roman" w:eastAsia="宋体" w:cs="Times New Roman"/>
                <w:b/>
                <w:bCs/>
                <w:color w:val="auto"/>
                <w:sz w:val="24"/>
                <w:szCs w:val="24"/>
                <w:lang w:eastAsia="zh-CN"/>
              </w:rPr>
              <w:t>粉尘</w:t>
            </w:r>
          </w:p>
          <w:p w14:paraId="277E8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Times New Roman"/>
                <w:color w:val="auto"/>
                <w:sz w:val="24"/>
                <w:szCs w:val="24"/>
                <w:lang w:val="en-US" w:eastAsia="zh-CN"/>
              </w:rPr>
              <w:t>项目包装过程中会有少量粉尘产生，参照</w:t>
            </w:r>
            <w:r>
              <w:rPr>
                <w:snapToGrid w:val="0"/>
                <w:color w:val="auto"/>
                <w:kern w:val="10"/>
                <w:sz w:val="24"/>
                <w:szCs w:val="24"/>
              </w:rPr>
              <w:t>《逸散性工业粉尘控制技术》</w:t>
            </w:r>
            <w:r>
              <w:rPr>
                <w:rFonts w:hint="eastAsia"/>
                <w:snapToGrid w:val="0"/>
                <w:color w:val="auto"/>
                <w:kern w:val="10"/>
                <w:sz w:val="24"/>
                <w:szCs w:val="24"/>
                <w:lang w:eastAsia="zh-CN"/>
              </w:rPr>
              <w:t>，粉状物料包装时粉尘逸散系数为</w:t>
            </w:r>
            <w:r>
              <w:rPr>
                <w:rFonts w:hint="eastAsia"/>
                <w:snapToGrid w:val="0"/>
                <w:color w:val="auto"/>
                <w:kern w:val="10"/>
                <w:sz w:val="24"/>
                <w:szCs w:val="24"/>
                <w:lang w:val="en-US" w:eastAsia="zh-CN"/>
              </w:rPr>
              <w:t>0.1</w:t>
            </w:r>
            <w:r>
              <w:rPr>
                <w:snapToGrid w:val="0"/>
                <w:color w:val="auto"/>
                <w:kern w:val="10"/>
                <w:sz w:val="24"/>
                <w:szCs w:val="24"/>
              </w:rPr>
              <w:t>kg/t</w:t>
            </w:r>
            <w:r>
              <w:rPr>
                <w:rFonts w:hint="eastAsia"/>
                <w:snapToGrid w:val="0"/>
                <w:color w:val="auto"/>
                <w:kern w:val="10"/>
                <w:sz w:val="24"/>
                <w:szCs w:val="24"/>
                <w:lang w:eastAsia="zh-CN"/>
              </w:rPr>
              <w:t>产品，本项目</w:t>
            </w:r>
            <w:r>
              <w:rPr>
                <w:rFonts w:hint="eastAsia"/>
                <w:color w:val="auto"/>
                <w:spacing w:val="-6"/>
                <w:sz w:val="24"/>
                <w:szCs w:val="24"/>
                <w:lang w:val="en-US" w:eastAsia="zh-CN"/>
              </w:rPr>
              <w:t>2#车间</w:t>
            </w:r>
            <w:r>
              <w:rPr>
                <w:rFonts w:hint="eastAsia"/>
                <w:bCs/>
                <w:color w:val="auto"/>
                <w:sz w:val="24"/>
                <w:szCs w:val="24"/>
                <w:lang w:val="en-US" w:eastAsia="zh-CN"/>
              </w:rPr>
              <w:t>年产超级多孔碳为1000</w:t>
            </w:r>
            <w:r>
              <w:rPr>
                <w:rFonts w:hint="default" w:ascii="Times New Roman" w:hAnsi="Times New Roman" w:eastAsia="宋体" w:cs="Times New Roman"/>
                <w:color w:val="auto"/>
                <w:kern w:val="0"/>
                <w:sz w:val="24"/>
                <w:szCs w:val="24"/>
                <w:lang w:val="en-US" w:eastAsia="zh-CN"/>
              </w:rPr>
              <w:t>t/a</w:t>
            </w:r>
            <w:r>
              <w:rPr>
                <w:rFonts w:hint="eastAsia"/>
                <w:color w:val="auto"/>
                <w:spacing w:val="-6"/>
                <w:sz w:val="24"/>
                <w:szCs w:val="24"/>
                <w:lang w:val="en-US" w:eastAsia="zh-CN"/>
              </w:rPr>
              <w:t>，则2#车间包装粉尘产生量为0.1</w:t>
            </w:r>
            <w:r>
              <w:rPr>
                <w:rFonts w:hint="default" w:ascii="Times New Roman" w:hAnsi="Times New Roman" w:eastAsia="宋体" w:cs="Times New Roman"/>
                <w:color w:val="auto"/>
                <w:kern w:val="0"/>
                <w:sz w:val="24"/>
                <w:szCs w:val="24"/>
                <w:lang w:val="en-US" w:eastAsia="zh-CN"/>
              </w:rPr>
              <w:t>t/a</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cs="Times New Roman"/>
                <w:color w:val="auto"/>
                <w:sz w:val="24"/>
                <w:lang w:eastAsia="zh-CN"/>
              </w:rPr>
              <w:t>包装粉尘</w:t>
            </w:r>
            <w:r>
              <w:rPr>
                <w:rFonts w:hint="eastAsia" w:cs="Times New Roman"/>
                <w:color w:val="auto"/>
                <w:spacing w:val="2"/>
                <w:sz w:val="24"/>
                <w:szCs w:val="24"/>
                <w:vertAlign w:val="baseline"/>
                <w:lang w:val="en-US" w:eastAsia="zh-CN"/>
              </w:rPr>
              <w:t>收集后经设备自带滤芯除尘器处理，处理后车间内无组织排放，</w:t>
            </w:r>
            <w:r>
              <w:rPr>
                <w:rFonts w:hint="eastAsia" w:ascii="宋体" w:hAnsi="宋体" w:eastAsia="宋体" w:cs="宋体"/>
                <w:color w:val="auto"/>
                <w:kern w:val="0"/>
                <w:sz w:val="24"/>
                <w:szCs w:val="24"/>
                <w:lang w:val="en-US" w:eastAsia="zh-CN" w:bidi="ar"/>
              </w:rPr>
              <w:t>收</w:t>
            </w:r>
            <w:r>
              <w:rPr>
                <w:rFonts w:hint="default" w:ascii="Times New Roman" w:hAnsi="Times New Roman" w:eastAsia="宋体" w:cs="Times New Roman"/>
                <w:color w:val="auto"/>
                <w:kern w:val="0"/>
                <w:sz w:val="24"/>
                <w:szCs w:val="24"/>
                <w:lang w:val="en-US" w:eastAsia="zh-CN" w:bidi="ar"/>
              </w:rPr>
              <w:t>集效率为9</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处理效率99%</w:t>
            </w:r>
            <w:r>
              <w:rPr>
                <w:rFonts w:hint="eastAsia" w:ascii="Times New Roman" w:hAnsi="Times New Roman" w:eastAsia="宋体" w:cs="Times New Roman"/>
                <w:color w:val="auto"/>
                <w:w w:val="100"/>
                <w:sz w:val="24"/>
                <w:szCs w:val="24"/>
                <w:highlight w:val="none"/>
                <w:lang w:val="zh-CN" w:eastAsia="zh-CN"/>
              </w:rPr>
              <w:t>。</w:t>
            </w:r>
            <w:r>
              <w:rPr>
                <w:rFonts w:hint="eastAsia"/>
                <w:color w:val="auto"/>
                <w:spacing w:val="-3"/>
                <w:sz w:val="24"/>
                <w:lang w:eastAsia="zh-CN"/>
              </w:rPr>
              <w:t>则</w:t>
            </w:r>
            <w:r>
              <w:rPr>
                <w:rFonts w:hint="eastAsia"/>
                <w:color w:val="auto"/>
                <w:spacing w:val="-3"/>
                <w:sz w:val="24"/>
                <w:lang w:val="en-US" w:eastAsia="zh-CN"/>
              </w:rPr>
              <w:t>1#车间</w:t>
            </w:r>
            <w:r>
              <w:rPr>
                <w:rFonts w:hint="eastAsia" w:ascii="Times New Roman" w:hAnsi="Times New Roman" w:cs="Times New Roman"/>
                <w:color w:val="auto"/>
                <w:sz w:val="24"/>
                <w:lang w:eastAsia="zh-CN"/>
              </w:rPr>
              <w:t>包装粉尘</w:t>
            </w:r>
            <w:r>
              <w:rPr>
                <w:rFonts w:hint="eastAsia"/>
                <w:color w:val="auto"/>
                <w:spacing w:val="-3"/>
                <w:sz w:val="24"/>
                <w:lang w:eastAsia="zh-CN"/>
              </w:rPr>
              <w:t>无组织排放量为</w:t>
            </w:r>
            <w:r>
              <w:rPr>
                <w:rFonts w:hint="eastAsia"/>
                <w:color w:val="auto"/>
                <w:spacing w:val="-3"/>
                <w:sz w:val="24"/>
                <w:lang w:val="en-US" w:eastAsia="zh-CN"/>
              </w:rPr>
              <w:t>0.006t</w:t>
            </w:r>
            <w:r>
              <w:rPr>
                <w:rFonts w:hint="eastAsia"/>
                <w:color w:val="auto"/>
                <w:spacing w:val="-3"/>
                <w:sz w:val="24"/>
              </w:rPr>
              <w:t>/a</w:t>
            </w:r>
            <w:r>
              <w:rPr>
                <w:rFonts w:hint="eastAsia"/>
                <w:color w:val="auto"/>
                <w:spacing w:val="-3"/>
                <w:sz w:val="24"/>
                <w:lang w:eastAsia="zh-CN"/>
              </w:rPr>
              <w:t>（</w:t>
            </w:r>
            <w:r>
              <w:rPr>
                <w:rFonts w:hint="eastAsia"/>
                <w:color w:val="auto"/>
                <w:spacing w:val="-3"/>
                <w:sz w:val="24"/>
                <w:lang w:val="en-US" w:eastAsia="zh-CN"/>
              </w:rPr>
              <w:t>0.0008kg/h）</w:t>
            </w:r>
            <w:r>
              <w:rPr>
                <w:rFonts w:hint="default" w:ascii="Times New Roman" w:hAnsi="Times New Roman" w:eastAsia="宋体" w:cs="Times New Roman"/>
                <w:color w:val="auto"/>
                <w:kern w:val="0"/>
                <w:sz w:val="24"/>
                <w:szCs w:val="24"/>
                <w:highlight w:val="none"/>
                <w:lang w:val="en-US" w:eastAsia="zh-CN" w:bidi="ar"/>
              </w:rPr>
              <w:t>。</w:t>
            </w:r>
          </w:p>
          <w:p w14:paraId="08EE988C">
            <w:pPr>
              <w:spacing w:line="360" w:lineRule="auto"/>
              <w:ind w:firstLine="474" w:firstLineChars="200"/>
              <w:rPr>
                <w:rFonts w:hint="eastAsia"/>
                <w:b/>
                <w:bCs/>
                <w:color w:val="auto"/>
                <w:spacing w:val="-2"/>
                <w:sz w:val="24"/>
                <w:lang w:val="en-US" w:eastAsia="zh-CN"/>
              </w:rPr>
            </w:pPr>
            <w:r>
              <w:rPr>
                <w:rFonts w:hint="eastAsia"/>
                <w:b/>
                <w:bCs/>
                <w:color w:val="auto"/>
                <w:spacing w:val="-2"/>
                <w:sz w:val="24"/>
                <w:lang w:val="en-US" w:eastAsia="zh-CN"/>
              </w:rPr>
              <w:t>风量核算：</w:t>
            </w:r>
          </w:p>
          <w:p w14:paraId="670B1157">
            <w:pPr>
              <w:pStyle w:val="72"/>
              <w:keepNext w:val="0"/>
              <w:keepLines w:val="0"/>
              <w:pageBreakBefore w:val="0"/>
              <w:widowControl w:val="0"/>
              <w:kinsoku/>
              <w:wordWrap/>
              <w:overflowPunct/>
              <w:topLinePunct w:val="0"/>
              <w:autoSpaceDE/>
              <w:autoSpaceDN/>
              <w:bidi w:val="0"/>
              <w:adjustRightInd/>
              <w:spacing w:line="360" w:lineRule="auto"/>
              <w:ind w:left="0" w:right="0" w:firstLine="51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根据伯努利方程测算排口处风速：</w:t>
            </w:r>
            <w:r>
              <w:rPr>
                <w:rFonts w:hint="default" w:ascii="Times New Roman" w:hAnsi="Times New Roman" w:eastAsia="宋体" w:cs="Times New Roman"/>
                <w:position w:val="-8"/>
                <w:sz w:val="24"/>
                <w:szCs w:val="24"/>
              </w:rPr>
              <w:drawing>
                <wp:inline distT="0" distB="0" distL="0" distR="0">
                  <wp:extent cx="1210945" cy="260350"/>
                  <wp:effectExtent l="0" t="0" r="8255" b="5715"/>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5"/>
                          <a:stretch>
                            <a:fillRect/>
                          </a:stretch>
                        </pic:blipFill>
                        <pic:spPr>
                          <a:xfrm>
                            <a:off x="0" y="0"/>
                            <a:ext cx="1211579" cy="260604"/>
                          </a:xfrm>
                          <a:prstGeom prst="rect">
                            <a:avLst/>
                          </a:prstGeom>
                        </pic:spPr>
                      </pic:pic>
                    </a:graphicData>
                  </a:graphic>
                </wp:inline>
              </w:drawing>
            </w:r>
          </w:p>
          <w:p w14:paraId="098901D5">
            <w:pPr>
              <w:pStyle w:val="72"/>
              <w:keepNext w:val="0"/>
              <w:keepLines w:val="0"/>
              <w:pageBreakBefore w:val="0"/>
              <w:widowControl w:val="0"/>
              <w:kinsoku/>
              <w:wordWrap/>
              <w:overflowPunct/>
              <w:topLinePunct w:val="0"/>
              <w:autoSpaceDE/>
              <w:autoSpaceDN/>
              <w:bidi w:val="0"/>
              <w:adjustRightInd/>
              <w:spacing w:line="360" w:lineRule="auto"/>
              <w:ind w:left="0" w:right="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式中：</w:t>
            </w:r>
            <w:r>
              <w:rPr>
                <w:rFonts w:hint="default" w:ascii="Times New Roman" w:hAnsi="Times New Roman" w:eastAsia="宋体" w:cs="Times New Roman"/>
                <w:spacing w:val="8"/>
                <w:sz w:val="24"/>
                <w:szCs w:val="24"/>
              </w:rPr>
              <w:t>V——排气口断面风速（m/s</w:t>
            </w:r>
            <w:r>
              <w:rPr>
                <w:rFonts w:hint="default" w:ascii="Times New Roman" w:hAnsi="Times New Roman" w:eastAsia="宋体" w:cs="Times New Roman"/>
                <w:spacing w:val="-14"/>
                <w:sz w:val="24"/>
                <w:szCs w:val="24"/>
              </w:rPr>
              <w:t>）；</w:t>
            </w:r>
            <w:r>
              <w:rPr>
                <w:rFonts w:hint="default" w:ascii="Times New Roman" w:hAnsi="Times New Roman" w:eastAsia="宋体" w:cs="Times New Roman"/>
                <w:sz w:val="24"/>
                <w:szCs w:val="24"/>
              </w:rPr>
              <w:t xml:space="preserve"> </w:t>
            </w:r>
          </w:p>
          <w:p w14:paraId="357A3AF0">
            <w:pPr>
              <w:pStyle w:val="72"/>
              <w:keepNext w:val="0"/>
              <w:keepLines w:val="0"/>
              <w:pageBreakBefore w:val="0"/>
              <w:widowControl w:val="0"/>
              <w:kinsoku/>
              <w:wordWrap/>
              <w:overflowPunct/>
              <w:topLinePunct w:val="0"/>
              <w:autoSpaceDE/>
              <w:autoSpaceDN/>
              <w:bidi w:val="0"/>
              <w:adjustRightInd/>
              <w:spacing w:line="360" w:lineRule="auto"/>
              <w:ind w:left="0" w:right="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△P——压差，</w:t>
            </w:r>
            <w:r>
              <w:rPr>
                <w:rFonts w:hint="default" w:ascii="Times New Roman" w:hAnsi="Times New Roman" w:eastAsia="宋体" w:cs="Times New Roman"/>
                <w:sz w:val="24"/>
                <w:szCs w:val="24"/>
              </w:rPr>
              <w:t>pa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lang w:eastAsia="zh-CN"/>
              </w:rPr>
              <w:t>为保证各工段废气捕集效率，各有组织废气排放口需控制约</w:t>
            </w:r>
            <w:r>
              <w:rPr>
                <w:rFonts w:hint="default" w:ascii="Times New Roman" w:hAnsi="Times New Roman" w:eastAsia="宋体" w:cs="Times New Roman"/>
                <w:sz w:val="24"/>
                <w:lang w:val="en-US" w:eastAsia="zh-CN"/>
              </w:rPr>
              <w:t>20Pa的微负压</w:t>
            </w:r>
            <w:r>
              <w:rPr>
                <w:rFonts w:hint="default" w:ascii="Times New Roman" w:hAnsi="Times New Roman" w:eastAsia="宋体" w:cs="Times New Roman"/>
                <w:spacing w:val="7"/>
                <w:sz w:val="24"/>
                <w:szCs w:val="24"/>
              </w:rPr>
              <w:t>；</w:t>
            </w:r>
          </w:p>
          <w:p w14:paraId="21864BB2">
            <w:pPr>
              <w:keepNext w:val="0"/>
              <w:keepLines w:val="0"/>
              <w:pageBreakBefore w:val="0"/>
              <w:widowControl w:val="0"/>
              <w:kinsoku/>
              <w:wordWrap/>
              <w:overflowPunct/>
              <w:topLinePunct w:val="0"/>
              <w:autoSpaceDE/>
              <w:autoSpaceDN/>
              <w:bidi w:val="0"/>
              <w:adjustRightInd/>
              <w:snapToGrid w:val="0"/>
              <w:spacing w:line="360" w:lineRule="auto"/>
              <w:ind w:left="0" w:right="0" w:firstLine="492"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i/>
                <w:iCs/>
                <w:spacing w:val="3"/>
                <w:sz w:val="24"/>
                <w:szCs w:val="24"/>
              </w:rPr>
              <w:t>p</w:t>
            </w:r>
            <w:r>
              <w:rPr>
                <w:rFonts w:hint="default" w:ascii="Times New Roman" w:hAnsi="Times New Roman" w:eastAsia="宋体" w:cs="Times New Roman"/>
                <w:i/>
                <w:iCs/>
                <w:spacing w:val="-36"/>
                <w:sz w:val="24"/>
                <w:szCs w:val="24"/>
              </w:rPr>
              <w:t xml:space="preserve"> </w:t>
            </w:r>
            <w:r>
              <w:rPr>
                <w:rFonts w:hint="default" w:ascii="Times New Roman" w:hAnsi="Times New Roman" w:eastAsia="宋体" w:cs="Times New Roman"/>
                <w:spacing w:val="3"/>
                <w:sz w:val="24"/>
                <w:szCs w:val="24"/>
              </w:rPr>
              <w:t>——空气密度，取</w:t>
            </w:r>
            <w:r>
              <w:rPr>
                <w:rFonts w:hint="default" w:ascii="Times New Roman" w:hAnsi="Times New Roman" w:eastAsia="宋体" w:cs="Times New Roman"/>
                <w:spacing w:val="-21"/>
                <w:sz w:val="24"/>
                <w:szCs w:val="24"/>
              </w:rPr>
              <w:t xml:space="preserve"> </w:t>
            </w:r>
            <w:r>
              <w:rPr>
                <w:rFonts w:hint="default" w:ascii="Times New Roman" w:hAnsi="Times New Roman" w:eastAsia="宋体" w:cs="Times New Roman"/>
                <w:spacing w:val="3"/>
                <w:sz w:val="24"/>
                <w:szCs w:val="24"/>
              </w:rPr>
              <w:t>1.</w:t>
            </w:r>
            <w:r>
              <w:rPr>
                <w:rFonts w:hint="default" w:ascii="Times New Roman" w:hAnsi="Times New Roman" w:eastAsia="宋体" w:cs="Times New Roman"/>
                <w:spacing w:val="-25"/>
                <w:sz w:val="24"/>
                <w:szCs w:val="24"/>
              </w:rPr>
              <w:t xml:space="preserve"> </w:t>
            </w:r>
            <w:r>
              <w:rPr>
                <w:rFonts w:hint="default" w:ascii="Times New Roman" w:hAnsi="Times New Roman" w:eastAsia="宋体" w:cs="Times New Roman"/>
                <w:spacing w:val="3"/>
                <w:sz w:val="24"/>
                <w:szCs w:val="24"/>
              </w:rPr>
              <w:t>17</w:t>
            </w:r>
            <w:r>
              <w:rPr>
                <w:rFonts w:hint="default" w:ascii="Times New Roman" w:hAnsi="Times New Roman" w:eastAsia="宋体" w:cs="Times New Roman"/>
                <w:sz w:val="24"/>
                <w:szCs w:val="24"/>
              </w:rPr>
              <w:t>kg</w:t>
            </w:r>
            <w:r>
              <w:rPr>
                <w:rFonts w:hint="default" w:ascii="Times New Roman" w:hAnsi="Times New Roman" w:eastAsia="宋体" w:cs="Times New Roman"/>
                <w:spacing w:val="3"/>
                <w:sz w:val="24"/>
                <w:szCs w:val="24"/>
              </w:rPr>
              <w:t>/m</w:t>
            </w:r>
            <w:r>
              <w:rPr>
                <w:rFonts w:hint="default" w:ascii="Times New Roman" w:hAnsi="Times New Roman"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w:t>
            </w:r>
            <w:r>
              <w:rPr>
                <w:rFonts w:hint="default" w:ascii="Times New Roman" w:hAnsi="Times New Roman" w:eastAsia="宋体" w:cs="Times New Roman"/>
                <w:sz w:val="24"/>
                <w:szCs w:val="24"/>
              </w:rPr>
              <w:t xml:space="preserve"> </w:t>
            </w:r>
          </w:p>
          <w:p w14:paraId="7A859E65">
            <w:pPr>
              <w:snapToGrid w:val="0"/>
              <w:spacing w:line="360" w:lineRule="auto"/>
              <w:ind w:firstLine="480" w:firstLineChars="200"/>
              <w:rPr>
                <w:sz w:val="24"/>
              </w:rPr>
            </w:pPr>
            <w:r>
              <w:rPr>
                <w:sz w:val="24"/>
              </w:rPr>
              <w:t>风量计算公式如下：</w:t>
            </w:r>
            <w:r>
              <w:rPr>
                <w:rFonts w:hint="eastAsia"/>
                <w:sz w:val="24"/>
                <w:lang w:val="en-US" w:eastAsia="zh-CN"/>
              </w:rPr>
              <w:t>Q</w:t>
            </w:r>
            <w:r>
              <w:rPr>
                <w:sz w:val="24"/>
              </w:rPr>
              <w:t>=3600Fv</w:t>
            </w:r>
          </w:p>
          <w:p w14:paraId="443E4DBB">
            <w:pPr>
              <w:snapToGrid w:val="0"/>
              <w:spacing w:line="360" w:lineRule="auto"/>
              <w:ind w:firstLine="480" w:firstLineChars="200"/>
              <w:rPr>
                <w:sz w:val="24"/>
              </w:rPr>
            </w:pPr>
            <w:r>
              <w:rPr>
                <w:sz w:val="24"/>
              </w:rPr>
              <w:t>式中L—排风量（m</w:t>
            </w:r>
            <w:r>
              <w:rPr>
                <w:sz w:val="24"/>
                <w:vertAlign w:val="superscript"/>
              </w:rPr>
              <w:t>3</w:t>
            </w:r>
            <w:r>
              <w:rPr>
                <w:sz w:val="24"/>
              </w:rPr>
              <w:t>/h）；</w:t>
            </w:r>
          </w:p>
          <w:p w14:paraId="664DE1B7">
            <w:pPr>
              <w:snapToGrid w:val="0"/>
              <w:spacing w:line="360" w:lineRule="auto"/>
              <w:ind w:firstLine="480" w:firstLineChars="200"/>
              <w:rPr>
                <w:sz w:val="24"/>
              </w:rPr>
            </w:pPr>
            <w:r>
              <w:rPr>
                <w:sz w:val="24"/>
              </w:rPr>
              <w:t>F—</w:t>
            </w:r>
            <w:r>
              <w:rPr>
                <w:rFonts w:hint="eastAsia"/>
                <w:sz w:val="24"/>
                <w:lang w:eastAsia="zh-CN"/>
              </w:rPr>
              <w:t>排口</w:t>
            </w:r>
            <w:r>
              <w:rPr>
                <w:sz w:val="24"/>
              </w:rPr>
              <w:t>面积（m</w:t>
            </w:r>
            <w:r>
              <w:rPr>
                <w:sz w:val="24"/>
                <w:vertAlign w:val="superscript"/>
              </w:rPr>
              <w:t>2</w:t>
            </w:r>
            <w:r>
              <w:rPr>
                <w:sz w:val="24"/>
              </w:rPr>
              <w:t>）；</w:t>
            </w:r>
          </w:p>
          <w:p w14:paraId="3CD5E656">
            <w:pPr>
              <w:snapToGrid w:val="0"/>
              <w:spacing w:line="360" w:lineRule="auto"/>
              <w:ind w:firstLine="480" w:firstLineChars="200"/>
              <w:rPr>
                <w:sz w:val="24"/>
              </w:rPr>
            </w:pPr>
            <w:r>
              <w:rPr>
                <w:sz w:val="24"/>
              </w:rPr>
              <w:t>v—平均风速（m/s）。</w:t>
            </w:r>
          </w:p>
          <w:p w14:paraId="05A3E533">
            <w:pPr>
              <w:spacing w:line="240" w:lineRule="auto"/>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表4-</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项目各废气排放口</w:t>
            </w:r>
            <w:r>
              <w:rPr>
                <w:rFonts w:hint="default" w:ascii="Times New Roman" w:hAnsi="Times New Roman" w:eastAsia="宋体" w:cs="Times New Roman"/>
                <w:b/>
                <w:color w:val="auto"/>
                <w:sz w:val="21"/>
                <w:szCs w:val="21"/>
                <w:lang w:val="en-US" w:eastAsia="zh-CN"/>
              </w:rPr>
              <w:t>风量核算统计</w:t>
            </w:r>
            <w:r>
              <w:rPr>
                <w:rFonts w:hint="eastAsia" w:ascii="Times New Roman" w:hAnsi="Times New Roman" w:eastAsia="宋体" w:cs="Times New Roman"/>
                <w:b/>
                <w:color w:val="auto"/>
                <w:sz w:val="21"/>
                <w:szCs w:val="21"/>
                <w:lang w:val="en-US" w:eastAsia="zh-CN"/>
              </w:rPr>
              <w:t>一览</w:t>
            </w:r>
            <w:r>
              <w:rPr>
                <w:rFonts w:hint="default" w:ascii="Times New Roman" w:hAnsi="Times New Roman" w:eastAsia="宋体" w:cs="Times New Roman"/>
                <w:b/>
                <w:color w:val="auto"/>
                <w:sz w:val="21"/>
                <w:szCs w:val="21"/>
                <w:lang w:val="en-US" w:eastAsia="zh-CN"/>
              </w:rPr>
              <w:t>表</w:t>
            </w:r>
          </w:p>
          <w:tbl>
            <w:tblPr>
              <w:tblStyle w:val="26"/>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437"/>
              <w:gridCol w:w="1097"/>
              <w:gridCol w:w="1333"/>
              <w:gridCol w:w="1468"/>
              <w:gridCol w:w="1252"/>
              <w:gridCol w:w="1617"/>
            </w:tblGrid>
            <w:tr w14:paraId="22F8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9" w:type="dxa"/>
                  <w:gridSpan w:val="2"/>
                  <w:noWrap w:val="0"/>
                  <w:vAlign w:val="center"/>
                </w:tcPr>
                <w:p w14:paraId="7ACCF5A9">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污染源</w:t>
                  </w:r>
                </w:p>
              </w:tc>
              <w:tc>
                <w:tcPr>
                  <w:tcW w:w="1097" w:type="dxa"/>
                  <w:noWrap w:val="0"/>
                  <w:vAlign w:val="center"/>
                </w:tcPr>
                <w:p w14:paraId="5506953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排气口数量（个）</w:t>
                  </w:r>
                </w:p>
              </w:tc>
              <w:tc>
                <w:tcPr>
                  <w:tcW w:w="1333" w:type="dxa"/>
                  <w:noWrap w:val="0"/>
                  <w:vAlign w:val="center"/>
                </w:tcPr>
                <w:p w14:paraId="6F80E8F2">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F（</w:t>
                  </w:r>
                  <w:r>
                    <w:rPr>
                      <w:sz w:val="21"/>
                      <w:szCs w:val="21"/>
                    </w:rPr>
                    <w:t>m</w:t>
                  </w:r>
                  <w:r>
                    <w:rPr>
                      <w:sz w:val="21"/>
                      <w:szCs w:val="21"/>
                      <w:vertAlign w:val="superscript"/>
                    </w:rPr>
                    <w:t>2</w:t>
                  </w:r>
                  <w:r>
                    <w:rPr>
                      <w:rFonts w:hint="eastAsia"/>
                      <w:sz w:val="21"/>
                      <w:szCs w:val="21"/>
                      <w:vertAlign w:val="baseline"/>
                      <w:lang w:eastAsia="zh-CN"/>
                    </w:rPr>
                    <w:t>）</w:t>
                  </w:r>
                </w:p>
              </w:tc>
              <w:tc>
                <w:tcPr>
                  <w:tcW w:w="1468" w:type="dxa"/>
                  <w:noWrap w:val="0"/>
                  <w:vAlign w:val="center"/>
                </w:tcPr>
                <w:p w14:paraId="2434234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V</w:t>
                  </w: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rPr>
                    <w:t>m/s</w:t>
                  </w:r>
                  <w:r>
                    <w:rPr>
                      <w:rFonts w:hint="default" w:ascii="Times New Roman" w:hAnsi="Times New Roman" w:eastAsia="宋体" w:cs="Times New Roman"/>
                      <w:b w:val="0"/>
                      <w:bCs w:val="0"/>
                      <w:color w:val="auto"/>
                      <w:sz w:val="21"/>
                      <w:szCs w:val="21"/>
                      <w:lang w:eastAsia="zh-CN"/>
                    </w:rPr>
                    <w:t>）</w:t>
                  </w:r>
                </w:p>
              </w:tc>
              <w:tc>
                <w:tcPr>
                  <w:tcW w:w="1252" w:type="dxa"/>
                  <w:noWrap w:val="0"/>
                  <w:vAlign w:val="center"/>
                </w:tcPr>
                <w:p w14:paraId="275C55D4">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理论</w:t>
                  </w:r>
                  <w:r>
                    <w:rPr>
                      <w:rFonts w:hint="default" w:ascii="Times New Roman" w:hAnsi="Times New Roman" w:eastAsia="宋体" w:cs="Times New Roman"/>
                      <w:b w:val="0"/>
                      <w:bCs w:val="0"/>
                      <w:color w:val="auto"/>
                      <w:sz w:val="21"/>
                      <w:szCs w:val="21"/>
                      <w:vertAlign w:val="baseline"/>
                      <w:lang w:val="en-US" w:eastAsia="zh-CN"/>
                    </w:rPr>
                    <w:t>风量</w:t>
                  </w:r>
                  <w:r>
                    <w:rPr>
                      <w:rFonts w:hint="eastAsia" w:ascii="Times New Roman" w:hAnsi="Times New Roman" w:eastAsia="宋体" w:cs="Times New Roman"/>
                      <w:b w:val="0"/>
                      <w:bCs w:val="0"/>
                      <w:color w:val="auto"/>
                      <w:sz w:val="21"/>
                      <w:szCs w:val="21"/>
                      <w:vertAlign w:val="baseline"/>
                      <w:lang w:val="en-US" w:eastAsia="zh-CN"/>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lang w:eastAsia="zh-CN"/>
                    </w:rPr>
                    <w:t>）</w:t>
                  </w:r>
                </w:p>
              </w:tc>
              <w:tc>
                <w:tcPr>
                  <w:tcW w:w="1617" w:type="dxa"/>
                  <w:noWrap w:val="0"/>
                  <w:vAlign w:val="center"/>
                </w:tcPr>
                <w:p w14:paraId="64B58771">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设计总风量</w:t>
                  </w:r>
                  <w:r>
                    <w:rPr>
                      <w:rFonts w:hint="eastAsia" w:ascii="Times New Roman" w:hAnsi="Times New Roman" w:eastAsia="宋体" w:cs="Times New Roman"/>
                      <w:b w:val="0"/>
                      <w:bCs w:val="0"/>
                      <w:color w:val="auto"/>
                      <w:sz w:val="21"/>
                      <w:szCs w:val="21"/>
                      <w:vertAlign w:val="baseline"/>
                      <w:lang w:val="en-US" w:eastAsia="zh-CN"/>
                    </w:rPr>
                    <w:t>（</w:t>
                  </w:r>
                  <w:r>
                    <w:rPr>
                      <w:color w:val="auto"/>
                      <w:sz w:val="21"/>
                      <w:szCs w:val="21"/>
                    </w:rPr>
                    <w:t>m</w:t>
                  </w:r>
                  <w:r>
                    <w:rPr>
                      <w:color w:val="auto"/>
                      <w:sz w:val="21"/>
                      <w:szCs w:val="21"/>
                      <w:vertAlign w:val="superscript"/>
                    </w:rPr>
                    <w:t>3</w:t>
                  </w:r>
                  <w:r>
                    <w:rPr>
                      <w:color w:val="auto"/>
                      <w:sz w:val="21"/>
                      <w:szCs w:val="21"/>
                    </w:rPr>
                    <w:t>/h</w:t>
                  </w:r>
                  <w:r>
                    <w:rPr>
                      <w:rFonts w:hint="eastAsia"/>
                      <w:color w:val="auto"/>
                      <w:sz w:val="21"/>
                      <w:szCs w:val="21"/>
                      <w:lang w:eastAsia="zh-CN"/>
                    </w:rPr>
                    <w:t>）</w:t>
                  </w:r>
                </w:p>
              </w:tc>
            </w:tr>
            <w:tr w14:paraId="4CC7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vMerge w:val="restart"/>
                  <w:noWrap w:val="0"/>
                  <w:vAlign w:val="center"/>
                </w:tcPr>
                <w:p w14:paraId="660239C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排气筒</w:t>
                  </w:r>
                </w:p>
              </w:tc>
              <w:tc>
                <w:tcPr>
                  <w:tcW w:w="1437" w:type="dxa"/>
                  <w:noWrap w:val="0"/>
                  <w:vAlign w:val="center"/>
                </w:tcPr>
                <w:p w14:paraId="26B2208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盐酸储罐</w:t>
                  </w:r>
                </w:p>
              </w:tc>
              <w:tc>
                <w:tcPr>
                  <w:tcW w:w="1097" w:type="dxa"/>
                  <w:noWrap w:val="0"/>
                  <w:vAlign w:val="center"/>
                </w:tcPr>
                <w:p w14:paraId="023C8585">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tc>
              <w:tc>
                <w:tcPr>
                  <w:tcW w:w="1333" w:type="dxa"/>
                  <w:noWrap w:val="0"/>
                  <w:vAlign w:val="center"/>
                </w:tcPr>
                <w:p w14:paraId="198FBE3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eastAsia="宋体" w:cs="Times New Roman"/>
                      <w:b w:val="0"/>
                      <w:bCs w:val="0"/>
                      <w:color w:val="auto"/>
                      <w:sz w:val="21"/>
                      <w:szCs w:val="21"/>
                      <w:vertAlign w:val="baseline"/>
                      <w:lang w:val="en-US" w:eastAsia="zh-CN"/>
                    </w:rPr>
                    <w:t>01</w:t>
                  </w:r>
                </w:p>
              </w:tc>
              <w:tc>
                <w:tcPr>
                  <w:tcW w:w="1468" w:type="dxa"/>
                  <w:noWrap w:val="0"/>
                  <w:vAlign w:val="center"/>
                </w:tcPr>
                <w:p w14:paraId="397A39A9">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17BA46F1">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1685</w:t>
                  </w:r>
                </w:p>
              </w:tc>
              <w:tc>
                <w:tcPr>
                  <w:tcW w:w="1617" w:type="dxa"/>
                  <w:vMerge w:val="restart"/>
                  <w:noWrap w:val="0"/>
                  <w:vAlign w:val="center"/>
                </w:tcPr>
                <w:p w14:paraId="13A5466D">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14</w:t>
                  </w:r>
                  <w:r>
                    <w:rPr>
                      <w:rFonts w:hint="eastAsia" w:ascii="Times New Roman" w:hAnsi="Times New Roman" w:eastAsia="宋体" w:cs="Times New Roman"/>
                      <w:b w:val="0"/>
                      <w:bCs w:val="0"/>
                      <w:color w:val="auto"/>
                      <w:sz w:val="21"/>
                      <w:szCs w:val="21"/>
                      <w:vertAlign w:val="baseline"/>
                      <w:lang w:val="en-US" w:eastAsia="zh-CN"/>
                    </w:rPr>
                    <w:t>000</w:t>
                  </w:r>
                </w:p>
              </w:tc>
            </w:tr>
            <w:tr w14:paraId="4814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vMerge w:val="continue"/>
                  <w:noWrap w:val="0"/>
                  <w:vAlign w:val="center"/>
                </w:tcPr>
                <w:p w14:paraId="71826E0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437" w:type="dxa"/>
                  <w:noWrap w:val="0"/>
                  <w:vAlign w:val="center"/>
                </w:tcPr>
                <w:p w14:paraId="4C45D758">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洗滤罐</w:t>
                  </w:r>
                </w:p>
              </w:tc>
              <w:tc>
                <w:tcPr>
                  <w:tcW w:w="1097" w:type="dxa"/>
                  <w:noWrap w:val="0"/>
                  <w:vAlign w:val="center"/>
                </w:tcPr>
                <w:p w14:paraId="13AFD45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w:t>
                  </w:r>
                </w:p>
              </w:tc>
              <w:tc>
                <w:tcPr>
                  <w:tcW w:w="1333" w:type="dxa"/>
                  <w:noWrap w:val="0"/>
                  <w:vAlign w:val="center"/>
                </w:tcPr>
                <w:p w14:paraId="70102AA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0.01</w:t>
                  </w:r>
                </w:p>
              </w:tc>
              <w:tc>
                <w:tcPr>
                  <w:tcW w:w="1468" w:type="dxa"/>
                  <w:noWrap w:val="0"/>
                  <w:vAlign w:val="center"/>
                </w:tcPr>
                <w:p w14:paraId="1366516D">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43019D0F">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6739</w:t>
                  </w:r>
                </w:p>
              </w:tc>
              <w:tc>
                <w:tcPr>
                  <w:tcW w:w="1617" w:type="dxa"/>
                  <w:vMerge w:val="continue"/>
                  <w:noWrap w:val="0"/>
                  <w:vAlign w:val="center"/>
                </w:tcPr>
                <w:p w14:paraId="5AFF56C7">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r>
            <w:tr w14:paraId="6495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vMerge w:val="continue"/>
                  <w:noWrap w:val="0"/>
                  <w:vAlign w:val="center"/>
                </w:tcPr>
                <w:p w14:paraId="1F1A1D5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437" w:type="dxa"/>
                  <w:noWrap w:val="0"/>
                  <w:vAlign w:val="center"/>
                </w:tcPr>
                <w:p w14:paraId="35D4738B">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回转干燥炉</w:t>
                  </w:r>
                </w:p>
              </w:tc>
              <w:tc>
                <w:tcPr>
                  <w:tcW w:w="1097" w:type="dxa"/>
                  <w:noWrap w:val="0"/>
                  <w:vAlign w:val="center"/>
                </w:tcPr>
                <w:p w14:paraId="6139AEE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1333" w:type="dxa"/>
                  <w:noWrap w:val="0"/>
                  <w:vAlign w:val="center"/>
                </w:tcPr>
                <w:p w14:paraId="0CA2D89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0.06</w:t>
                  </w:r>
                </w:p>
              </w:tc>
              <w:tc>
                <w:tcPr>
                  <w:tcW w:w="1468" w:type="dxa"/>
                  <w:noWrap w:val="0"/>
                  <w:vAlign w:val="center"/>
                </w:tcPr>
                <w:p w14:paraId="7184473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4D9B71D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5054</w:t>
                  </w:r>
                </w:p>
              </w:tc>
              <w:tc>
                <w:tcPr>
                  <w:tcW w:w="1617" w:type="dxa"/>
                  <w:vMerge w:val="continue"/>
                  <w:noWrap w:val="0"/>
                  <w:vAlign w:val="center"/>
                </w:tcPr>
                <w:p w14:paraId="2197F119">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p>
              </w:tc>
            </w:tr>
            <w:tr w14:paraId="490A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3F9F5F93">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排气筒</w:t>
                  </w:r>
                </w:p>
              </w:tc>
              <w:tc>
                <w:tcPr>
                  <w:tcW w:w="1437" w:type="dxa"/>
                  <w:noWrap w:val="0"/>
                  <w:vAlign w:val="center"/>
                </w:tcPr>
                <w:p w14:paraId="5F292F3F">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粉碎机</w:t>
                  </w:r>
                </w:p>
              </w:tc>
              <w:tc>
                <w:tcPr>
                  <w:tcW w:w="1097" w:type="dxa"/>
                  <w:noWrap w:val="0"/>
                  <w:vAlign w:val="center"/>
                </w:tcPr>
                <w:p w14:paraId="6FAE706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tc>
              <w:tc>
                <w:tcPr>
                  <w:tcW w:w="1333" w:type="dxa"/>
                  <w:noWrap w:val="0"/>
                  <w:vAlign w:val="center"/>
                </w:tcPr>
                <w:p w14:paraId="46FDC793">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0.06</w:t>
                  </w:r>
                </w:p>
              </w:tc>
              <w:tc>
                <w:tcPr>
                  <w:tcW w:w="1468" w:type="dxa"/>
                  <w:noWrap w:val="0"/>
                  <w:vAlign w:val="center"/>
                </w:tcPr>
                <w:p w14:paraId="1C82B6CB">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4851DF4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10109</w:t>
                  </w:r>
                </w:p>
              </w:tc>
              <w:tc>
                <w:tcPr>
                  <w:tcW w:w="1617" w:type="dxa"/>
                  <w:noWrap w:val="0"/>
                  <w:vAlign w:val="center"/>
                </w:tcPr>
                <w:p w14:paraId="6883550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11000</w:t>
                  </w:r>
                </w:p>
              </w:tc>
            </w:tr>
            <w:tr w14:paraId="722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52" w:type="dxa"/>
                  <w:vMerge w:val="restart"/>
                  <w:noWrap w:val="0"/>
                  <w:vAlign w:val="center"/>
                </w:tcPr>
                <w:p w14:paraId="1AAA4983">
                  <w:pPr>
                    <w:rPr>
                      <w:rFonts w:hint="default"/>
                      <w:lang w:val="en-US" w:eastAsia="zh-CN"/>
                    </w:rPr>
                  </w:pPr>
                  <w:r>
                    <w:rPr>
                      <w:rFonts w:hint="eastAsia"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排气筒</w:t>
                  </w:r>
                </w:p>
              </w:tc>
              <w:tc>
                <w:tcPr>
                  <w:tcW w:w="1437" w:type="dxa"/>
                  <w:noWrap w:val="0"/>
                  <w:vAlign w:val="center"/>
                </w:tcPr>
                <w:p w14:paraId="495C9B7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盐酸储罐</w:t>
                  </w:r>
                </w:p>
              </w:tc>
              <w:tc>
                <w:tcPr>
                  <w:tcW w:w="1097" w:type="dxa"/>
                  <w:noWrap w:val="0"/>
                  <w:vAlign w:val="center"/>
                </w:tcPr>
                <w:p w14:paraId="6FB27B0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333" w:type="dxa"/>
                  <w:noWrap w:val="0"/>
                  <w:vAlign w:val="center"/>
                </w:tcPr>
                <w:p w14:paraId="54A1D2EC">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eastAsia="宋体" w:cs="Times New Roman"/>
                      <w:b w:val="0"/>
                      <w:bCs w:val="0"/>
                      <w:color w:val="auto"/>
                      <w:sz w:val="21"/>
                      <w:szCs w:val="21"/>
                      <w:vertAlign w:val="baseline"/>
                      <w:lang w:val="en-US" w:eastAsia="zh-CN"/>
                    </w:rPr>
                    <w:t>01</w:t>
                  </w:r>
                </w:p>
              </w:tc>
              <w:tc>
                <w:tcPr>
                  <w:tcW w:w="1468" w:type="dxa"/>
                  <w:noWrap w:val="0"/>
                  <w:vAlign w:val="center"/>
                </w:tcPr>
                <w:p w14:paraId="14DE2987">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373F457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21</w:t>
                  </w:r>
                </w:p>
              </w:tc>
              <w:tc>
                <w:tcPr>
                  <w:tcW w:w="1617" w:type="dxa"/>
                  <w:vMerge w:val="restart"/>
                  <w:noWrap w:val="0"/>
                  <w:vAlign w:val="center"/>
                </w:tcPr>
                <w:p w14:paraId="3A36841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000</w:t>
                  </w:r>
                </w:p>
              </w:tc>
            </w:tr>
            <w:tr w14:paraId="518B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vMerge w:val="continue"/>
                  <w:noWrap w:val="0"/>
                  <w:vAlign w:val="center"/>
                </w:tcPr>
                <w:p w14:paraId="1DCF36E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437" w:type="dxa"/>
                  <w:noWrap w:val="0"/>
                  <w:vAlign w:val="center"/>
                </w:tcPr>
                <w:p w14:paraId="486F4723">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洗滤罐</w:t>
                  </w:r>
                </w:p>
              </w:tc>
              <w:tc>
                <w:tcPr>
                  <w:tcW w:w="1097" w:type="dxa"/>
                  <w:noWrap w:val="0"/>
                  <w:vAlign w:val="center"/>
                </w:tcPr>
                <w:p w14:paraId="38CF3B9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p>
              </w:tc>
              <w:tc>
                <w:tcPr>
                  <w:tcW w:w="1333" w:type="dxa"/>
                  <w:noWrap w:val="0"/>
                  <w:vAlign w:val="center"/>
                </w:tcPr>
                <w:p w14:paraId="307D7757">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0.01</w:t>
                  </w:r>
                </w:p>
              </w:tc>
              <w:tc>
                <w:tcPr>
                  <w:tcW w:w="1468" w:type="dxa"/>
                  <w:noWrap w:val="0"/>
                  <w:vAlign w:val="center"/>
                </w:tcPr>
                <w:p w14:paraId="02739D0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2E1D8734">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1685</w:t>
                  </w:r>
                </w:p>
              </w:tc>
              <w:tc>
                <w:tcPr>
                  <w:tcW w:w="1617" w:type="dxa"/>
                  <w:vMerge w:val="continue"/>
                  <w:noWrap w:val="0"/>
                  <w:vAlign w:val="center"/>
                </w:tcPr>
                <w:p w14:paraId="5EEDE265">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30E8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vMerge w:val="continue"/>
                  <w:noWrap w:val="0"/>
                  <w:vAlign w:val="center"/>
                </w:tcPr>
                <w:p w14:paraId="0E6E266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437" w:type="dxa"/>
                  <w:noWrap w:val="0"/>
                  <w:vAlign w:val="center"/>
                </w:tcPr>
                <w:p w14:paraId="6BE6ADF1">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回转干燥炉</w:t>
                  </w:r>
                </w:p>
              </w:tc>
              <w:tc>
                <w:tcPr>
                  <w:tcW w:w="1097" w:type="dxa"/>
                  <w:noWrap w:val="0"/>
                  <w:vAlign w:val="center"/>
                </w:tcPr>
                <w:p w14:paraId="3086A17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1333" w:type="dxa"/>
                  <w:noWrap w:val="0"/>
                  <w:vAlign w:val="center"/>
                </w:tcPr>
                <w:p w14:paraId="3C820ACE">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0.06</w:t>
                  </w:r>
                </w:p>
              </w:tc>
              <w:tc>
                <w:tcPr>
                  <w:tcW w:w="1468" w:type="dxa"/>
                  <w:noWrap w:val="0"/>
                  <w:vAlign w:val="center"/>
                </w:tcPr>
                <w:p w14:paraId="10555862">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34E7FAB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1264</w:t>
                  </w:r>
                </w:p>
              </w:tc>
              <w:tc>
                <w:tcPr>
                  <w:tcW w:w="1617" w:type="dxa"/>
                  <w:vMerge w:val="continue"/>
                  <w:noWrap w:val="0"/>
                  <w:vAlign w:val="center"/>
                </w:tcPr>
                <w:p w14:paraId="6471576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23D0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603611F">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排气筒</w:t>
                  </w:r>
                </w:p>
              </w:tc>
              <w:tc>
                <w:tcPr>
                  <w:tcW w:w="1437" w:type="dxa"/>
                  <w:noWrap w:val="0"/>
                  <w:vAlign w:val="center"/>
                </w:tcPr>
                <w:p w14:paraId="3376FDE9">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粉碎机</w:t>
                  </w:r>
                </w:p>
              </w:tc>
              <w:tc>
                <w:tcPr>
                  <w:tcW w:w="1097" w:type="dxa"/>
                  <w:noWrap w:val="0"/>
                  <w:vAlign w:val="center"/>
                </w:tcPr>
                <w:p w14:paraId="0C13891F">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333" w:type="dxa"/>
                  <w:noWrap w:val="0"/>
                  <w:vAlign w:val="center"/>
                </w:tcPr>
                <w:p w14:paraId="3F5CF9BB">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0.06</w:t>
                  </w:r>
                </w:p>
              </w:tc>
              <w:tc>
                <w:tcPr>
                  <w:tcW w:w="1468" w:type="dxa"/>
                  <w:noWrap w:val="0"/>
                  <w:vAlign w:val="center"/>
                </w:tcPr>
                <w:p w14:paraId="33107098">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5.85</w:t>
                  </w:r>
                </w:p>
              </w:tc>
              <w:tc>
                <w:tcPr>
                  <w:tcW w:w="1252" w:type="dxa"/>
                  <w:noWrap w:val="0"/>
                  <w:vAlign w:val="center"/>
                </w:tcPr>
                <w:p w14:paraId="165A2CA1">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2527</w:t>
                  </w:r>
                </w:p>
              </w:tc>
              <w:tc>
                <w:tcPr>
                  <w:tcW w:w="1617" w:type="dxa"/>
                  <w:noWrap w:val="0"/>
                  <w:vAlign w:val="center"/>
                </w:tcPr>
                <w:p w14:paraId="5AB4FCD0">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3000</w:t>
                  </w:r>
                </w:p>
              </w:tc>
            </w:tr>
          </w:tbl>
          <w:p w14:paraId="308801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项目废气产排情况见下表：</w:t>
            </w:r>
          </w:p>
          <w:p w14:paraId="737B94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Ansi="宋体"/>
                <w:b/>
                <w:color w:val="auto"/>
                <w:kern w:val="0"/>
                <w:sz w:val="21"/>
                <w:szCs w:val="21"/>
              </w:rPr>
            </w:pPr>
            <w:r>
              <w:rPr>
                <w:rFonts w:hint="eastAsia" w:hAnsi="宋体"/>
                <w:b/>
                <w:color w:val="auto"/>
                <w:kern w:val="0"/>
                <w:sz w:val="21"/>
                <w:szCs w:val="21"/>
              </w:rPr>
              <w:t>表4-</w:t>
            </w:r>
            <w:r>
              <w:rPr>
                <w:rFonts w:hint="eastAsia" w:hAnsi="宋体"/>
                <w:b/>
                <w:color w:val="auto"/>
                <w:kern w:val="0"/>
                <w:sz w:val="21"/>
                <w:szCs w:val="21"/>
                <w:lang w:val="en-US" w:eastAsia="zh-CN"/>
              </w:rPr>
              <w:t xml:space="preserve">3 </w:t>
            </w:r>
            <w:r>
              <w:rPr>
                <w:rFonts w:hint="eastAsia" w:hAnsi="宋体"/>
                <w:b/>
                <w:color w:val="auto"/>
                <w:kern w:val="0"/>
                <w:sz w:val="21"/>
                <w:szCs w:val="21"/>
                <w:lang w:eastAsia="zh-CN"/>
              </w:rPr>
              <w:t>项目有组织废气产排</w:t>
            </w:r>
            <w:r>
              <w:rPr>
                <w:rFonts w:hint="eastAsia" w:hAnsi="宋体"/>
                <w:b/>
                <w:color w:val="auto"/>
                <w:kern w:val="0"/>
                <w:sz w:val="21"/>
                <w:szCs w:val="21"/>
              </w:rPr>
              <w:t>情况一览表</w:t>
            </w:r>
          </w:p>
          <w:tbl>
            <w:tblPr>
              <w:tblStyle w:val="2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765"/>
              <w:gridCol w:w="630"/>
              <w:gridCol w:w="765"/>
              <w:gridCol w:w="750"/>
              <w:gridCol w:w="720"/>
              <w:gridCol w:w="750"/>
              <w:gridCol w:w="615"/>
              <w:gridCol w:w="1185"/>
              <w:gridCol w:w="735"/>
              <w:gridCol w:w="675"/>
              <w:gridCol w:w="648"/>
            </w:tblGrid>
            <w:tr w14:paraId="7B49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pct"/>
                  <w:gridSpan w:val="2"/>
                  <w:vAlign w:val="center"/>
                </w:tcPr>
                <w:p w14:paraId="65885422">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354" w:type="pct"/>
                  <w:vAlign w:val="center"/>
                </w:tcPr>
                <w:p w14:paraId="639693C0">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eastAsia="宋体"/>
                      <w:color w:val="auto"/>
                      <w:kern w:val="0"/>
                      <w:sz w:val="21"/>
                      <w:szCs w:val="21"/>
                      <w:lang w:eastAsia="zh-CN"/>
                    </w:rPr>
                  </w:pPr>
                  <w:r>
                    <w:rPr>
                      <w:rFonts w:hint="eastAsia"/>
                      <w:color w:val="auto"/>
                      <w:kern w:val="0"/>
                      <w:sz w:val="21"/>
                      <w:szCs w:val="21"/>
                      <w:lang w:eastAsia="zh-CN"/>
                    </w:rPr>
                    <w:t>排放形式</w:t>
                  </w:r>
                </w:p>
              </w:tc>
              <w:tc>
                <w:tcPr>
                  <w:tcW w:w="429" w:type="pct"/>
                  <w:vAlign w:val="center"/>
                </w:tcPr>
                <w:p w14:paraId="2FC773CD">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污染物</w:t>
                  </w:r>
                </w:p>
              </w:tc>
              <w:tc>
                <w:tcPr>
                  <w:tcW w:w="421" w:type="pct"/>
                  <w:vAlign w:val="center"/>
                </w:tcPr>
                <w:p w14:paraId="2D35CF54">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产生量</w:t>
                  </w:r>
                  <w:r>
                    <w:rPr>
                      <w:rFonts w:hint="eastAsia"/>
                      <w:color w:val="auto"/>
                      <w:kern w:val="0"/>
                      <w:sz w:val="21"/>
                      <w:szCs w:val="21"/>
                    </w:rPr>
                    <w:t>t/a</w:t>
                  </w:r>
                </w:p>
              </w:tc>
              <w:tc>
                <w:tcPr>
                  <w:tcW w:w="404" w:type="pct"/>
                  <w:vAlign w:val="center"/>
                </w:tcPr>
                <w:p w14:paraId="2E687D82">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产生速率</w:t>
                  </w:r>
                  <w:r>
                    <w:rPr>
                      <w:rFonts w:hint="eastAsia"/>
                      <w:color w:val="auto"/>
                      <w:kern w:val="0"/>
                      <w:sz w:val="21"/>
                      <w:szCs w:val="21"/>
                    </w:rPr>
                    <w:t>kg/h</w:t>
                  </w:r>
                </w:p>
              </w:tc>
              <w:tc>
                <w:tcPr>
                  <w:tcW w:w="421" w:type="pct"/>
                  <w:vAlign w:val="center"/>
                </w:tcPr>
                <w:p w14:paraId="2B0F9A20">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产生浓度</w:t>
                  </w:r>
                  <w:r>
                    <w:rPr>
                      <w:bCs/>
                      <w:color w:val="auto"/>
                      <w:kern w:val="0"/>
                      <w:sz w:val="21"/>
                      <w:szCs w:val="21"/>
                    </w:rPr>
                    <w:t>mg/m</w:t>
                  </w:r>
                  <w:r>
                    <w:rPr>
                      <w:bCs/>
                      <w:color w:val="auto"/>
                      <w:kern w:val="0"/>
                      <w:sz w:val="21"/>
                      <w:szCs w:val="21"/>
                      <w:vertAlign w:val="superscript"/>
                    </w:rPr>
                    <w:t>3</w:t>
                  </w:r>
                </w:p>
              </w:tc>
              <w:tc>
                <w:tcPr>
                  <w:tcW w:w="345" w:type="pct"/>
                  <w:vAlign w:val="center"/>
                </w:tcPr>
                <w:p w14:paraId="13677AF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风量</w:t>
                  </w:r>
                </w:p>
                <w:p w14:paraId="131E9E0D">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SA"/>
                    </w:rPr>
                    <w:t>m</w:t>
                  </w:r>
                  <w:r>
                    <w:rPr>
                      <w:rFonts w:hint="default" w:ascii="Times New Roman" w:hAnsi="Times New Roman" w:eastAsia="宋体" w:cs="Times New Roman"/>
                      <w:b w:val="0"/>
                      <w:bCs w:val="0"/>
                      <w:color w:val="auto"/>
                      <w:kern w:val="0"/>
                      <w:sz w:val="21"/>
                      <w:szCs w:val="21"/>
                      <w:vertAlign w:val="superscript"/>
                      <w:lang w:val="en-US" w:eastAsia="zh-CN" w:bidi="ar-SA"/>
                    </w:rPr>
                    <w:t>3</w:t>
                  </w:r>
                  <w:r>
                    <w:rPr>
                      <w:rFonts w:hint="default" w:ascii="Times New Roman" w:hAnsi="Times New Roman" w:eastAsia="宋体" w:cs="Times New Roman"/>
                      <w:b w:val="0"/>
                      <w:bCs w:val="0"/>
                      <w:color w:val="auto"/>
                      <w:kern w:val="0"/>
                      <w:sz w:val="21"/>
                      <w:szCs w:val="21"/>
                      <w:lang w:val="en-US" w:eastAsia="zh-CN" w:bidi="ar-SA"/>
                    </w:rPr>
                    <w:t>/h</w:t>
                  </w:r>
                </w:p>
              </w:tc>
              <w:tc>
                <w:tcPr>
                  <w:tcW w:w="665" w:type="pct"/>
                  <w:vAlign w:val="center"/>
                </w:tcPr>
                <w:p w14:paraId="02B84B76">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治理设施</w:t>
                  </w:r>
                </w:p>
              </w:tc>
              <w:tc>
                <w:tcPr>
                  <w:tcW w:w="413" w:type="pct"/>
                  <w:vAlign w:val="center"/>
                </w:tcPr>
                <w:p w14:paraId="360C9A7A">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排放量</w:t>
                  </w:r>
                  <w:r>
                    <w:rPr>
                      <w:rFonts w:hint="eastAsia"/>
                      <w:color w:val="auto"/>
                      <w:kern w:val="0"/>
                      <w:sz w:val="21"/>
                      <w:szCs w:val="21"/>
                    </w:rPr>
                    <w:t>t/a</w:t>
                  </w:r>
                </w:p>
              </w:tc>
              <w:tc>
                <w:tcPr>
                  <w:tcW w:w="379" w:type="pct"/>
                  <w:vAlign w:val="center"/>
                </w:tcPr>
                <w:p w14:paraId="5DFE010E">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排放速率</w:t>
                  </w:r>
                  <w:r>
                    <w:rPr>
                      <w:rFonts w:hint="eastAsia"/>
                      <w:color w:val="auto"/>
                      <w:kern w:val="0"/>
                      <w:sz w:val="21"/>
                      <w:szCs w:val="21"/>
                    </w:rPr>
                    <w:t>kg/h</w:t>
                  </w:r>
                </w:p>
              </w:tc>
              <w:tc>
                <w:tcPr>
                  <w:tcW w:w="364" w:type="pct"/>
                  <w:vAlign w:val="center"/>
                </w:tcPr>
                <w:p w14:paraId="60D0621F">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color w:val="auto"/>
                      <w:kern w:val="0"/>
                      <w:sz w:val="21"/>
                      <w:szCs w:val="21"/>
                    </w:rPr>
                  </w:pPr>
                  <w:r>
                    <w:rPr>
                      <w:color w:val="auto"/>
                      <w:kern w:val="0"/>
                      <w:sz w:val="21"/>
                      <w:szCs w:val="21"/>
                    </w:rPr>
                    <w:t>排放浓度</w:t>
                  </w:r>
                  <w:r>
                    <w:rPr>
                      <w:bCs/>
                      <w:color w:val="auto"/>
                      <w:kern w:val="0"/>
                      <w:sz w:val="21"/>
                      <w:szCs w:val="21"/>
                    </w:rPr>
                    <w:t>mg/m</w:t>
                  </w:r>
                  <w:r>
                    <w:rPr>
                      <w:bCs/>
                      <w:color w:val="auto"/>
                      <w:kern w:val="0"/>
                      <w:sz w:val="21"/>
                      <w:szCs w:val="21"/>
                      <w:vertAlign w:val="superscript"/>
                    </w:rPr>
                    <w:t>3</w:t>
                  </w:r>
                </w:p>
              </w:tc>
            </w:tr>
            <w:tr w14:paraId="3E03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4195FE93">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1#车间</w:t>
                  </w:r>
                </w:p>
              </w:tc>
              <w:tc>
                <w:tcPr>
                  <w:tcW w:w="429" w:type="pct"/>
                  <w:vAlign w:val="center"/>
                </w:tcPr>
                <w:p w14:paraId="12DD18A0">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盐酸储罐呼吸</w:t>
                  </w:r>
                </w:p>
              </w:tc>
              <w:tc>
                <w:tcPr>
                  <w:tcW w:w="354" w:type="pct"/>
                  <w:vAlign w:val="center"/>
                </w:tcPr>
                <w:p w14:paraId="6CF5138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43D26D5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olor w:val="auto"/>
                      <w:kern w:val="0"/>
                      <w:sz w:val="21"/>
                      <w:szCs w:val="21"/>
                      <w:lang w:val="en-US" w:eastAsia="zh-CN"/>
                    </w:rPr>
                  </w:pPr>
                  <w:r>
                    <w:rPr>
                      <w:rFonts w:hint="eastAsia"/>
                      <w:color w:val="auto"/>
                      <w:kern w:val="0"/>
                      <w:sz w:val="21"/>
                      <w:szCs w:val="21"/>
                      <w:lang w:val="en-US" w:eastAsia="zh-CN"/>
                    </w:rPr>
                    <w:t>HCl</w:t>
                  </w:r>
                </w:p>
              </w:tc>
              <w:tc>
                <w:tcPr>
                  <w:tcW w:w="421" w:type="pct"/>
                  <w:vAlign w:val="center"/>
                </w:tcPr>
                <w:p w14:paraId="2B277434">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0.07</w:t>
                  </w:r>
                </w:p>
              </w:tc>
              <w:tc>
                <w:tcPr>
                  <w:tcW w:w="404" w:type="pct"/>
                  <w:vAlign w:val="center"/>
                </w:tcPr>
                <w:p w14:paraId="51BFFE16">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0.01</w:t>
                  </w:r>
                </w:p>
              </w:tc>
              <w:tc>
                <w:tcPr>
                  <w:tcW w:w="421" w:type="pct"/>
                  <w:vAlign w:val="center"/>
                </w:tcPr>
                <w:p w14:paraId="374645ED">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0.71</w:t>
                  </w:r>
                </w:p>
              </w:tc>
              <w:tc>
                <w:tcPr>
                  <w:tcW w:w="345" w:type="pct"/>
                  <w:vMerge w:val="restart"/>
                  <w:vAlign w:val="center"/>
                </w:tcPr>
                <w:p w14:paraId="7E674288">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14000</w:t>
                  </w:r>
                </w:p>
              </w:tc>
              <w:tc>
                <w:tcPr>
                  <w:tcW w:w="665" w:type="pct"/>
                  <w:vMerge w:val="restart"/>
                  <w:vAlign w:val="center"/>
                </w:tcPr>
                <w:p w14:paraId="3D75BC6C">
                  <w:pPr>
                    <w:snapToGrid w:val="0"/>
                    <w:jc w:val="center"/>
                    <w:rPr>
                      <w:rFonts w:hint="eastAsia" w:cs="Times New Roman"/>
                      <w:color w:val="auto"/>
                      <w:kern w:val="0"/>
                      <w:sz w:val="21"/>
                      <w:szCs w:val="21"/>
                      <w:lang w:val="en-US" w:eastAsia="zh-CN"/>
                    </w:rPr>
                  </w:pPr>
                  <w:r>
                    <w:rPr>
                      <w:rFonts w:hint="eastAsia"/>
                      <w:color w:val="auto"/>
                      <w:kern w:val="0"/>
                      <w:sz w:val="21"/>
                      <w:szCs w:val="21"/>
                      <w:lang w:val="en-US" w:eastAsia="zh-CN"/>
                    </w:rPr>
                    <w:t>二级碱喷淋+1根20m高排气筒（DA001）</w:t>
                  </w:r>
                </w:p>
              </w:tc>
              <w:tc>
                <w:tcPr>
                  <w:tcW w:w="413" w:type="pct"/>
                  <w:vAlign w:val="center"/>
                </w:tcPr>
                <w:p w14:paraId="17C2B624">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0.007</w:t>
                  </w:r>
                </w:p>
              </w:tc>
              <w:tc>
                <w:tcPr>
                  <w:tcW w:w="379" w:type="pct"/>
                  <w:vAlign w:val="center"/>
                </w:tcPr>
                <w:p w14:paraId="3251A357">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0.001</w:t>
                  </w:r>
                </w:p>
              </w:tc>
              <w:tc>
                <w:tcPr>
                  <w:tcW w:w="364" w:type="pct"/>
                  <w:vAlign w:val="center"/>
                </w:tcPr>
                <w:p w14:paraId="7AF19FF7">
                  <w:pPr>
                    <w:adjustRightInd w:val="0"/>
                    <w:spacing w:line="240" w:lineRule="auto"/>
                    <w:jc w:val="center"/>
                    <w:rPr>
                      <w:rFonts w:hint="default" w:eastAsia="宋体"/>
                      <w:color w:val="auto"/>
                      <w:kern w:val="0"/>
                      <w:sz w:val="21"/>
                      <w:szCs w:val="21"/>
                      <w:lang w:val="en-US" w:eastAsia="zh-CN"/>
                    </w:rPr>
                  </w:pPr>
                  <w:r>
                    <w:rPr>
                      <w:rFonts w:hint="eastAsia"/>
                      <w:color w:val="auto"/>
                      <w:kern w:val="0"/>
                      <w:sz w:val="21"/>
                      <w:szCs w:val="21"/>
                      <w:lang w:val="en-US" w:eastAsia="zh-CN"/>
                    </w:rPr>
                    <w:t>0.071</w:t>
                  </w:r>
                </w:p>
              </w:tc>
            </w:tr>
            <w:tr w14:paraId="5EB5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9D1947E">
                  <w:pPr>
                    <w:adjustRightInd w:val="0"/>
                    <w:spacing w:line="240" w:lineRule="auto"/>
                    <w:jc w:val="center"/>
                    <w:rPr>
                      <w:rFonts w:hint="eastAsia"/>
                      <w:color w:val="auto"/>
                      <w:kern w:val="0"/>
                      <w:sz w:val="21"/>
                      <w:szCs w:val="21"/>
                      <w:lang w:val="en-US" w:eastAsia="zh-CN"/>
                    </w:rPr>
                  </w:pPr>
                </w:p>
              </w:tc>
              <w:tc>
                <w:tcPr>
                  <w:tcW w:w="429" w:type="pct"/>
                  <w:vAlign w:val="center"/>
                </w:tcPr>
                <w:p w14:paraId="37AB4DFF">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配酸</w:t>
                  </w:r>
                </w:p>
              </w:tc>
              <w:tc>
                <w:tcPr>
                  <w:tcW w:w="354" w:type="pct"/>
                  <w:vAlign w:val="center"/>
                </w:tcPr>
                <w:p w14:paraId="458159F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5DE614F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olor w:val="auto"/>
                      <w:kern w:val="0"/>
                      <w:sz w:val="21"/>
                      <w:szCs w:val="21"/>
                      <w:lang w:val="en-US" w:eastAsia="zh-CN"/>
                    </w:rPr>
                    <w:t>HCl</w:t>
                  </w:r>
                </w:p>
              </w:tc>
              <w:tc>
                <w:tcPr>
                  <w:tcW w:w="421" w:type="pct"/>
                  <w:vAlign w:val="center"/>
                </w:tcPr>
                <w:p w14:paraId="7A74AAF5">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0.028</w:t>
                  </w:r>
                </w:p>
              </w:tc>
              <w:tc>
                <w:tcPr>
                  <w:tcW w:w="404" w:type="pct"/>
                  <w:vAlign w:val="center"/>
                </w:tcPr>
                <w:p w14:paraId="0FD6A613">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0.004</w:t>
                  </w:r>
                </w:p>
              </w:tc>
              <w:tc>
                <w:tcPr>
                  <w:tcW w:w="421" w:type="pct"/>
                  <w:vAlign w:val="center"/>
                </w:tcPr>
                <w:p w14:paraId="7E7DB676">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0.29</w:t>
                  </w:r>
                </w:p>
              </w:tc>
              <w:tc>
                <w:tcPr>
                  <w:tcW w:w="345" w:type="pct"/>
                  <w:vMerge w:val="continue"/>
                  <w:vAlign w:val="center"/>
                </w:tcPr>
                <w:p w14:paraId="5E0ED198">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6EE5E0A7">
                  <w:pPr>
                    <w:snapToGrid w:val="0"/>
                    <w:jc w:val="center"/>
                    <w:rPr>
                      <w:rFonts w:hint="eastAsia"/>
                      <w:color w:val="auto"/>
                      <w:kern w:val="0"/>
                      <w:sz w:val="21"/>
                      <w:szCs w:val="21"/>
                      <w:lang w:val="en-US" w:eastAsia="zh-CN"/>
                    </w:rPr>
                  </w:pPr>
                </w:p>
              </w:tc>
              <w:tc>
                <w:tcPr>
                  <w:tcW w:w="413" w:type="pct"/>
                  <w:vAlign w:val="center"/>
                </w:tcPr>
                <w:p w14:paraId="3702023A">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0.003</w:t>
                  </w:r>
                </w:p>
              </w:tc>
              <w:tc>
                <w:tcPr>
                  <w:tcW w:w="379" w:type="pct"/>
                  <w:vAlign w:val="center"/>
                </w:tcPr>
                <w:p w14:paraId="0447E81B">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0.0004</w:t>
                  </w:r>
                </w:p>
              </w:tc>
              <w:tc>
                <w:tcPr>
                  <w:tcW w:w="364" w:type="pct"/>
                  <w:vAlign w:val="center"/>
                </w:tcPr>
                <w:p w14:paraId="341DF88F">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0.029</w:t>
                  </w:r>
                </w:p>
              </w:tc>
            </w:tr>
            <w:tr w14:paraId="602F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99E54F3">
                  <w:pPr>
                    <w:adjustRightInd w:val="0"/>
                    <w:spacing w:line="240" w:lineRule="auto"/>
                    <w:jc w:val="center"/>
                    <w:rPr>
                      <w:rFonts w:hint="eastAsia"/>
                      <w:color w:val="auto"/>
                      <w:kern w:val="0"/>
                      <w:sz w:val="21"/>
                      <w:szCs w:val="21"/>
                      <w:lang w:val="en-US" w:eastAsia="zh-CN"/>
                    </w:rPr>
                  </w:pPr>
                </w:p>
              </w:tc>
              <w:tc>
                <w:tcPr>
                  <w:tcW w:w="429" w:type="pct"/>
                  <w:vMerge w:val="restart"/>
                  <w:vAlign w:val="center"/>
                </w:tcPr>
                <w:p w14:paraId="7410EB93">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酸洗、干燥</w:t>
                  </w:r>
                </w:p>
              </w:tc>
              <w:tc>
                <w:tcPr>
                  <w:tcW w:w="354" w:type="pct"/>
                  <w:vAlign w:val="center"/>
                </w:tcPr>
                <w:p w14:paraId="1520B22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76C363C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421" w:type="pct"/>
                  <w:vAlign w:val="center"/>
                </w:tcPr>
                <w:p w14:paraId="1854C79E">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0.109</w:t>
                  </w:r>
                </w:p>
              </w:tc>
              <w:tc>
                <w:tcPr>
                  <w:tcW w:w="404" w:type="pct"/>
                  <w:vAlign w:val="center"/>
                </w:tcPr>
                <w:p w14:paraId="5B142A8F">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0.015</w:t>
                  </w:r>
                </w:p>
              </w:tc>
              <w:tc>
                <w:tcPr>
                  <w:tcW w:w="421" w:type="pct"/>
                  <w:vAlign w:val="center"/>
                </w:tcPr>
                <w:p w14:paraId="09E5971E">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1.07</w:t>
                  </w:r>
                </w:p>
              </w:tc>
              <w:tc>
                <w:tcPr>
                  <w:tcW w:w="345" w:type="pct"/>
                  <w:vMerge w:val="continue"/>
                  <w:vAlign w:val="center"/>
                </w:tcPr>
                <w:p w14:paraId="04DE2568">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102D740C">
                  <w:pPr>
                    <w:snapToGrid w:val="0"/>
                    <w:jc w:val="center"/>
                    <w:rPr>
                      <w:rFonts w:hint="eastAsia"/>
                      <w:color w:val="auto"/>
                      <w:kern w:val="0"/>
                      <w:sz w:val="21"/>
                      <w:szCs w:val="21"/>
                      <w:lang w:val="en-US" w:eastAsia="zh-CN"/>
                    </w:rPr>
                  </w:pPr>
                </w:p>
              </w:tc>
              <w:tc>
                <w:tcPr>
                  <w:tcW w:w="413" w:type="pct"/>
                  <w:vAlign w:val="center"/>
                </w:tcPr>
                <w:p w14:paraId="39DCEB5A">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0.011</w:t>
                  </w:r>
                </w:p>
              </w:tc>
              <w:tc>
                <w:tcPr>
                  <w:tcW w:w="379" w:type="pct"/>
                  <w:vAlign w:val="center"/>
                </w:tcPr>
                <w:p w14:paraId="280B6CC4">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0.0015</w:t>
                  </w:r>
                </w:p>
              </w:tc>
              <w:tc>
                <w:tcPr>
                  <w:tcW w:w="364" w:type="pct"/>
                  <w:vAlign w:val="center"/>
                </w:tcPr>
                <w:p w14:paraId="70E4A2FA">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0.107</w:t>
                  </w:r>
                </w:p>
              </w:tc>
            </w:tr>
            <w:tr w14:paraId="0ABA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BD8A091">
                  <w:pPr>
                    <w:adjustRightInd w:val="0"/>
                    <w:spacing w:line="240" w:lineRule="auto"/>
                    <w:jc w:val="center"/>
                    <w:rPr>
                      <w:rFonts w:hint="eastAsia"/>
                      <w:color w:val="auto"/>
                      <w:kern w:val="0"/>
                      <w:sz w:val="21"/>
                      <w:szCs w:val="21"/>
                      <w:lang w:val="en-US" w:eastAsia="zh-CN"/>
                    </w:rPr>
                  </w:pPr>
                </w:p>
              </w:tc>
              <w:tc>
                <w:tcPr>
                  <w:tcW w:w="429" w:type="pct"/>
                  <w:vMerge w:val="continue"/>
                  <w:vAlign w:val="center"/>
                </w:tcPr>
                <w:p w14:paraId="7271FEA1">
                  <w:pPr>
                    <w:adjustRightInd w:val="0"/>
                    <w:spacing w:line="240" w:lineRule="auto"/>
                    <w:jc w:val="center"/>
                    <w:rPr>
                      <w:rFonts w:hint="eastAsia" w:cs="Times New Roman"/>
                      <w:b w:val="0"/>
                      <w:bCs w:val="0"/>
                      <w:color w:val="auto"/>
                      <w:kern w:val="0"/>
                      <w:sz w:val="21"/>
                      <w:szCs w:val="21"/>
                      <w:lang w:val="en-US" w:eastAsia="zh-CN"/>
                    </w:rPr>
                  </w:pPr>
                </w:p>
              </w:tc>
              <w:tc>
                <w:tcPr>
                  <w:tcW w:w="354" w:type="pct"/>
                  <w:vAlign w:val="center"/>
                </w:tcPr>
                <w:p w14:paraId="414C93B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6375CBB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color w:val="auto"/>
                      <w:sz w:val="21"/>
                      <w:szCs w:val="21"/>
                      <w:lang w:val="en-US" w:eastAsia="zh-CN"/>
                    </w:rPr>
                    <w:t>颗粒物</w:t>
                  </w:r>
                </w:p>
              </w:tc>
              <w:tc>
                <w:tcPr>
                  <w:tcW w:w="421" w:type="pct"/>
                  <w:vAlign w:val="center"/>
                </w:tcPr>
                <w:p w14:paraId="64972BFB">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2.899</w:t>
                  </w:r>
                </w:p>
              </w:tc>
              <w:tc>
                <w:tcPr>
                  <w:tcW w:w="404" w:type="pct"/>
                  <w:vAlign w:val="center"/>
                </w:tcPr>
                <w:p w14:paraId="7AB2E06D">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0.4</w:t>
                  </w:r>
                </w:p>
              </w:tc>
              <w:tc>
                <w:tcPr>
                  <w:tcW w:w="421" w:type="pct"/>
                  <w:vAlign w:val="center"/>
                </w:tcPr>
                <w:p w14:paraId="009E2392">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28.57</w:t>
                  </w:r>
                </w:p>
              </w:tc>
              <w:tc>
                <w:tcPr>
                  <w:tcW w:w="345" w:type="pct"/>
                  <w:vMerge w:val="continue"/>
                  <w:vAlign w:val="center"/>
                </w:tcPr>
                <w:p w14:paraId="03020B11">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222E0B18">
                  <w:pPr>
                    <w:snapToGrid w:val="0"/>
                    <w:jc w:val="center"/>
                    <w:rPr>
                      <w:rFonts w:hint="eastAsia"/>
                      <w:color w:val="auto"/>
                      <w:kern w:val="0"/>
                      <w:sz w:val="21"/>
                      <w:szCs w:val="21"/>
                      <w:lang w:val="en-US" w:eastAsia="zh-CN"/>
                    </w:rPr>
                  </w:pPr>
                </w:p>
              </w:tc>
              <w:tc>
                <w:tcPr>
                  <w:tcW w:w="413" w:type="pct"/>
                  <w:vAlign w:val="center"/>
                </w:tcPr>
                <w:p w14:paraId="2484A656">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0.29</w:t>
                  </w:r>
                </w:p>
              </w:tc>
              <w:tc>
                <w:tcPr>
                  <w:tcW w:w="379" w:type="pct"/>
                  <w:vAlign w:val="center"/>
                </w:tcPr>
                <w:p w14:paraId="7850EBA1">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0.04</w:t>
                  </w:r>
                </w:p>
              </w:tc>
              <w:tc>
                <w:tcPr>
                  <w:tcW w:w="364" w:type="pct"/>
                  <w:vAlign w:val="center"/>
                </w:tcPr>
                <w:p w14:paraId="7A0D2B2F">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2.86</w:t>
                  </w:r>
                </w:p>
              </w:tc>
            </w:tr>
            <w:tr w14:paraId="51C8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33BAC6F9">
                  <w:pPr>
                    <w:adjustRightInd w:val="0"/>
                    <w:spacing w:line="240" w:lineRule="auto"/>
                    <w:jc w:val="center"/>
                    <w:rPr>
                      <w:rFonts w:hint="eastAsia"/>
                      <w:color w:val="auto"/>
                      <w:kern w:val="0"/>
                      <w:sz w:val="21"/>
                      <w:szCs w:val="21"/>
                      <w:lang w:eastAsia="zh-CN"/>
                    </w:rPr>
                  </w:pPr>
                </w:p>
              </w:tc>
              <w:tc>
                <w:tcPr>
                  <w:tcW w:w="429" w:type="pct"/>
                  <w:vAlign w:val="center"/>
                </w:tcPr>
                <w:p w14:paraId="39CA81CA">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粉碎</w:t>
                  </w:r>
                </w:p>
              </w:tc>
              <w:tc>
                <w:tcPr>
                  <w:tcW w:w="354" w:type="pct"/>
                  <w:vAlign w:val="center"/>
                </w:tcPr>
                <w:p w14:paraId="1BBF059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2069AF34">
                  <w:pPr>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颗粒物</w:t>
                  </w:r>
                </w:p>
              </w:tc>
              <w:tc>
                <w:tcPr>
                  <w:tcW w:w="421" w:type="pct"/>
                  <w:vAlign w:val="center"/>
                </w:tcPr>
                <w:p w14:paraId="00D3635B">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4.294</w:t>
                  </w:r>
                </w:p>
              </w:tc>
              <w:tc>
                <w:tcPr>
                  <w:tcW w:w="404" w:type="pct"/>
                  <w:vAlign w:val="center"/>
                </w:tcPr>
                <w:p w14:paraId="03C2AF93">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0.6</w:t>
                  </w:r>
                </w:p>
              </w:tc>
              <w:tc>
                <w:tcPr>
                  <w:tcW w:w="421" w:type="pct"/>
                  <w:vAlign w:val="center"/>
                </w:tcPr>
                <w:p w14:paraId="59B80D8F">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54.55</w:t>
                  </w:r>
                </w:p>
              </w:tc>
              <w:tc>
                <w:tcPr>
                  <w:tcW w:w="345" w:type="pct"/>
                  <w:vAlign w:val="center"/>
                </w:tcPr>
                <w:p w14:paraId="798E48D7">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11000</w:t>
                  </w:r>
                </w:p>
              </w:tc>
              <w:tc>
                <w:tcPr>
                  <w:tcW w:w="665" w:type="pct"/>
                  <w:vAlign w:val="center"/>
                </w:tcPr>
                <w:p w14:paraId="49E9FDD3">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布袋除尘器+1根20m高排气筒（DA002）</w:t>
                  </w:r>
                </w:p>
              </w:tc>
              <w:tc>
                <w:tcPr>
                  <w:tcW w:w="413" w:type="pct"/>
                  <w:vAlign w:val="center"/>
                </w:tcPr>
                <w:p w14:paraId="73E73CF1">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0.043</w:t>
                  </w:r>
                </w:p>
              </w:tc>
              <w:tc>
                <w:tcPr>
                  <w:tcW w:w="379" w:type="pct"/>
                  <w:vAlign w:val="center"/>
                </w:tcPr>
                <w:p w14:paraId="671D9E14">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0.006</w:t>
                  </w:r>
                </w:p>
              </w:tc>
              <w:tc>
                <w:tcPr>
                  <w:tcW w:w="364" w:type="pct"/>
                  <w:vAlign w:val="center"/>
                </w:tcPr>
                <w:p w14:paraId="0BA651B0">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0.55</w:t>
                  </w:r>
                </w:p>
              </w:tc>
            </w:tr>
            <w:tr w14:paraId="47DC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restart"/>
                  <w:vAlign w:val="center"/>
                </w:tcPr>
                <w:p w14:paraId="26D1801E">
                  <w:pPr>
                    <w:adjustRightInd w:val="0"/>
                    <w:spacing w:line="240" w:lineRule="auto"/>
                    <w:jc w:val="center"/>
                    <w:rPr>
                      <w:rFonts w:hint="eastAsia"/>
                      <w:color w:val="auto"/>
                      <w:kern w:val="0"/>
                      <w:sz w:val="21"/>
                      <w:szCs w:val="21"/>
                      <w:lang w:eastAsia="zh-CN"/>
                    </w:rPr>
                  </w:pPr>
                  <w:r>
                    <w:rPr>
                      <w:rFonts w:hint="eastAsia"/>
                      <w:color w:val="auto"/>
                      <w:kern w:val="0"/>
                      <w:sz w:val="21"/>
                      <w:szCs w:val="21"/>
                      <w:lang w:val="en-US" w:eastAsia="zh-CN"/>
                    </w:rPr>
                    <w:t>2#车间</w:t>
                  </w:r>
                </w:p>
              </w:tc>
              <w:tc>
                <w:tcPr>
                  <w:tcW w:w="429" w:type="pct"/>
                  <w:vAlign w:val="center"/>
                </w:tcPr>
                <w:p w14:paraId="33DBEAD6">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盐酸储罐呼吸</w:t>
                  </w:r>
                </w:p>
              </w:tc>
              <w:tc>
                <w:tcPr>
                  <w:tcW w:w="354" w:type="pct"/>
                  <w:vAlign w:val="center"/>
                </w:tcPr>
                <w:p w14:paraId="1FEA2CE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12ACF8B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olor w:val="auto"/>
                      <w:kern w:val="0"/>
                      <w:sz w:val="21"/>
                      <w:szCs w:val="21"/>
                      <w:lang w:val="en-US" w:eastAsia="zh-CN"/>
                    </w:rPr>
                    <w:t>HCl</w:t>
                  </w:r>
                </w:p>
              </w:tc>
              <w:tc>
                <w:tcPr>
                  <w:tcW w:w="421" w:type="pct"/>
                  <w:vAlign w:val="center"/>
                </w:tcPr>
                <w:p w14:paraId="51681F7C">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0.049</w:t>
                  </w:r>
                </w:p>
              </w:tc>
              <w:tc>
                <w:tcPr>
                  <w:tcW w:w="404" w:type="pct"/>
                  <w:vAlign w:val="center"/>
                </w:tcPr>
                <w:p w14:paraId="7FAA11E1">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0.007</w:t>
                  </w:r>
                </w:p>
              </w:tc>
              <w:tc>
                <w:tcPr>
                  <w:tcW w:w="421" w:type="pct"/>
                  <w:vAlign w:val="center"/>
                </w:tcPr>
                <w:p w14:paraId="4B6BA324">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1.75</w:t>
                  </w:r>
                </w:p>
              </w:tc>
              <w:tc>
                <w:tcPr>
                  <w:tcW w:w="345" w:type="pct"/>
                  <w:vMerge w:val="restart"/>
                  <w:vAlign w:val="center"/>
                </w:tcPr>
                <w:p w14:paraId="0D87A015">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4000</w:t>
                  </w:r>
                </w:p>
              </w:tc>
              <w:tc>
                <w:tcPr>
                  <w:tcW w:w="665" w:type="pct"/>
                  <w:vMerge w:val="restart"/>
                  <w:vAlign w:val="center"/>
                </w:tcPr>
                <w:p w14:paraId="5BE7AB00">
                  <w:pPr>
                    <w:snapToGrid w:val="0"/>
                    <w:jc w:val="center"/>
                    <w:rPr>
                      <w:rFonts w:hint="eastAsia" w:cs="Times New Roman"/>
                      <w:color w:val="auto"/>
                      <w:kern w:val="0"/>
                      <w:sz w:val="21"/>
                      <w:szCs w:val="21"/>
                      <w:lang w:val="en-US" w:eastAsia="zh-CN"/>
                    </w:rPr>
                  </w:pPr>
                  <w:r>
                    <w:rPr>
                      <w:rFonts w:hint="eastAsia"/>
                      <w:color w:val="auto"/>
                      <w:kern w:val="0"/>
                      <w:sz w:val="21"/>
                      <w:szCs w:val="21"/>
                      <w:lang w:val="en-US" w:eastAsia="zh-CN"/>
                    </w:rPr>
                    <w:t>二级碱喷淋+1根20m高排气筒（DA003）</w:t>
                  </w:r>
                </w:p>
              </w:tc>
              <w:tc>
                <w:tcPr>
                  <w:tcW w:w="413" w:type="pct"/>
                  <w:vAlign w:val="center"/>
                </w:tcPr>
                <w:p w14:paraId="11C2B628">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0.005</w:t>
                  </w:r>
                </w:p>
              </w:tc>
              <w:tc>
                <w:tcPr>
                  <w:tcW w:w="379" w:type="pct"/>
                  <w:vAlign w:val="center"/>
                </w:tcPr>
                <w:p w14:paraId="0169866E">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0.0007</w:t>
                  </w:r>
                </w:p>
              </w:tc>
              <w:tc>
                <w:tcPr>
                  <w:tcW w:w="364" w:type="pct"/>
                  <w:vAlign w:val="center"/>
                </w:tcPr>
                <w:p w14:paraId="543A8997">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0.175</w:t>
                  </w:r>
                </w:p>
              </w:tc>
            </w:tr>
            <w:tr w14:paraId="5737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6513E61D">
                  <w:pPr>
                    <w:adjustRightInd w:val="0"/>
                    <w:spacing w:line="240" w:lineRule="auto"/>
                    <w:jc w:val="center"/>
                    <w:rPr>
                      <w:rFonts w:hint="eastAsia"/>
                      <w:color w:val="auto"/>
                      <w:kern w:val="0"/>
                      <w:sz w:val="21"/>
                      <w:szCs w:val="21"/>
                      <w:lang w:eastAsia="zh-CN"/>
                    </w:rPr>
                  </w:pPr>
                </w:p>
              </w:tc>
              <w:tc>
                <w:tcPr>
                  <w:tcW w:w="429" w:type="pct"/>
                  <w:vAlign w:val="center"/>
                </w:tcPr>
                <w:p w14:paraId="352C400F">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配酸</w:t>
                  </w:r>
                </w:p>
              </w:tc>
              <w:tc>
                <w:tcPr>
                  <w:tcW w:w="354" w:type="pct"/>
                  <w:vAlign w:val="center"/>
                </w:tcPr>
                <w:p w14:paraId="6177220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5437435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olor w:val="auto"/>
                      <w:kern w:val="0"/>
                      <w:sz w:val="21"/>
                      <w:szCs w:val="21"/>
                      <w:lang w:val="en-US" w:eastAsia="zh-CN"/>
                    </w:rPr>
                    <w:t>HCl</w:t>
                  </w:r>
                </w:p>
              </w:tc>
              <w:tc>
                <w:tcPr>
                  <w:tcW w:w="421" w:type="pct"/>
                  <w:vAlign w:val="center"/>
                </w:tcPr>
                <w:p w14:paraId="7FB0435D">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0.0066</w:t>
                  </w:r>
                </w:p>
              </w:tc>
              <w:tc>
                <w:tcPr>
                  <w:tcW w:w="404" w:type="pct"/>
                  <w:vAlign w:val="center"/>
                </w:tcPr>
                <w:p w14:paraId="08852F93">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0.001</w:t>
                  </w:r>
                </w:p>
              </w:tc>
              <w:tc>
                <w:tcPr>
                  <w:tcW w:w="421" w:type="pct"/>
                  <w:vAlign w:val="center"/>
                </w:tcPr>
                <w:p w14:paraId="62BC8B1B">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0.25</w:t>
                  </w:r>
                </w:p>
              </w:tc>
              <w:tc>
                <w:tcPr>
                  <w:tcW w:w="345" w:type="pct"/>
                  <w:vMerge w:val="continue"/>
                  <w:vAlign w:val="center"/>
                </w:tcPr>
                <w:p w14:paraId="351AD8F5">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59E575F1">
                  <w:pPr>
                    <w:snapToGrid w:val="0"/>
                    <w:jc w:val="center"/>
                    <w:rPr>
                      <w:rFonts w:hint="eastAsia"/>
                      <w:color w:val="auto"/>
                      <w:kern w:val="0"/>
                      <w:sz w:val="21"/>
                      <w:szCs w:val="21"/>
                      <w:lang w:val="en-US" w:eastAsia="zh-CN"/>
                    </w:rPr>
                  </w:pPr>
                </w:p>
              </w:tc>
              <w:tc>
                <w:tcPr>
                  <w:tcW w:w="413" w:type="pct"/>
                  <w:vAlign w:val="center"/>
                </w:tcPr>
                <w:p w14:paraId="2D6762BA">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0.001</w:t>
                  </w:r>
                </w:p>
              </w:tc>
              <w:tc>
                <w:tcPr>
                  <w:tcW w:w="379" w:type="pct"/>
                  <w:vAlign w:val="center"/>
                </w:tcPr>
                <w:p w14:paraId="4DFED3CF">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0.0001</w:t>
                  </w:r>
                </w:p>
              </w:tc>
              <w:tc>
                <w:tcPr>
                  <w:tcW w:w="364" w:type="pct"/>
                  <w:vAlign w:val="center"/>
                </w:tcPr>
                <w:p w14:paraId="04CCF287">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0.025</w:t>
                  </w:r>
                </w:p>
              </w:tc>
            </w:tr>
            <w:tr w14:paraId="7EF8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2EA9FD16">
                  <w:pPr>
                    <w:adjustRightInd w:val="0"/>
                    <w:spacing w:line="240" w:lineRule="auto"/>
                    <w:jc w:val="center"/>
                    <w:rPr>
                      <w:rFonts w:hint="eastAsia"/>
                      <w:color w:val="auto"/>
                      <w:kern w:val="0"/>
                      <w:sz w:val="21"/>
                      <w:szCs w:val="21"/>
                      <w:lang w:eastAsia="zh-CN"/>
                    </w:rPr>
                  </w:pPr>
                </w:p>
              </w:tc>
              <w:tc>
                <w:tcPr>
                  <w:tcW w:w="429" w:type="pct"/>
                  <w:vMerge w:val="restart"/>
                  <w:vAlign w:val="center"/>
                </w:tcPr>
                <w:p w14:paraId="47E43AD9">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酸洗、干燥</w:t>
                  </w:r>
                </w:p>
                <w:p w14:paraId="17D22D55">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干燥</w:t>
                  </w:r>
                </w:p>
              </w:tc>
              <w:tc>
                <w:tcPr>
                  <w:tcW w:w="354" w:type="pct"/>
                  <w:vAlign w:val="center"/>
                </w:tcPr>
                <w:p w14:paraId="00F0F6F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03D1891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421" w:type="pct"/>
                  <w:vAlign w:val="center"/>
                </w:tcPr>
                <w:p w14:paraId="7E32E736">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0.028</w:t>
                  </w:r>
                </w:p>
              </w:tc>
              <w:tc>
                <w:tcPr>
                  <w:tcW w:w="404" w:type="pct"/>
                  <w:vAlign w:val="center"/>
                </w:tcPr>
                <w:p w14:paraId="159192C7">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0.004</w:t>
                  </w:r>
                </w:p>
              </w:tc>
              <w:tc>
                <w:tcPr>
                  <w:tcW w:w="421" w:type="pct"/>
                  <w:vAlign w:val="center"/>
                </w:tcPr>
                <w:p w14:paraId="52F5E4AD">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1.04</w:t>
                  </w:r>
                </w:p>
              </w:tc>
              <w:tc>
                <w:tcPr>
                  <w:tcW w:w="345" w:type="pct"/>
                  <w:vMerge w:val="continue"/>
                  <w:vAlign w:val="center"/>
                </w:tcPr>
                <w:p w14:paraId="43A8976D">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7EE16DEB">
                  <w:pPr>
                    <w:snapToGrid w:val="0"/>
                    <w:jc w:val="center"/>
                    <w:rPr>
                      <w:rFonts w:hint="eastAsia"/>
                      <w:color w:val="auto"/>
                      <w:kern w:val="0"/>
                      <w:sz w:val="21"/>
                      <w:szCs w:val="21"/>
                      <w:lang w:val="en-US" w:eastAsia="zh-CN"/>
                    </w:rPr>
                  </w:pPr>
                </w:p>
              </w:tc>
              <w:tc>
                <w:tcPr>
                  <w:tcW w:w="413" w:type="pct"/>
                  <w:vAlign w:val="center"/>
                </w:tcPr>
                <w:p w14:paraId="51E2C283">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0.003</w:t>
                  </w:r>
                </w:p>
              </w:tc>
              <w:tc>
                <w:tcPr>
                  <w:tcW w:w="379" w:type="pct"/>
                  <w:vAlign w:val="center"/>
                </w:tcPr>
                <w:p w14:paraId="04670EB7">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0.0004</w:t>
                  </w:r>
                </w:p>
              </w:tc>
              <w:tc>
                <w:tcPr>
                  <w:tcW w:w="364" w:type="pct"/>
                  <w:vAlign w:val="center"/>
                </w:tcPr>
                <w:p w14:paraId="68A6AA89">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0.104</w:t>
                  </w:r>
                </w:p>
              </w:tc>
            </w:tr>
            <w:tr w14:paraId="1BD7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0CB55153">
                  <w:pPr>
                    <w:adjustRightInd w:val="0"/>
                    <w:spacing w:line="240" w:lineRule="auto"/>
                    <w:jc w:val="center"/>
                    <w:rPr>
                      <w:rFonts w:hint="eastAsia"/>
                      <w:color w:val="auto"/>
                      <w:kern w:val="0"/>
                      <w:sz w:val="21"/>
                      <w:szCs w:val="21"/>
                      <w:lang w:eastAsia="zh-CN"/>
                    </w:rPr>
                  </w:pPr>
                </w:p>
              </w:tc>
              <w:tc>
                <w:tcPr>
                  <w:tcW w:w="429" w:type="pct"/>
                  <w:vMerge w:val="continue"/>
                  <w:vAlign w:val="center"/>
                </w:tcPr>
                <w:p w14:paraId="07CE465D">
                  <w:pPr>
                    <w:adjustRightInd w:val="0"/>
                    <w:spacing w:line="240" w:lineRule="auto"/>
                    <w:jc w:val="center"/>
                    <w:rPr>
                      <w:rFonts w:hint="eastAsia"/>
                      <w:color w:val="auto"/>
                      <w:kern w:val="0"/>
                      <w:sz w:val="21"/>
                      <w:szCs w:val="21"/>
                      <w:lang w:eastAsia="zh-CN"/>
                    </w:rPr>
                  </w:pPr>
                </w:p>
              </w:tc>
              <w:tc>
                <w:tcPr>
                  <w:tcW w:w="354" w:type="pct"/>
                  <w:vAlign w:val="center"/>
                </w:tcPr>
                <w:p w14:paraId="7F1EADE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0D8DD51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21" w:type="pct"/>
                  <w:vAlign w:val="center"/>
                </w:tcPr>
                <w:p w14:paraId="4B09D60D">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0.725</w:t>
                  </w:r>
                </w:p>
              </w:tc>
              <w:tc>
                <w:tcPr>
                  <w:tcW w:w="404" w:type="pct"/>
                  <w:vAlign w:val="center"/>
                </w:tcPr>
                <w:p w14:paraId="446B1906">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0.10</w:t>
                  </w:r>
                </w:p>
              </w:tc>
              <w:tc>
                <w:tcPr>
                  <w:tcW w:w="421" w:type="pct"/>
                  <w:vAlign w:val="center"/>
                </w:tcPr>
                <w:p w14:paraId="5DD3C3D4">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25.0</w:t>
                  </w:r>
                </w:p>
              </w:tc>
              <w:tc>
                <w:tcPr>
                  <w:tcW w:w="345" w:type="pct"/>
                  <w:vMerge w:val="continue"/>
                  <w:vAlign w:val="center"/>
                </w:tcPr>
                <w:p w14:paraId="5CC800DF">
                  <w:pPr>
                    <w:adjustRightInd w:val="0"/>
                    <w:spacing w:line="240" w:lineRule="auto"/>
                    <w:jc w:val="center"/>
                    <w:rPr>
                      <w:rFonts w:hint="eastAsia"/>
                      <w:color w:val="auto"/>
                      <w:kern w:val="0"/>
                      <w:sz w:val="21"/>
                      <w:szCs w:val="21"/>
                      <w:lang w:val="en-US" w:eastAsia="zh-CN"/>
                    </w:rPr>
                  </w:pPr>
                </w:p>
              </w:tc>
              <w:tc>
                <w:tcPr>
                  <w:tcW w:w="665" w:type="pct"/>
                  <w:vMerge w:val="continue"/>
                  <w:vAlign w:val="center"/>
                </w:tcPr>
                <w:p w14:paraId="15F8FB49">
                  <w:pPr>
                    <w:snapToGrid w:val="0"/>
                    <w:jc w:val="center"/>
                    <w:rPr>
                      <w:rFonts w:hint="eastAsia"/>
                      <w:color w:val="auto"/>
                      <w:kern w:val="0"/>
                      <w:sz w:val="21"/>
                      <w:szCs w:val="21"/>
                      <w:lang w:val="en-US" w:eastAsia="zh-CN"/>
                    </w:rPr>
                  </w:pPr>
                </w:p>
              </w:tc>
              <w:tc>
                <w:tcPr>
                  <w:tcW w:w="413" w:type="pct"/>
                  <w:vAlign w:val="center"/>
                </w:tcPr>
                <w:p w14:paraId="5F6546DB">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0.072</w:t>
                  </w:r>
                </w:p>
              </w:tc>
              <w:tc>
                <w:tcPr>
                  <w:tcW w:w="379" w:type="pct"/>
                  <w:vAlign w:val="center"/>
                </w:tcPr>
                <w:p w14:paraId="764726E6">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364" w:type="pct"/>
                  <w:vAlign w:val="center"/>
                </w:tcPr>
                <w:p w14:paraId="2D0B5B4A">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2.5</w:t>
                  </w:r>
                </w:p>
              </w:tc>
            </w:tr>
            <w:tr w14:paraId="7DD3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0" w:type="pct"/>
                  <w:vMerge w:val="continue"/>
                  <w:vAlign w:val="center"/>
                </w:tcPr>
                <w:p w14:paraId="1F354770">
                  <w:pPr>
                    <w:adjustRightInd w:val="0"/>
                    <w:spacing w:line="240" w:lineRule="auto"/>
                    <w:jc w:val="center"/>
                    <w:rPr>
                      <w:rFonts w:hint="eastAsia"/>
                      <w:color w:val="auto"/>
                      <w:kern w:val="0"/>
                      <w:sz w:val="21"/>
                      <w:szCs w:val="21"/>
                      <w:lang w:eastAsia="zh-CN"/>
                    </w:rPr>
                  </w:pPr>
                </w:p>
              </w:tc>
              <w:tc>
                <w:tcPr>
                  <w:tcW w:w="429" w:type="pct"/>
                  <w:vAlign w:val="center"/>
                </w:tcPr>
                <w:p w14:paraId="079AD62C">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粉碎</w:t>
                  </w:r>
                </w:p>
              </w:tc>
              <w:tc>
                <w:tcPr>
                  <w:tcW w:w="354" w:type="pct"/>
                  <w:vAlign w:val="center"/>
                </w:tcPr>
                <w:p w14:paraId="53EE832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有组织</w:t>
                  </w:r>
                </w:p>
              </w:tc>
              <w:tc>
                <w:tcPr>
                  <w:tcW w:w="429" w:type="pct"/>
                  <w:vAlign w:val="center"/>
                </w:tcPr>
                <w:p w14:paraId="279861AA">
                  <w:pPr>
                    <w:jc w:val="center"/>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21" w:type="pct"/>
                  <w:vAlign w:val="center"/>
                </w:tcPr>
                <w:p w14:paraId="26BBDECD">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1.073</w:t>
                  </w:r>
                </w:p>
              </w:tc>
              <w:tc>
                <w:tcPr>
                  <w:tcW w:w="404" w:type="pct"/>
                  <w:vAlign w:val="center"/>
                </w:tcPr>
                <w:p w14:paraId="49A6DFD7">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0.15</w:t>
                  </w:r>
                </w:p>
              </w:tc>
              <w:tc>
                <w:tcPr>
                  <w:tcW w:w="421" w:type="pct"/>
                  <w:vAlign w:val="center"/>
                </w:tcPr>
                <w:p w14:paraId="28F8A6DB">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50.9</w:t>
                  </w:r>
                </w:p>
              </w:tc>
              <w:tc>
                <w:tcPr>
                  <w:tcW w:w="345" w:type="pct"/>
                  <w:vAlign w:val="center"/>
                </w:tcPr>
                <w:p w14:paraId="1266F410">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3000</w:t>
                  </w:r>
                </w:p>
              </w:tc>
              <w:tc>
                <w:tcPr>
                  <w:tcW w:w="665" w:type="pct"/>
                  <w:vAlign w:val="center"/>
                </w:tcPr>
                <w:p w14:paraId="3E805AFA">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布袋除尘器+1根20m高排气筒（DA004）</w:t>
                  </w:r>
                </w:p>
              </w:tc>
              <w:tc>
                <w:tcPr>
                  <w:tcW w:w="413" w:type="pct"/>
                  <w:vAlign w:val="center"/>
                </w:tcPr>
                <w:p w14:paraId="497F7E9D">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0.011</w:t>
                  </w:r>
                </w:p>
              </w:tc>
              <w:tc>
                <w:tcPr>
                  <w:tcW w:w="379" w:type="pct"/>
                  <w:vAlign w:val="center"/>
                </w:tcPr>
                <w:p w14:paraId="29F3261F">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0.0015</w:t>
                  </w:r>
                </w:p>
              </w:tc>
              <w:tc>
                <w:tcPr>
                  <w:tcW w:w="364" w:type="pct"/>
                  <w:vAlign w:val="center"/>
                </w:tcPr>
                <w:p w14:paraId="25A305C3">
                  <w:pPr>
                    <w:adjustRightInd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0.51</w:t>
                  </w:r>
                </w:p>
              </w:tc>
            </w:tr>
          </w:tbl>
          <w:p w14:paraId="0F09C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color w:val="auto"/>
                <w:kern w:val="0"/>
                <w:sz w:val="21"/>
                <w:szCs w:val="21"/>
              </w:rPr>
            </w:pPr>
          </w:p>
          <w:p w14:paraId="5ED37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b/>
                <w:color w:val="auto"/>
                <w:kern w:val="0"/>
                <w:sz w:val="21"/>
                <w:szCs w:val="21"/>
              </w:rPr>
            </w:pPr>
            <w:r>
              <w:rPr>
                <w:rFonts w:hint="eastAsia" w:hAnsi="宋体"/>
                <w:b/>
                <w:color w:val="auto"/>
                <w:kern w:val="0"/>
                <w:sz w:val="21"/>
                <w:szCs w:val="21"/>
              </w:rPr>
              <w:t>表4-</w:t>
            </w:r>
            <w:r>
              <w:rPr>
                <w:rFonts w:hint="eastAsia" w:hAnsi="宋体"/>
                <w:b/>
                <w:color w:val="auto"/>
                <w:kern w:val="0"/>
                <w:sz w:val="21"/>
                <w:szCs w:val="21"/>
                <w:lang w:val="en-US" w:eastAsia="zh-CN"/>
              </w:rPr>
              <w:t xml:space="preserve">4 </w:t>
            </w:r>
            <w:r>
              <w:rPr>
                <w:rFonts w:hint="eastAsia" w:hAnsi="宋体"/>
                <w:b/>
                <w:color w:val="auto"/>
                <w:kern w:val="0"/>
                <w:sz w:val="21"/>
                <w:szCs w:val="21"/>
                <w:lang w:eastAsia="zh-CN"/>
              </w:rPr>
              <w:t>项目无组织废气产排</w:t>
            </w:r>
            <w:r>
              <w:rPr>
                <w:rFonts w:hint="eastAsia" w:hAnsi="宋体"/>
                <w:b/>
                <w:color w:val="auto"/>
                <w:kern w:val="0"/>
                <w:sz w:val="21"/>
                <w:szCs w:val="21"/>
              </w:rPr>
              <w:t>情况一览表</w:t>
            </w:r>
          </w:p>
          <w:tbl>
            <w:tblPr>
              <w:tblStyle w:val="25"/>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826"/>
              <w:gridCol w:w="872"/>
              <w:gridCol w:w="1005"/>
              <w:gridCol w:w="1485"/>
              <w:gridCol w:w="840"/>
              <w:gridCol w:w="812"/>
              <w:gridCol w:w="746"/>
              <w:gridCol w:w="685"/>
            </w:tblGrid>
            <w:tr w14:paraId="0F89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restart"/>
                  <w:noWrap w:val="0"/>
                  <w:vAlign w:val="center"/>
                </w:tcPr>
                <w:p w14:paraId="41E7EAB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w:t>
                  </w:r>
                </w:p>
              </w:tc>
              <w:tc>
                <w:tcPr>
                  <w:tcW w:w="1028" w:type="pct"/>
                  <w:vMerge w:val="restart"/>
                  <w:noWrap w:val="0"/>
                  <w:vAlign w:val="center"/>
                </w:tcPr>
                <w:p w14:paraId="6F52EDFC">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ascii="Times New Roman" w:hAnsi="Times New Roman" w:eastAsia="宋体" w:cs="Times New Roman"/>
                      <w:color w:val="auto"/>
                      <w:kern w:val="0"/>
                      <w:sz w:val="21"/>
                      <w:szCs w:val="21"/>
                      <w:lang w:val="en-US" w:eastAsia="zh-CN" w:bidi="ar-SA"/>
                    </w:rPr>
                  </w:pPr>
                  <w:r>
                    <w:rPr>
                      <w:rFonts w:hint="eastAsia" w:eastAsia="宋体"/>
                      <w:color w:val="auto"/>
                      <w:kern w:val="0"/>
                      <w:sz w:val="21"/>
                      <w:szCs w:val="21"/>
                      <w:lang w:eastAsia="zh-CN"/>
                    </w:rPr>
                    <w:t>污染工序</w:t>
                  </w:r>
                </w:p>
              </w:tc>
              <w:tc>
                <w:tcPr>
                  <w:tcW w:w="491" w:type="pct"/>
                  <w:vMerge w:val="restart"/>
                  <w:noWrap w:val="0"/>
                  <w:vAlign w:val="center"/>
                </w:tcPr>
                <w:p w14:paraId="0DB0BDEB">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w:t>
                  </w:r>
                </w:p>
              </w:tc>
              <w:tc>
                <w:tcPr>
                  <w:tcW w:w="566" w:type="pct"/>
                  <w:vMerge w:val="restart"/>
                  <w:noWrap w:val="0"/>
                  <w:vAlign w:val="center"/>
                </w:tcPr>
                <w:p w14:paraId="215F307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产生</w:t>
                  </w:r>
                  <w:r>
                    <w:rPr>
                      <w:rFonts w:hint="default" w:ascii="Times New Roman" w:hAnsi="Times New Roman" w:eastAsia="宋体" w:cs="Times New Roman"/>
                      <w:color w:val="auto"/>
                      <w:kern w:val="0"/>
                      <w:sz w:val="21"/>
                      <w:szCs w:val="21"/>
                      <w:lang w:val="en-US" w:eastAsia="zh-CN" w:bidi="ar-SA"/>
                    </w:rPr>
                    <w:t>量（t/a）</w:t>
                  </w:r>
                </w:p>
              </w:tc>
              <w:tc>
                <w:tcPr>
                  <w:tcW w:w="836" w:type="pct"/>
                  <w:vMerge w:val="restart"/>
                  <w:noWrap w:val="0"/>
                  <w:vAlign w:val="center"/>
                </w:tcPr>
                <w:p w14:paraId="2574113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治理措施</w:t>
                  </w:r>
                </w:p>
              </w:tc>
              <w:tc>
                <w:tcPr>
                  <w:tcW w:w="473" w:type="pct"/>
                  <w:vMerge w:val="restart"/>
                  <w:noWrap w:val="0"/>
                  <w:vAlign w:val="center"/>
                </w:tcPr>
                <w:p w14:paraId="4420DA6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排放量（t/a）</w:t>
                  </w:r>
                </w:p>
              </w:tc>
              <w:tc>
                <w:tcPr>
                  <w:tcW w:w="457" w:type="pct"/>
                  <w:vMerge w:val="restart"/>
                  <w:noWrap w:val="0"/>
                  <w:vAlign w:val="center"/>
                </w:tcPr>
                <w:p w14:paraId="5DD76DC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w:t>
                  </w:r>
                  <w:r>
                    <w:rPr>
                      <w:rFonts w:hint="eastAsia" w:eastAsia="宋体" w:cs="Times New Roman"/>
                      <w:color w:val="auto"/>
                      <w:kern w:val="0"/>
                      <w:sz w:val="21"/>
                      <w:szCs w:val="21"/>
                      <w:lang w:val="en-US" w:eastAsia="zh-CN" w:bidi="ar-SA"/>
                    </w:rPr>
                    <w:t>速率</w:t>
                  </w:r>
                  <w:r>
                    <w:rPr>
                      <w:rFonts w:hint="default" w:ascii="Times New Roman" w:hAnsi="Times New Roman" w:eastAsia="宋体" w:cs="Times New Roman"/>
                      <w:color w:val="auto"/>
                      <w:kern w:val="0"/>
                      <w:sz w:val="21"/>
                      <w:szCs w:val="21"/>
                      <w:lang w:val="en-US" w:eastAsia="zh-CN" w:bidi="ar-SA"/>
                    </w:rPr>
                    <w:t>（</w:t>
                  </w:r>
                  <w:r>
                    <w:rPr>
                      <w:rFonts w:hint="eastAsia"/>
                      <w:color w:val="auto"/>
                      <w:kern w:val="0"/>
                      <w:sz w:val="21"/>
                      <w:szCs w:val="21"/>
                    </w:rPr>
                    <w:t>kg/h</w:t>
                  </w:r>
                  <w:r>
                    <w:rPr>
                      <w:rFonts w:hint="default" w:ascii="Times New Roman" w:hAnsi="Times New Roman" w:eastAsia="宋体" w:cs="Times New Roman"/>
                      <w:color w:val="auto"/>
                      <w:kern w:val="0"/>
                      <w:sz w:val="21"/>
                      <w:szCs w:val="21"/>
                      <w:lang w:val="en-US" w:eastAsia="zh-CN" w:bidi="ar-SA"/>
                    </w:rPr>
                    <w:t>）</w:t>
                  </w:r>
                </w:p>
              </w:tc>
              <w:tc>
                <w:tcPr>
                  <w:tcW w:w="806" w:type="pct"/>
                  <w:gridSpan w:val="2"/>
                  <w:noWrap w:val="0"/>
                  <w:vAlign w:val="center"/>
                </w:tcPr>
                <w:p w14:paraId="7469B64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面源参数</w:t>
                  </w:r>
                </w:p>
              </w:tc>
            </w:tr>
            <w:tr w14:paraId="4D0C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4198837B">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1028" w:type="pct"/>
                  <w:vMerge w:val="continue"/>
                  <w:noWrap w:val="0"/>
                  <w:vAlign w:val="center"/>
                </w:tcPr>
                <w:p w14:paraId="63C4ACEC">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91" w:type="pct"/>
                  <w:vMerge w:val="continue"/>
                  <w:noWrap w:val="0"/>
                  <w:vAlign w:val="center"/>
                </w:tcPr>
                <w:p w14:paraId="55AC5F6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566" w:type="pct"/>
                  <w:vMerge w:val="continue"/>
                  <w:noWrap w:val="0"/>
                  <w:vAlign w:val="center"/>
                </w:tcPr>
                <w:p w14:paraId="5042D858">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836" w:type="pct"/>
                  <w:vMerge w:val="continue"/>
                  <w:noWrap w:val="0"/>
                  <w:vAlign w:val="center"/>
                </w:tcPr>
                <w:p w14:paraId="73608F7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73" w:type="pct"/>
                  <w:vMerge w:val="continue"/>
                  <w:noWrap w:val="0"/>
                  <w:vAlign w:val="center"/>
                </w:tcPr>
                <w:p w14:paraId="2928D72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57" w:type="pct"/>
                  <w:vMerge w:val="continue"/>
                  <w:noWrap w:val="0"/>
                  <w:vAlign w:val="center"/>
                </w:tcPr>
                <w:p w14:paraId="4E80FD94">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p>
              </w:tc>
              <w:tc>
                <w:tcPr>
                  <w:tcW w:w="420" w:type="pct"/>
                  <w:noWrap w:val="0"/>
                  <w:vAlign w:val="center"/>
                </w:tcPr>
                <w:p w14:paraId="33CDDD8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面积（m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w:t>
                  </w:r>
                </w:p>
              </w:tc>
              <w:tc>
                <w:tcPr>
                  <w:tcW w:w="385" w:type="pct"/>
                  <w:noWrap w:val="0"/>
                  <w:vAlign w:val="center"/>
                </w:tcPr>
                <w:p w14:paraId="7ADD321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高度（m）</w:t>
                  </w:r>
                </w:p>
              </w:tc>
            </w:tr>
            <w:tr w14:paraId="7C71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restart"/>
                  <w:noWrap w:val="0"/>
                  <w:vAlign w:val="center"/>
                </w:tcPr>
                <w:p w14:paraId="3D0AD2F0">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1#车间</w:t>
                  </w:r>
                </w:p>
              </w:tc>
              <w:tc>
                <w:tcPr>
                  <w:tcW w:w="1028" w:type="pct"/>
                  <w:noWrap w:val="0"/>
                  <w:vAlign w:val="center"/>
                </w:tcPr>
                <w:p w14:paraId="2AAC6102">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盐酸储罐呼吸、配酸</w:t>
                  </w:r>
                </w:p>
              </w:tc>
              <w:tc>
                <w:tcPr>
                  <w:tcW w:w="491" w:type="pct"/>
                  <w:noWrap w:val="0"/>
                  <w:vAlign w:val="center"/>
                </w:tcPr>
                <w:p w14:paraId="0241994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olor w:val="auto"/>
                      <w:kern w:val="0"/>
                      <w:sz w:val="21"/>
                      <w:szCs w:val="21"/>
                      <w:lang w:val="en-US" w:eastAsia="zh-CN"/>
                    </w:rPr>
                    <w:t>HCl</w:t>
                  </w:r>
                </w:p>
              </w:tc>
              <w:tc>
                <w:tcPr>
                  <w:tcW w:w="1005" w:type="dxa"/>
                  <w:noWrap w:val="0"/>
                  <w:vAlign w:val="center"/>
                </w:tcPr>
                <w:p w14:paraId="642156D2">
                  <w:pPr>
                    <w:adjustRightInd w:val="0"/>
                    <w:spacing w:line="240" w:lineRule="auto"/>
                    <w:jc w:val="center"/>
                    <w:rPr>
                      <w:rFonts w:hint="default"/>
                      <w:kern w:val="0"/>
                      <w:sz w:val="21"/>
                      <w:szCs w:val="21"/>
                      <w:lang w:val="en-US" w:eastAsia="zh-CN"/>
                    </w:rPr>
                  </w:pPr>
                  <w:r>
                    <w:rPr>
                      <w:rFonts w:hint="eastAsia" w:cs="Times New Roman"/>
                      <w:color w:val="auto"/>
                      <w:kern w:val="0"/>
                      <w:sz w:val="21"/>
                      <w:szCs w:val="21"/>
                      <w:lang w:val="en-US" w:eastAsia="zh-CN" w:bidi="ar-SA"/>
                    </w:rPr>
                    <w:t>0.005</w:t>
                  </w:r>
                </w:p>
              </w:tc>
              <w:tc>
                <w:tcPr>
                  <w:tcW w:w="836" w:type="pct"/>
                  <w:vMerge w:val="restart"/>
                  <w:noWrap w:val="0"/>
                  <w:vAlign w:val="center"/>
                </w:tcPr>
                <w:p w14:paraId="066B2618">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kern w:val="0"/>
                      <w:sz w:val="21"/>
                      <w:szCs w:val="21"/>
                      <w:lang w:eastAsia="zh-CN"/>
                    </w:rPr>
                  </w:pPr>
                  <w:r>
                    <w:rPr>
                      <w:rFonts w:hint="eastAsia" w:cs="Times New Roman"/>
                      <w:color w:val="auto"/>
                      <w:kern w:val="0"/>
                      <w:sz w:val="21"/>
                      <w:szCs w:val="21"/>
                      <w:lang w:val="en-US" w:eastAsia="zh-CN" w:bidi="ar-SA"/>
                    </w:rPr>
                    <w:t>封闭车间，加强废气收集效率</w:t>
                  </w:r>
                </w:p>
              </w:tc>
              <w:tc>
                <w:tcPr>
                  <w:tcW w:w="473" w:type="pct"/>
                  <w:noWrap w:val="0"/>
                  <w:vAlign w:val="center"/>
                </w:tcPr>
                <w:p w14:paraId="063D931F">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0.005</w:t>
                  </w:r>
                </w:p>
              </w:tc>
              <w:tc>
                <w:tcPr>
                  <w:tcW w:w="457" w:type="pct"/>
                  <w:noWrap w:val="0"/>
                  <w:vAlign w:val="center"/>
                </w:tcPr>
                <w:p w14:paraId="5F45C2F9">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0.0007</w:t>
                  </w:r>
                </w:p>
              </w:tc>
              <w:tc>
                <w:tcPr>
                  <w:tcW w:w="420" w:type="pct"/>
                  <w:vMerge w:val="restart"/>
                  <w:noWrap w:val="0"/>
                  <w:vAlign w:val="center"/>
                </w:tcPr>
                <w:p w14:paraId="7CC0D10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21300</w:t>
                  </w:r>
                </w:p>
              </w:tc>
              <w:tc>
                <w:tcPr>
                  <w:tcW w:w="385" w:type="pct"/>
                  <w:vMerge w:val="restart"/>
                  <w:noWrap w:val="0"/>
                  <w:vAlign w:val="center"/>
                </w:tcPr>
                <w:p w14:paraId="67DA8E7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13.15</w:t>
                  </w:r>
                </w:p>
              </w:tc>
            </w:tr>
            <w:tr w14:paraId="3935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341" w:type="pct"/>
                  <w:vMerge w:val="continue"/>
                  <w:noWrap w:val="0"/>
                  <w:vAlign w:val="center"/>
                </w:tcPr>
                <w:p w14:paraId="7C92518F">
                  <w:pPr>
                    <w:adjustRightInd w:val="0"/>
                    <w:spacing w:line="240" w:lineRule="auto"/>
                    <w:jc w:val="center"/>
                    <w:rPr>
                      <w:rFonts w:hint="eastAsia"/>
                      <w:color w:val="auto"/>
                      <w:kern w:val="0"/>
                      <w:sz w:val="21"/>
                      <w:szCs w:val="21"/>
                      <w:lang w:val="en-US" w:eastAsia="zh-CN"/>
                    </w:rPr>
                  </w:pPr>
                </w:p>
              </w:tc>
              <w:tc>
                <w:tcPr>
                  <w:tcW w:w="1028" w:type="pct"/>
                  <w:vMerge w:val="restart"/>
                  <w:noWrap w:val="0"/>
                  <w:vAlign w:val="center"/>
                </w:tcPr>
                <w:p w14:paraId="328A5B01">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酸洗、干燥</w:t>
                  </w:r>
                </w:p>
              </w:tc>
              <w:tc>
                <w:tcPr>
                  <w:tcW w:w="491" w:type="pct"/>
                  <w:noWrap w:val="0"/>
                  <w:vAlign w:val="center"/>
                </w:tcPr>
                <w:p w14:paraId="468735F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1005" w:type="dxa"/>
                  <w:noWrap w:val="0"/>
                  <w:vAlign w:val="center"/>
                </w:tcPr>
                <w:p w14:paraId="56FFC90A">
                  <w:pPr>
                    <w:adjustRightInd w:val="0"/>
                    <w:spacing w:line="240" w:lineRule="auto"/>
                    <w:jc w:val="center"/>
                    <w:rPr>
                      <w:rFonts w:hint="eastAsia"/>
                      <w:kern w:val="0"/>
                      <w:sz w:val="21"/>
                      <w:szCs w:val="21"/>
                      <w:lang w:val="en-US" w:eastAsia="zh-CN"/>
                    </w:rPr>
                  </w:pPr>
                  <w:r>
                    <w:rPr>
                      <w:rFonts w:hint="eastAsia" w:cs="Times New Roman"/>
                      <w:color w:val="auto"/>
                      <w:kern w:val="0"/>
                      <w:sz w:val="21"/>
                      <w:szCs w:val="21"/>
                      <w:lang w:val="en-US" w:eastAsia="zh-CN" w:bidi="ar-SA"/>
                    </w:rPr>
                    <w:t>0.006</w:t>
                  </w:r>
                </w:p>
              </w:tc>
              <w:tc>
                <w:tcPr>
                  <w:tcW w:w="836" w:type="pct"/>
                  <w:vMerge w:val="continue"/>
                  <w:noWrap w:val="0"/>
                  <w:vAlign w:val="center"/>
                </w:tcPr>
                <w:p w14:paraId="71ABE0A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473" w:type="pct"/>
                  <w:noWrap w:val="0"/>
                  <w:vAlign w:val="center"/>
                </w:tcPr>
                <w:p w14:paraId="3075D000">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0.006</w:t>
                  </w:r>
                </w:p>
              </w:tc>
              <w:tc>
                <w:tcPr>
                  <w:tcW w:w="457" w:type="pct"/>
                  <w:noWrap w:val="0"/>
                  <w:vAlign w:val="center"/>
                </w:tcPr>
                <w:p w14:paraId="436B1DF5">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0.0008</w:t>
                  </w:r>
                </w:p>
              </w:tc>
              <w:tc>
                <w:tcPr>
                  <w:tcW w:w="420" w:type="pct"/>
                  <w:vMerge w:val="continue"/>
                  <w:noWrap w:val="0"/>
                  <w:vAlign w:val="center"/>
                </w:tcPr>
                <w:p w14:paraId="4EDB03B7">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385" w:type="pct"/>
                  <w:vMerge w:val="continue"/>
                  <w:noWrap w:val="0"/>
                  <w:vAlign w:val="center"/>
                </w:tcPr>
                <w:p w14:paraId="77EB98C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06A9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41" w:type="pct"/>
                  <w:vMerge w:val="continue"/>
                  <w:noWrap w:val="0"/>
                  <w:vAlign w:val="center"/>
                </w:tcPr>
                <w:p w14:paraId="5B56D2DE">
                  <w:pPr>
                    <w:adjustRightInd w:val="0"/>
                    <w:spacing w:line="240" w:lineRule="auto"/>
                    <w:jc w:val="center"/>
                    <w:rPr>
                      <w:rFonts w:hint="eastAsia"/>
                      <w:color w:val="auto"/>
                      <w:kern w:val="0"/>
                      <w:sz w:val="21"/>
                      <w:szCs w:val="21"/>
                      <w:lang w:val="en-US" w:eastAsia="zh-CN"/>
                    </w:rPr>
                  </w:pPr>
                </w:p>
              </w:tc>
              <w:tc>
                <w:tcPr>
                  <w:tcW w:w="1028" w:type="pct"/>
                  <w:vMerge w:val="continue"/>
                  <w:noWrap w:val="0"/>
                  <w:vAlign w:val="center"/>
                </w:tcPr>
                <w:p w14:paraId="7E102021">
                  <w:pPr>
                    <w:adjustRightInd w:val="0"/>
                    <w:spacing w:line="240" w:lineRule="auto"/>
                    <w:jc w:val="center"/>
                    <w:rPr>
                      <w:rFonts w:hint="eastAsia" w:cs="Times New Roman"/>
                      <w:b w:val="0"/>
                      <w:bCs w:val="0"/>
                      <w:color w:val="auto"/>
                      <w:kern w:val="0"/>
                      <w:sz w:val="21"/>
                      <w:szCs w:val="21"/>
                      <w:lang w:val="en-US" w:eastAsia="zh-CN"/>
                    </w:rPr>
                  </w:pPr>
                </w:p>
              </w:tc>
              <w:tc>
                <w:tcPr>
                  <w:tcW w:w="491" w:type="pct"/>
                  <w:noWrap w:val="0"/>
                  <w:vAlign w:val="center"/>
                </w:tcPr>
                <w:p w14:paraId="0E80D98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s="Times New Roman"/>
                      <w:color w:val="auto"/>
                      <w:sz w:val="21"/>
                      <w:szCs w:val="21"/>
                      <w:lang w:val="en-US" w:eastAsia="zh-CN"/>
                    </w:rPr>
                    <w:t>颗粒物</w:t>
                  </w:r>
                </w:p>
              </w:tc>
              <w:tc>
                <w:tcPr>
                  <w:tcW w:w="1005" w:type="dxa"/>
                  <w:noWrap w:val="0"/>
                  <w:vAlign w:val="center"/>
                </w:tcPr>
                <w:p w14:paraId="67FB42A0">
                  <w:pPr>
                    <w:adjustRightInd w:val="0"/>
                    <w:spacing w:line="240" w:lineRule="auto"/>
                    <w:jc w:val="center"/>
                    <w:rPr>
                      <w:rFonts w:hint="eastAsia"/>
                      <w:kern w:val="0"/>
                      <w:sz w:val="21"/>
                      <w:szCs w:val="21"/>
                      <w:lang w:val="en-US" w:eastAsia="zh-CN"/>
                    </w:rPr>
                  </w:pPr>
                  <w:r>
                    <w:rPr>
                      <w:rFonts w:hint="eastAsia" w:cs="Times New Roman"/>
                      <w:color w:val="auto"/>
                      <w:kern w:val="0"/>
                      <w:sz w:val="21"/>
                      <w:szCs w:val="21"/>
                      <w:lang w:val="en-US" w:eastAsia="zh-CN" w:bidi="ar-SA"/>
                    </w:rPr>
                    <w:t>0.153</w:t>
                  </w:r>
                </w:p>
              </w:tc>
              <w:tc>
                <w:tcPr>
                  <w:tcW w:w="836" w:type="pct"/>
                  <w:vMerge w:val="continue"/>
                  <w:noWrap w:val="0"/>
                  <w:vAlign w:val="center"/>
                </w:tcPr>
                <w:p w14:paraId="4DD6588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473" w:type="pct"/>
                  <w:noWrap w:val="0"/>
                  <w:vAlign w:val="center"/>
                </w:tcPr>
                <w:p w14:paraId="3DDFCA3A">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0.153</w:t>
                  </w:r>
                </w:p>
              </w:tc>
              <w:tc>
                <w:tcPr>
                  <w:tcW w:w="457" w:type="pct"/>
                  <w:noWrap w:val="0"/>
                  <w:vAlign w:val="center"/>
                </w:tcPr>
                <w:p w14:paraId="68550107">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0.02</w:t>
                  </w:r>
                </w:p>
              </w:tc>
              <w:tc>
                <w:tcPr>
                  <w:tcW w:w="420" w:type="pct"/>
                  <w:vMerge w:val="continue"/>
                  <w:noWrap w:val="0"/>
                  <w:vAlign w:val="center"/>
                </w:tcPr>
                <w:p w14:paraId="0FE4CF8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385" w:type="pct"/>
                  <w:vMerge w:val="continue"/>
                  <w:noWrap w:val="0"/>
                  <w:vAlign w:val="center"/>
                </w:tcPr>
                <w:p w14:paraId="04D85C3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5EA9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1C01BBF3">
                  <w:pPr>
                    <w:adjustRightInd w:val="0"/>
                    <w:spacing w:line="240" w:lineRule="auto"/>
                    <w:jc w:val="center"/>
                    <w:rPr>
                      <w:rFonts w:hint="eastAsia"/>
                      <w:b w:val="0"/>
                      <w:bCs/>
                      <w:color w:val="auto"/>
                      <w:sz w:val="21"/>
                      <w:szCs w:val="21"/>
                      <w:lang w:val="en-US" w:eastAsia="zh-CN"/>
                    </w:rPr>
                  </w:pPr>
                </w:p>
              </w:tc>
              <w:tc>
                <w:tcPr>
                  <w:tcW w:w="1028" w:type="pct"/>
                  <w:noWrap w:val="0"/>
                  <w:vAlign w:val="center"/>
                </w:tcPr>
                <w:p w14:paraId="5DF9A46C">
                  <w:pPr>
                    <w:adjustRightInd w:val="0"/>
                    <w:spacing w:line="240" w:lineRule="auto"/>
                    <w:jc w:val="center"/>
                    <w:rPr>
                      <w:rFonts w:hint="eastAsia" w:cs="Times New Roman"/>
                      <w:b w:val="0"/>
                      <w:bCs w:val="0"/>
                      <w:color w:val="auto"/>
                      <w:kern w:val="0"/>
                      <w:sz w:val="21"/>
                      <w:szCs w:val="21"/>
                      <w:lang w:val="en-US" w:eastAsia="zh-CN"/>
                    </w:rPr>
                  </w:pPr>
                  <w:r>
                    <w:rPr>
                      <w:rFonts w:hint="eastAsia"/>
                      <w:color w:val="auto"/>
                      <w:kern w:val="0"/>
                      <w:sz w:val="21"/>
                      <w:szCs w:val="21"/>
                      <w:lang w:eastAsia="zh-CN"/>
                    </w:rPr>
                    <w:t>粉碎</w:t>
                  </w:r>
                </w:p>
              </w:tc>
              <w:tc>
                <w:tcPr>
                  <w:tcW w:w="491" w:type="pct"/>
                  <w:noWrap w:val="0"/>
                  <w:vAlign w:val="center"/>
                </w:tcPr>
                <w:p w14:paraId="1AE43D1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color w:val="auto"/>
                      <w:sz w:val="21"/>
                      <w:szCs w:val="21"/>
                      <w:lang w:val="en-US" w:eastAsia="zh-CN"/>
                    </w:rPr>
                    <w:t>颗粒物</w:t>
                  </w:r>
                </w:p>
              </w:tc>
              <w:tc>
                <w:tcPr>
                  <w:tcW w:w="1005" w:type="dxa"/>
                  <w:noWrap w:val="0"/>
                  <w:vAlign w:val="center"/>
                </w:tcPr>
                <w:p w14:paraId="05847F69">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0.226</w:t>
                  </w:r>
                </w:p>
              </w:tc>
              <w:tc>
                <w:tcPr>
                  <w:tcW w:w="836" w:type="pct"/>
                  <w:vMerge w:val="continue"/>
                  <w:noWrap w:val="0"/>
                  <w:vAlign w:val="center"/>
                </w:tcPr>
                <w:p w14:paraId="3D81BF24">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473" w:type="pct"/>
                  <w:noWrap w:val="0"/>
                  <w:vAlign w:val="center"/>
                </w:tcPr>
                <w:p w14:paraId="026CA828">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0.226</w:t>
                  </w:r>
                </w:p>
              </w:tc>
              <w:tc>
                <w:tcPr>
                  <w:tcW w:w="457" w:type="pct"/>
                  <w:noWrap w:val="0"/>
                  <w:vAlign w:val="center"/>
                </w:tcPr>
                <w:p w14:paraId="03BB8326">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0.031</w:t>
                  </w:r>
                </w:p>
              </w:tc>
              <w:tc>
                <w:tcPr>
                  <w:tcW w:w="420" w:type="pct"/>
                  <w:vMerge w:val="continue"/>
                  <w:noWrap w:val="0"/>
                  <w:vAlign w:val="center"/>
                </w:tcPr>
                <w:p w14:paraId="1220C521">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385" w:type="pct"/>
                  <w:vMerge w:val="continue"/>
                  <w:noWrap w:val="0"/>
                  <w:vAlign w:val="center"/>
                </w:tcPr>
                <w:p w14:paraId="56FCA27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7461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787093B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b w:val="0"/>
                      <w:bCs/>
                      <w:color w:val="auto"/>
                      <w:sz w:val="21"/>
                      <w:szCs w:val="21"/>
                      <w:lang w:val="en-US" w:eastAsia="zh-CN"/>
                    </w:rPr>
                  </w:pPr>
                </w:p>
              </w:tc>
              <w:tc>
                <w:tcPr>
                  <w:tcW w:w="1028" w:type="pct"/>
                  <w:noWrap w:val="0"/>
                  <w:vAlign w:val="center"/>
                </w:tcPr>
                <w:p w14:paraId="5EA345FD">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拆包、输送、包装</w:t>
                  </w:r>
                </w:p>
              </w:tc>
              <w:tc>
                <w:tcPr>
                  <w:tcW w:w="491" w:type="pct"/>
                  <w:noWrap w:val="0"/>
                  <w:vAlign w:val="center"/>
                </w:tcPr>
                <w:p w14:paraId="2CCC675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color w:val="auto"/>
                      <w:sz w:val="21"/>
                      <w:szCs w:val="21"/>
                      <w:lang w:val="en-US" w:eastAsia="zh-CN"/>
                    </w:rPr>
                    <w:t>颗粒物</w:t>
                  </w:r>
                </w:p>
              </w:tc>
              <w:tc>
                <w:tcPr>
                  <w:tcW w:w="566" w:type="pct"/>
                  <w:noWrap w:val="0"/>
                  <w:vAlign w:val="center"/>
                </w:tcPr>
                <w:p w14:paraId="3374B013">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4.472</w:t>
                  </w:r>
                </w:p>
              </w:tc>
              <w:tc>
                <w:tcPr>
                  <w:tcW w:w="836" w:type="pct"/>
                  <w:noWrap w:val="0"/>
                  <w:vAlign w:val="center"/>
                </w:tcPr>
                <w:p w14:paraId="2001D8A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滤芯除尘</w:t>
                  </w:r>
                </w:p>
              </w:tc>
              <w:tc>
                <w:tcPr>
                  <w:tcW w:w="473" w:type="pct"/>
                  <w:noWrap w:val="0"/>
                  <w:vAlign w:val="center"/>
                </w:tcPr>
                <w:p w14:paraId="2F6C9668">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0.266</w:t>
                  </w:r>
                </w:p>
              </w:tc>
              <w:tc>
                <w:tcPr>
                  <w:tcW w:w="457" w:type="pct"/>
                  <w:noWrap w:val="0"/>
                  <w:vAlign w:val="center"/>
                </w:tcPr>
                <w:p w14:paraId="7CBE074B">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0.0366</w:t>
                  </w:r>
                </w:p>
              </w:tc>
              <w:tc>
                <w:tcPr>
                  <w:tcW w:w="420" w:type="pct"/>
                  <w:vMerge w:val="continue"/>
                  <w:noWrap w:val="0"/>
                  <w:vAlign w:val="center"/>
                </w:tcPr>
                <w:p w14:paraId="254A52A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385" w:type="pct"/>
                  <w:vMerge w:val="continue"/>
                  <w:noWrap w:val="0"/>
                  <w:vAlign w:val="center"/>
                </w:tcPr>
                <w:p w14:paraId="0D927DE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0F0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restart"/>
                  <w:noWrap w:val="0"/>
                  <w:vAlign w:val="center"/>
                </w:tcPr>
                <w:p w14:paraId="399FFEF7">
                  <w:pPr>
                    <w:adjustRightInd w:val="0"/>
                    <w:spacing w:line="240" w:lineRule="auto"/>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2#车间</w:t>
                  </w:r>
                </w:p>
              </w:tc>
              <w:tc>
                <w:tcPr>
                  <w:tcW w:w="1028" w:type="pct"/>
                  <w:noWrap w:val="0"/>
                  <w:vAlign w:val="center"/>
                </w:tcPr>
                <w:p w14:paraId="2887F9FC">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盐酸储罐呼吸、配酸</w:t>
                  </w:r>
                </w:p>
              </w:tc>
              <w:tc>
                <w:tcPr>
                  <w:tcW w:w="491" w:type="pct"/>
                  <w:noWrap w:val="0"/>
                  <w:vAlign w:val="center"/>
                </w:tcPr>
                <w:p w14:paraId="79E3B49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olor w:val="auto"/>
                      <w:kern w:val="0"/>
                      <w:sz w:val="21"/>
                      <w:szCs w:val="21"/>
                      <w:lang w:val="en-US" w:eastAsia="zh-CN"/>
                    </w:rPr>
                    <w:t>HCl</w:t>
                  </w:r>
                </w:p>
              </w:tc>
              <w:tc>
                <w:tcPr>
                  <w:tcW w:w="1005" w:type="dxa"/>
                  <w:noWrap w:val="0"/>
                  <w:vAlign w:val="center"/>
                </w:tcPr>
                <w:p w14:paraId="680E7666">
                  <w:pPr>
                    <w:adjustRightInd w:val="0"/>
                    <w:spacing w:line="240" w:lineRule="auto"/>
                    <w:jc w:val="center"/>
                    <w:rPr>
                      <w:rFonts w:hint="default"/>
                      <w:kern w:val="0"/>
                      <w:sz w:val="21"/>
                      <w:szCs w:val="21"/>
                      <w:lang w:val="en-US" w:eastAsia="zh-CN"/>
                    </w:rPr>
                  </w:pPr>
                  <w:r>
                    <w:rPr>
                      <w:rFonts w:hint="eastAsia" w:cs="Times New Roman"/>
                      <w:color w:val="auto"/>
                      <w:kern w:val="0"/>
                      <w:sz w:val="21"/>
                      <w:szCs w:val="21"/>
                      <w:lang w:val="en-US" w:eastAsia="zh-CN" w:bidi="ar-SA"/>
                    </w:rPr>
                    <w:t>0.0034</w:t>
                  </w:r>
                </w:p>
              </w:tc>
              <w:tc>
                <w:tcPr>
                  <w:tcW w:w="836" w:type="pct"/>
                  <w:vMerge w:val="restart"/>
                  <w:noWrap w:val="0"/>
                  <w:vAlign w:val="center"/>
                </w:tcPr>
                <w:p w14:paraId="241D179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kern w:val="0"/>
                      <w:sz w:val="21"/>
                      <w:szCs w:val="21"/>
                      <w:lang w:eastAsia="zh-CN"/>
                    </w:rPr>
                  </w:pPr>
                  <w:r>
                    <w:rPr>
                      <w:rFonts w:hint="eastAsia" w:cs="Times New Roman"/>
                      <w:color w:val="auto"/>
                      <w:kern w:val="0"/>
                      <w:sz w:val="21"/>
                      <w:szCs w:val="21"/>
                      <w:lang w:val="en-US" w:eastAsia="zh-CN" w:bidi="ar-SA"/>
                    </w:rPr>
                    <w:t>封闭车间，加强废气收集效率</w:t>
                  </w:r>
                </w:p>
              </w:tc>
              <w:tc>
                <w:tcPr>
                  <w:tcW w:w="473" w:type="pct"/>
                  <w:noWrap w:val="0"/>
                  <w:vAlign w:val="center"/>
                </w:tcPr>
                <w:p w14:paraId="0A4B7EBE">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0.0034</w:t>
                  </w:r>
                </w:p>
              </w:tc>
              <w:tc>
                <w:tcPr>
                  <w:tcW w:w="457" w:type="pct"/>
                  <w:noWrap w:val="0"/>
                  <w:vAlign w:val="center"/>
                </w:tcPr>
                <w:p w14:paraId="333DBE03">
                  <w:pPr>
                    <w:adjustRightInd w:val="0"/>
                    <w:spacing w:line="240" w:lineRule="auto"/>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0.00044</w:t>
                  </w:r>
                </w:p>
              </w:tc>
              <w:tc>
                <w:tcPr>
                  <w:tcW w:w="420" w:type="pct"/>
                  <w:vMerge w:val="restart"/>
                  <w:noWrap w:val="0"/>
                  <w:vAlign w:val="center"/>
                </w:tcPr>
                <w:p w14:paraId="5EB89EE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8520</w:t>
                  </w:r>
                </w:p>
              </w:tc>
              <w:tc>
                <w:tcPr>
                  <w:tcW w:w="385" w:type="pct"/>
                  <w:vMerge w:val="restart"/>
                  <w:noWrap w:val="0"/>
                  <w:vAlign w:val="center"/>
                </w:tcPr>
                <w:p w14:paraId="09370144">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13.15</w:t>
                  </w:r>
                </w:p>
              </w:tc>
            </w:tr>
            <w:tr w14:paraId="2C6A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41" w:type="pct"/>
                  <w:vMerge w:val="continue"/>
                  <w:noWrap w:val="0"/>
                  <w:vAlign w:val="center"/>
                </w:tcPr>
                <w:p w14:paraId="4E34D54B">
                  <w:pPr>
                    <w:adjustRightInd w:val="0"/>
                    <w:spacing w:line="240" w:lineRule="auto"/>
                    <w:jc w:val="center"/>
                    <w:rPr>
                      <w:rFonts w:hint="eastAsia"/>
                      <w:color w:val="auto"/>
                      <w:kern w:val="0"/>
                      <w:sz w:val="21"/>
                      <w:szCs w:val="21"/>
                      <w:lang w:val="en-US" w:eastAsia="zh-CN"/>
                    </w:rPr>
                  </w:pPr>
                </w:p>
              </w:tc>
              <w:tc>
                <w:tcPr>
                  <w:tcW w:w="1028" w:type="pct"/>
                  <w:vMerge w:val="restart"/>
                  <w:noWrap w:val="0"/>
                  <w:vAlign w:val="center"/>
                </w:tcPr>
                <w:p w14:paraId="28A421FE">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酸洗、干燥</w:t>
                  </w:r>
                </w:p>
              </w:tc>
              <w:tc>
                <w:tcPr>
                  <w:tcW w:w="491" w:type="pct"/>
                  <w:noWrap w:val="0"/>
                  <w:vAlign w:val="center"/>
                </w:tcPr>
                <w:p w14:paraId="03476CD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1005" w:type="dxa"/>
                  <w:noWrap w:val="0"/>
                  <w:vAlign w:val="center"/>
                </w:tcPr>
                <w:p w14:paraId="5141754C">
                  <w:pPr>
                    <w:adjustRightInd w:val="0"/>
                    <w:spacing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0.001</w:t>
                  </w:r>
                </w:p>
              </w:tc>
              <w:tc>
                <w:tcPr>
                  <w:tcW w:w="836" w:type="pct"/>
                  <w:vMerge w:val="continue"/>
                  <w:noWrap w:val="0"/>
                  <w:vAlign w:val="center"/>
                </w:tcPr>
                <w:p w14:paraId="29F0F3E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473" w:type="pct"/>
                  <w:noWrap w:val="0"/>
                  <w:vAlign w:val="center"/>
                </w:tcPr>
                <w:p w14:paraId="29335374">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0.001</w:t>
                  </w:r>
                </w:p>
              </w:tc>
              <w:tc>
                <w:tcPr>
                  <w:tcW w:w="457" w:type="pct"/>
                  <w:noWrap w:val="0"/>
                  <w:vAlign w:val="center"/>
                </w:tcPr>
                <w:p w14:paraId="46BCBF95">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0.0001</w:t>
                  </w:r>
                </w:p>
              </w:tc>
              <w:tc>
                <w:tcPr>
                  <w:tcW w:w="420" w:type="pct"/>
                  <w:vMerge w:val="continue"/>
                  <w:noWrap w:val="0"/>
                  <w:vAlign w:val="center"/>
                </w:tcPr>
                <w:p w14:paraId="503BD152">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5EBEC209">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4B35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41" w:type="pct"/>
                  <w:vMerge w:val="continue"/>
                  <w:noWrap w:val="0"/>
                  <w:vAlign w:val="center"/>
                </w:tcPr>
                <w:p w14:paraId="2F2D6762">
                  <w:pPr>
                    <w:adjustRightInd w:val="0"/>
                    <w:spacing w:line="240" w:lineRule="auto"/>
                    <w:jc w:val="center"/>
                    <w:rPr>
                      <w:rFonts w:hint="eastAsia"/>
                      <w:color w:val="auto"/>
                      <w:kern w:val="0"/>
                      <w:sz w:val="21"/>
                      <w:szCs w:val="21"/>
                      <w:lang w:val="en-US" w:eastAsia="zh-CN"/>
                    </w:rPr>
                  </w:pPr>
                </w:p>
              </w:tc>
              <w:tc>
                <w:tcPr>
                  <w:tcW w:w="1028" w:type="pct"/>
                  <w:vMerge w:val="continue"/>
                  <w:noWrap w:val="0"/>
                  <w:vAlign w:val="center"/>
                </w:tcPr>
                <w:p w14:paraId="6853AEA4">
                  <w:pPr>
                    <w:adjustRightInd w:val="0"/>
                    <w:spacing w:line="240" w:lineRule="auto"/>
                    <w:jc w:val="center"/>
                    <w:rPr>
                      <w:rFonts w:hint="eastAsia" w:cs="Times New Roman"/>
                      <w:b w:val="0"/>
                      <w:bCs w:val="0"/>
                      <w:color w:val="auto"/>
                      <w:kern w:val="0"/>
                      <w:sz w:val="21"/>
                      <w:szCs w:val="21"/>
                      <w:lang w:val="en-US" w:eastAsia="zh-CN"/>
                    </w:rPr>
                  </w:pPr>
                </w:p>
              </w:tc>
              <w:tc>
                <w:tcPr>
                  <w:tcW w:w="491" w:type="pct"/>
                  <w:noWrap w:val="0"/>
                  <w:vAlign w:val="center"/>
                </w:tcPr>
                <w:p w14:paraId="7E2CAAE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s="Times New Roman"/>
                      <w:color w:val="auto"/>
                      <w:sz w:val="21"/>
                      <w:szCs w:val="21"/>
                      <w:lang w:val="en-US" w:eastAsia="zh-CN"/>
                    </w:rPr>
                    <w:t>颗粒物</w:t>
                  </w:r>
                </w:p>
              </w:tc>
              <w:tc>
                <w:tcPr>
                  <w:tcW w:w="1005" w:type="dxa"/>
                  <w:noWrap w:val="0"/>
                  <w:vAlign w:val="center"/>
                </w:tcPr>
                <w:p w14:paraId="1CD97741">
                  <w:pPr>
                    <w:adjustRightInd w:val="0"/>
                    <w:spacing w:line="240" w:lineRule="auto"/>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0.038</w:t>
                  </w:r>
                </w:p>
              </w:tc>
              <w:tc>
                <w:tcPr>
                  <w:tcW w:w="836" w:type="pct"/>
                  <w:vMerge w:val="continue"/>
                  <w:noWrap w:val="0"/>
                  <w:vAlign w:val="center"/>
                </w:tcPr>
                <w:p w14:paraId="32B94BA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c>
                <w:tcPr>
                  <w:tcW w:w="473" w:type="pct"/>
                  <w:noWrap w:val="0"/>
                  <w:vAlign w:val="center"/>
                </w:tcPr>
                <w:p w14:paraId="12DC7CF1">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0.038</w:t>
                  </w:r>
                </w:p>
              </w:tc>
              <w:tc>
                <w:tcPr>
                  <w:tcW w:w="457" w:type="pct"/>
                  <w:noWrap w:val="0"/>
                  <w:vAlign w:val="center"/>
                </w:tcPr>
                <w:p w14:paraId="1615611D">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0.005</w:t>
                  </w:r>
                </w:p>
              </w:tc>
              <w:tc>
                <w:tcPr>
                  <w:tcW w:w="420" w:type="pct"/>
                  <w:vMerge w:val="continue"/>
                  <w:noWrap w:val="0"/>
                  <w:vAlign w:val="center"/>
                </w:tcPr>
                <w:p w14:paraId="2D7B360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678E691C">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45D5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noWrap w:val="0"/>
                  <w:vAlign w:val="center"/>
                </w:tcPr>
                <w:p w14:paraId="6CA409A6">
                  <w:pPr>
                    <w:adjustRightInd w:val="0"/>
                    <w:spacing w:line="240" w:lineRule="auto"/>
                    <w:jc w:val="center"/>
                    <w:rPr>
                      <w:rFonts w:hint="eastAsia" w:ascii="Times New Roman" w:hAnsi="Times New Roman" w:eastAsia="宋体" w:cs="Times New Roman"/>
                      <w:color w:val="auto"/>
                      <w:kern w:val="0"/>
                      <w:sz w:val="21"/>
                      <w:szCs w:val="21"/>
                      <w:lang w:val="en-US" w:eastAsia="zh-CN" w:bidi="ar-SA"/>
                    </w:rPr>
                  </w:pPr>
                </w:p>
              </w:tc>
              <w:tc>
                <w:tcPr>
                  <w:tcW w:w="1028" w:type="pct"/>
                  <w:tcBorders>
                    <w:bottom w:val="single" w:color="auto" w:sz="4" w:space="0"/>
                  </w:tcBorders>
                  <w:noWrap w:val="0"/>
                  <w:vAlign w:val="center"/>
                </w:tcPr>
                <w:p w14:paraId="21E44A98">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粉碎</w:t>
                  </w:r>
                </w:p>
              </w:tc>
              <w:tc>
                <w:tcPr>
                  <w:tcW w:w="491" w:type="pct"/>
                  <w:noWrap w:val="0"/>
                  <w:vAlign w:val="center"/>
                </w:tcPr>
                <w:p w14:paraId="11EFBB1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val="en-US" w:eastAsia="zh-CN"/>
                    </w:rPr>
                  </w:pPr>
                  <w:r>
                    <w:rPr>
                      <w:rFonts w:hint="eastAsia" w:cs="Times New Roman"/>
                      <w:color w:val="auto"/>
                      <w:sz w:val="21"/>
                      <w:szCs w:val="21"/>
                      <w:lang w:val="en-US" w:eastAsia="zh-CN"/>
                    </w:rPr>
                    <w:t>颗粒物</w:t>
                  </w:r>
                </w:p>
              </w:tc>
              <w:tc>
                <w:tcPr>
                  <w:tcW w:w="1005" w:type="dxa"/>
                  <w:noWrap w:val="0"/>
                  <w:vAlign w:val="center"/>
                </w:tcPr>
                <w:p w14:paraId="237F9FB0">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0.057</w:t>
                  </w:r>
                </w:p>
              </w:tc>
              <w:tc>
                <w:tcPr>
                  <w:tcW w:w="836" w:type="pct"/>
                  <w:vMerge w:val="continue"/>
                  <w:noWrap w:val="0"/>
                  <w:vAlign w:val="center"/>
                </w:tcPr>
                <w:p w14:paraId="3A5DF82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kern w:val="0"/>
                      <w:sz w:val="21"/>
                      <w:szCs w:val="21"/>
                      <w:lang w:eastAsia="zh-CN"/>
                    </w:rPr>
                  </w:pPr>
                </w:p>
              </w:tc>
              <w:tc>
                <w:tcPr>
                  <w:tcW w:w="473" w:type="pct"/>
                  <w:noWrap w:val="0"/>
                  <w:vAlign w:val="center"/>
                </w:tcPr>
                <w:p w14:paraId="0C29E027">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0.057</w:t>
                  </w:r>
                </w:p>
              </w:tc>
              <w:tc>
                <w:tcPr>
                  <w:tcW w:w="457" w:type="pct"/>
                  <w:noWrap w:val="0"/>
                  <w:vAlign w:val="center"/>
                </w:tcPr>
                <w:p w14:paraId="69032366">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0.008</w:t>
                  </w:r>
                </w:p>
              </w:tc>
              <w:tc>
                <w:tcPr>
                  <w:tcW w:w="420" w:type="pct"/>
                  <w:vMerge w:val="continue"/>
                  <w:noWrap w:val="0"/>
                  <w:vAlign w:val="center"/>
                </w:tcPr>
                <w:p w14:paraId="58111CA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10BC37BB">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r w14:paraId="6A4F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1" w:type="pct"/>
                  <w:vMerge w:val="continue"/>
                  <w:tcBorders>
                    <w:bottom w:val="single" w:color="auto" w:sz="4" w:space="0"/>
                  </w:tcBorders>
                  <w:noWrap w:val="0"/>
                  <w:vAlign w:val="center"/>
                </w:tcPr>
                <w:p w14:paraId="2DBCF36C">
                  <w:pPr>
                    <w:adjustRightInd w:val="0"/>
                    <w:spacing w:line="240" w:lineRule="auto"/>
                    <w:jc w:val="center"/>
                    <w:rPr>
                      <w:rFonts w:hint="eastAsia" w:ascii="Times New Roman" w:hAnsi="Times New Roman" w:eastAsia="宋体" w:cs="Times New Roman"/>
                      <w:color w:val="auto"/>
                      <w:kern w:val="0"/>
                      <w:sz w:val="21"/>
                      <w:szCs w:val="21"/>
                      <w:lang w:val="en-US" w:eastAsia="zh-CN" w:bidi="ar-SA"/>
                    </w:rPr>
                  </w:pPr>
                </w:p>
              </w:tc>
              <w:tc>
                <w:tcPr>
                  <w:tcW w:w="1028" w:type="pct"/>
                  <w:tcBorders>
                    <w:bottom w:val="single" w:color="auto" w:sz="4" w:space="0"/>
                  </w:tcBorders>
                  <w:noWrap w:val="0"/>
                  <w:vAlign w:val="center"/>
                </w:tcPr>
                <w:p w14:paraId="6AD432EE">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拆包、输送、包装</w:t>
                  </w:r>
                </w:p>
              </w:tc>
              <w:tc>
                <w:tcPr>
                  <w:tcW w:w="491" w:type="pct"/>
                  <w:noWrap w:val="0"/>
                  <w:vAlign w:val="center"/>
                </w:tcPr>
                <w:p w14:paraId="09D49B1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566" w:type="pct"/>
                  <w:noWrap w:val="0"/>
                  <w:vAlign w:val="center"/>
                </w:tcPr>
                <w:p w14:paraId="4174DE3E">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1.118</w:t>
                  </w:r>
                </w:p>
              </w:tc>
              <w:tc>
                <w:tcPr>
                  <w:tcW w:w="836" w:type="pct"/>
                  <w:noWrap w:val="0"/>
                  <w:vAlign w:val="center"/>
                </w:tcPr>
                <w:p w14:paraId="556E965B">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kern w:val="0"/>
                      <w:sz w:val="21"/>
                      <w:szCs w:val="21"/>
                      <w:lang w:eastAsia="zh-CN"/>
                    </w:rPr>
                  </w:pPr>
                  <w:r>
                    <w:rPr>
                      <w:rFonts w:hint="eastAsia" w:cs="Times New Roman"/>
                      <w:color w:val="auto"/>
                      <w:kern w:val="0"/>
                      <w:sz w:val="21"/>
                      <w:szCs w:val="21"/>
                      <w:lang w:val="en-US" w:eastAsia="zh-CN" w:bidi="ar-SA"/>
                    </w:rPr>
                    <w:t>滤芯除尘</w:t>
                  </w:r>
                </w:p>
              </w:tc>
              <w:tc>
                <w:tcPr>
                  <w:tcW w:w="473" w:type="pct"/>
                  <w:noWrap w:val="0"/>
                  <w:vAlign w:val="center"/>
                </w:tcPr>
                <w:p w14:paraId="232B3338">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0.067</w:t>
                  </w:r>
                </w:p>
              </w:tc>
              <w:tc>
                <w:tcPr>
                  <w:tcW w:w="457" w:type="pct"/>
                  <w:noWrap w:val="0"/>
                  <w:vAlign w:val="center"/>
                </w:tcPr>
                <w:p w14:paraId="6B412498">
                  <w:pPr>
                    <w:adjustRightInd w:val="0"/>
                    <w:spacing w:line="240" w:lineRule="auto"/>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0.009</w:t>
                  </w:r>
                </w:p>
              </w:tc>
              <w:tc>
                <w:tcPr>
                  <w:tcW w:w="420" w:type="pct"/>
                  <w:vMerge w:val="continue"/>
                  <w:noWrap w:val="0"/>
                  <w:vAlign w:val="center"/>
                </w:tcPr>
                <w:p w14:paraId="24F3E6A2">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b w:val="0"/>
                      <w:bCs/>
                      <w:color w:val="auto"/>
                      <w:sz w:val="21"/>
                      <w:szCs w:val="21"/>
                      <w:vertAlign w:val="baseline"/>
                      <w:lang w:val="en-US" w:eastAsia="zh-CN"/>
                    </w:rPr>
                  </w:pPr>
                </w:p>
              </w:tc>
              <w:tc>
                <w:tcPr>
                  <w:tcW w:w="385" w:type="pct"/>
                  <w:vMerge w:val="continue"/>
                  <w:noWrap w:val="0"/>
                  <w:vAlign w:val="center"/>
                </w:tcPr>
                <w:p w14:paraId="31B25F1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s="Times New Roman"/>
                      <w:color w:val="auto"/>
                      <w:kern w:val="0"/>
                      <w:sz w:val="21"/>
                      <w:szCs w:val="21"/>
                      <w:lang w:val="en-US" w:eastAsia="zh-CN" w:bidi="ar-SA"/>
                    </w:rPr>
                  </w:pPr>
                </w:p>
              </w:tc>
            </w:tr>
          </w:tbl>
          <w:p w14:paraId="5A9A21E0">
            <w:pPr>
              <w:spacing w:line="240" w:lineRule="auto"/>
              <w:jc w:val="center"/>
              <w:rPr>
                <w:rFonts w:hint="default" w:ascii="Times New Roman" w:hAnsi="Times New Roman" w:eastAsia="宋体" w:cs="Times New Roman"/>
                <w:b/>
                <w:bCs/>
                <w:color w:val="auto"/>
                <w:sz w:val="21"/>
                <w:szCs w:val="21"/>
              </w:rPr>
            </w:pPr>
          </w:p>
          <w:p w14:paraId="14D02DD1">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项目废气治理设施一览表</w:t>
            </w:r>
          </w:p>
          <w:tbl>
            <w:tblPr>
              <w:tblStyle w:val="2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290"/>
              <w:gridCol w:w="945"/>
              <w:gridCol w:w="750"/>
              <w:gridCol w:w="1380"/>
              <w:gridCol w:w="675"/>
              <w:gridCol w:w="797"/>
              <w:gridCol w:w="930"/>
              <w:gridCol w:w="1527"/>
            </w:tblGrid>
            <w:tr w14:paraId="071B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8" w:type="pct"/>
                  <w:gridSpan w:val="2"/>
                  <w:noWrap w:val="0"/>
                  <w:vAlign w:val="center"/>
                </w:tcPr>
                <w:p w14:paraId="51FF80F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537" w:type="pct"/>
                  <w:noWrap w:val="0"/>
                  <w:vAlign w:val="center"/>
                </w:tcPr>
                <w:p w14:paraId="223EA8CA">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eastAsia="宋体"/>
                      <w:color w:val="auto"/>
                      <w:kern w:val="0"/>
                      <w:sz w:val="21"/>
                      <w:szCs w:val="21"/>
                      <w:lang w:eastAsia="zh-CN"/>
                    </w:rPr>
                    <w:t>污染物</w:t>
                  </w:r>
                </w:p>
              </w:tc>
              <w:tc>
                <w:tcPr>
                  <w:tcW w:w="426" w:type="pct"/>
                  <w:noWrap w:val="0"/>
                  <w:vAlign w:val="center"/>
                </w:tcPr>
                <w:p w14:paraId="1C58531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排气筒编号</w:t>
                  </w:r>
                </w:p>
              </w:tc>
              <w:tc>
                <w:tcPr>
                  <w:tcW w:w="784" w:type="pct"/>
                  <w:noWrap w:val="0"/>
                  <w:vAlign w:val="center"/>
                </w:tcPr>
                <w:p w14:paraId="4582DE87">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治理措施</w:t>
                  </w:r>
                </w:p>
              </w:tc>
              <w:tc>
                <w:tcPr>
                  <w:tcW w:w="383" w:type="pct"/>
                  <w:noWrap w:val="0"/>
                  <w:vAlign w:val="center"/>
                </w:tcPr>
                <w:p w14:paraId="1AF8FFD7">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收集效率%</w:t>
                  </w:r>
                </w:p>
              </w:tc>
              <w:tc>
                <w:tcPr>
                  <w:tcW w:w="453" w:type="pct"/>
                  <w:noWrap w:val="0"/>
                  <w:vAlign w:val="center"/>
                </w:tcPr>
                <w:p w14:paraId="647CB04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治理工艺去除率%</w:t>
                  </w:r>
                </w:p>
              </w:tc>
              <w:tc>
                <w:tcPr>
                  <w:tcW w:w="528" w:type="pct"/>
                  <w:noWrap w:val="0"/>
                  <w:vAlign w:val="center"/>
                </w:tcPr>
                <w:p w14:paraId="74ECB4E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是否为可行技术</w:t>
                  </w:r>
                </w:p>
              </w:tc>
              <w:tc>
                <w:tcPr>
                  <w:tcW w:w="868" w:type="pct"/>
                  <w:noWrap w:val="0"/>
                  <w:vAlign w:val="center"/>
                </w:tcPr>
                <w:p w14:paraId="0840B558">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排放标准</w:t>
                  </w:r>
                </w:p>
              </w:tc>
            </w:tr>
            <w:tr w14:paraId="285F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restart"/>
                  <w:noWrap w:val="0"/>
                  <w:vAlign w:val="center"/>
                </w:tcPr>
                <w:p w14:paraId="0BC18DFE">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1#车间</w:t>
                  </w:r>
                </w:p>
              </w:tc>
              <w:tc>
                <w:tcPr>
                  <w:tcW w:w="733" w:type="pct"/>
                  <w:noWrap w:val="0"/>
                  <w:vAlign w:val="center"/>
                </w:tcPr>
                <w:p w14:paraId="2F9A0346">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盐酸储罐呼吸、配酸</w:t>
                  </w:r>
                </w:p>
              </w:tc>
              <w:tc>
                <w:tcPr>
                  <w:tcW w:w="537" w:type="pct"/>
                  <w:noWrap w:val="0"/>
                  <w:vAlign w:val="center"/>
                </w:tcPr>
                <w:p w14:paraId="3B2FC97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HCl</w:t>
                  </w:r>
                </w:p>
              </w:tc>
              <w:tc>
                <w:tcPr>
                  <w:tcW w:w="426" w:type="pct"/>
                  <w:vMerge w:val="restart"/>
                  <w:noWrap w:val="0"/>
                  <w:vAlign w:val="center"/>
                </w:tcPr>
                <w:p w14:paraId="714D4F72">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DA001</w:t>
                  </w:r>
                </w:p>
              </w:tc>
              <w:tc>
                <w:tcPr>
                  <w:tcW w:w="784" w:type="pct"/>
                  <w:vMerge w:val="restart"/>
                  <w:noWrap w:val="0"/>
                  <w:vAlign w:val="center"/>
                </w:tcPr>
                <w:p w14:paraId="64CBE208">
                  <w:pPr>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二级碱喷淋+1根20m高排气筒（DA001）</w:t>
                  </w:r>
                </w:p>
              </w:tc>
              <w:tc>
                <w:tcPr>
                  <w:tcW w:w="383" w:type="pct"/>
                  <w:noWrap w:val="0"/>
                  <w:vAlign w:val="center"/>
                </w:tcPr>
                <w:p w14:paraId="77703ED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78694D3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28" w:type="pct"/>
                  <w:noWrap w:val="0"/>
                  <w:vAlign w:val="center"/>
                </w:tcPr>
                <w:p w14:paraId="7A28ACA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restart"/>
                  <w:noWrap w:val="0"/>
                  <w:vAlign w:val="center"/>
                </w:tcPr>
                <w:p w14:paraId="5186F128">
                  <w:pPr>
                    <w:adjustRightInd w:val="0"/>
                    <w:snapToGrid w:val="0"/>
                    <w:spacing w:line="240" w:lineRule="auto"/>
                    <w:jc w:val="center"/>
                    <w:rPr>
                      <w:szCs w:val="21"/>
                    </w:rPr>
                  </w:pPr>
                  <w:r>
                    <w:rPr>
                      <w:color w:val="auto"/>
                      <w:sz w:val="21"/>
                      <w:szCs w:val="21"/>
                    </w:rPr>
                    <w:t>《大气污染物综合排放标准》（</w:t>
                  </w:r>
                  <w:r>
                    <w:rPr>
                      <w:rFonts w:hint="eastAsia"/>
                      <w:color w:val="auto"/>
                      <w:sz w:val="21"/>
                      <w:szCs w:val="21"/>
                    </w:rPr>
                    <w:t>GB</w:t>
                  </w:r>
                  <w:r>
                    <w:rPr>
                      <w:color w:val="auto"/>
                      <w:sz w:val="21"/>
                      <w:szCs w:val="21"/>
                    </w:rPr>
                    <w:t>16297-1996）</w:t>
                  </w:r>
                </w:p>
              </w:tc>
            </w:tr>
            <w:tr w14:paraId="35CF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5A9E31C5">
                  <w:pPr>
                    <w:adjustRightInd w:val="0"/>
                    <w:spacing w:line="240" w:lineRule="auto"/>
                    <w:jc w:val="center"/>
                    <w:rPr>
                      <w:rFonts w:hint="eastAsia"/>
                      <w:color w:val="auto"/>
                      <w:kern w:val="0"/>
                      <w:sz w:val="21"/>
                      <w:szCs w:val="21"/>
                      <w:lang w:val="en-US" w:eastAsia="zh-CN"/>
                    </w:rPr>
                  </w:pPr>
                </w:p>
              </w:tc>
              <w:tc>
                <w:tcPr>
                  <w:tcW w:w="733" w:type="pct"/>
                  <w:vMerge w:val="restart"/>
                  <w:noWrap w:val="0"/>
                  <w:vAlign w:val="center"/>
                </w:tcPr>
                <w:p w14:paraId="24F8C6A8">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rPr>
                    <w:t>酸洗、干燥</w:t>
                  </w:r>
                </w:p>
              </w:tc>
              <w:tc>
                <w:tcPr>
                  <w:tcW w:w="537" w:type="pct"/>
                  <w:noWrap w:val="0"/>
                  <w:vAlign w:val="center"/>
                </w:tcPr>
                <w:p w14:paraId="77A0C42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426" w:type="pct"/>
                  <w:vMerge w:val="continue"/>
                  <w:noWrap w:val="0"/>
                  <w:vAlign w:val="center"/>
                </w:tcPr>
                <w:p w14:paraId="776B74BA">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p>
              </w:tc>
              <w:tc>
                <w:tcPr>
                  <w:tcW w:w="784" w:type="pct"/>
                  <w:vMerge w:val="continue"/>
                  <w:noWrap w:val="0"/>
                  <w:vAlign w:val="center"/>
                </w:tcPr>
                <w:p w14:paraId="1C00BE4C">
                  <w:pPr>
                    <w:snapToGrid w:val="0"/>
                    <w:jc w:val="center"/>
                    <w:rPr>
                      <w:rFonts w:hint="eastAsia"/>
                      <w:color w:val="auto"/>
                      <w:kern w:val="0"/>
                      <w:sz w:val="21"/>
                      <w:szCs w:val="21"/>
                      <w:lang w:val="en-US" w:eastAsia="zh-CN"/>
                    </w:rPr>
                  </w:pPr>
                </w:p>
              </w:tc>
              <w:tc>
                <w:tcPr>
                  <w:tcW w:w="383" w:type="pct"/>
                  <w:noWrap w:val="0"/>
                  <w:vAlign w:val="center"/>
                </w:tcPr>
                <w:p w14:paraId="37AD6599">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760059DB">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28" w:type="pct"/>
                  <w:noWrap w:val="0"/>
                  <w:vAlign w:val="center"/>
                </w:tcPr>
                <w:p w14:paraId="0D05C24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7A2A8032">
                  <w:pPr>
                    <w:adjustRightInd w:val="0"/>
                    <w:snapToGrid w:val="0"/>
                    <w:spacing w:line="240" w:lineRule="auto"/>
                    <w:jc w:val="center"/>
                    <w:rPr>
                      <w:color w:val="auto"/>
                      <w:sz w:val="21"/>
                      <w:szCs w:val="21"/>
                    </w:rPr>
                  </w:pPr>
                </w:p>
              </w:tc>
            </w:tr>
            <w:tr w14:paraId="4310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38C18CAD">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c>
                <w:tcPr>
                  <w:tcW w:w="733" w:type="pct"/>
                  <w:vMerge w:val="continue"/>
                  <w:noWrap w:val="0"/>
                  <w:vAlign w:val="center"/>
                </w:tcPr>
                <w:p w14:paraId="6FC14D85">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c>
                <w:tcPr>
                  <w:tcW w:w="537" w:type="pct"/>
                  <w:noWrap w:val="0"/>
                  <w:vAlign w:val="center"/>
                </w:tcPr>
                <w:p w14:paraId="444AAFD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color w:val="auto"/>
                      <w:sz w:val="21"/>
                      <w:szCs w:val="21"/>
                      <w:lang w:val="en-US" w:eastAsia="zh-CN"/>
                    </w:rPr>
                    <w:t>颗粒物</w:t>
                  </w:r>
                </w:p>
              </w:tc>
              <w:tc>
                <w:tcPr>
                  <w:tcW w:w="426" w:type="pct"/>
                  <w:vMerge w:val="continue"/>
                  <w:noWrap w:val="0"/>
                  <w:vAlign w:val="center"/>
                </w:tcPr>
                <w:p w14:paraId="518A688F">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p>
              </w:tc>
              <w:tc>
                <w:tcPr>
                  <w:tcW w:w="784" w:type="pct"/>
                  <w:vMerge w:val="continue"/>
                  <w:noWrap w:val="0"/>
                  <w:vAlign w:val="center"/>
                </w:tcPr>
                <w:p w14:paraId="3EBEA218">
                  <w:pPr>
                    <w:snapToGrid w:val="0"/>
                    <w:jc w:val="center"/>
                    <w:rPr>
                      <w:rFonts w:hint="eastAsia"/>
                      <w:color w:val="auto"/>
                      <w:kern w:val="0"/>
                      <w:sz w:val="21"/>
                      <w:szCs w:val="21"/>
                      <w:lang w:val="en-US" w:eastAsia="zh-CN"/>
                    </w:rPr>
                  </w:pPr>
                </w:p>
              </w:tc>
              <w:tc>
                <w:tcPr>
                  <w:tcW w:w="383" w:type="pct"/>
                  <w:noWrap w:val="0"/>
                  <w:vAlign w:val="center"/>
                </w:tcPr>
                <w:p w14:paraId="46CBCA7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240973A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28" w:type="pct"/>
                  <w:noWrap w:val="0"/>
                  <w:vAlign w:val="center"/>
                </w:tcPr>
                <w:p w14:paraId="25AC682D">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313BD959">
                  <w:pPr>
                    <w:adjustRightInd w:val="0"/>
                    <w:snapToGrid w:val="0"/>
                    <w:spacing w:line="240" w:lineRule="auto"/>
                    <w:jc w:val="center"/>
                    <w:rPr>
                      <w:color w:val="auto"/>
                      <w:sz w:val="21"/>
                      <w:szCs w:val="21"/>
                    </w:rPr>
                  </w:pPr>
                </w:p>
              </w:tc>
            </w:tr>
            <w:tr w14:paraId="0528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176DE8F5">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c>
                <w:tcPr>
                  <w:tcW w:w="733" w:type="pct"/>
                  <w:noWrap w:val="0"/>
                  <w:vAlign w:val="center"/>
                </w:tcPr>
                <w:p w14:paraId="690C4C7F">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eastAsia="zh-CN"/>
                    </w:rPr>
                    <w:t>粉碎</w:t>
                  </w:r>
                </w:p>
              </w:tc>
              <w:tc>
                <w:tcPr>
                  <w:tcW w:w="537" w:type="pct"/>
                  <w:noWrap w:val="0"/>
                  <w:vAlign w:val="center"/>
                </w:tcPr>
                <w:p w14:paraId="2E752B9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eastAsia="zh-CN"/>
                    </w:rPr>
                  </w:pPr>
                  <w:r>
                    <w:rPr>
                      <w:rFonts w:hint="eastAsia" w:cs="Times New Roman"/>
                      <w:color w:val="auto"/>
                      <w:sz w:val="21"/>
                      <w:szCs w:val="21"/>
                      <w:lang w:val="en-US" w:eastAsia="zh-CN"/>
                    </w:rPr>
                    <w:t>颗粒物</w:t>
                  </w:r>
                </w:p>
              </w:tc>
              <w:tc>
                <w:tcPr>
                  <w:tcW w:w="426" w:type="pct"/>
                  <w:noWrap w:val="0"/>
                  <w:vAlign w:val="center"/>
                </w:tcPr>
                <w:p w14:paraId="51BAE38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DA002</w:t>
                  </w:r>
                </w:p>
              </w:tc>
              <w:tc>
                <w:tcPr>
                  <w:tcW w:w="784" w:type="pct"/>
                  <w:noWrap w:val="0"/>
                  <w:vAlign w:val="center"/>
                </w:tcPr>
                <w:p w14:paraId="5E7D17DA">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布袋除尘器+1根20m高排气筒（DA002）</w:t>
                  </w:r>
                </w:p>
              </w:tc>
              <w:tc>
                <w:tcPr>
                  <w:tcW w:w="383" w:type="pct"/>
                  <w:noWrap w:val="0"/>
                  <w:vAlign w:val="center"/>
                </w:tcPr>
                <w:p w14:paraId="4E9FD41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0D95077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99</w:t>
                  </w:r>
                </w:p>
              </w:tc>
              <w:tc>
                <w:tcPr>
                  <w:tcW w:w="528" w:type="pct"/>
                  <w:noWrap w:val="0"/>
                  <w:vAlign w:val="center"/>
                </w:tcPr>
                <w:p w14:paraId="27C55BF1">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601ACDB9">
                  <w:pPr>
                    <w:adjustRightInd w:val="0"/>
                    <w:snapToGrid w:val="0"/>
                    <w:spacing w:line="240" w:lineRule="auto"/>
                    <w:jc w:val="center"/>
                    <w:rPr>
                      <w:color w:val="auto"/>
                      <w:sz w:val="21"/>
                      <w:szCs w:val="21"/>
                    </w:rPr>
                  </w:pPr>
                </w:p>
              </w:tc>
            </w:tr>
            <w:tr w14:paraId="5627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5E7D0DB8">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olor w:val="auto"/>
                      <w:kern w:val="0"/>
                      <w:sz w:val="21"/>
                      <w:szCs w:val="21"/>
                      <w:lang w:eastAsia="zh-CN"/>
                    </w:rPr>
                  </w:pPr>
                </w:p>
              </w:tc>
              <w:tc>
                <w:tcPr>
                  <w:tcW w:w="733" w:type="pct"/>
                  <w:noWrap w:val="0"/>
                  <w:vAlign w:val="center"/>
                </w:tcPr>
                <w:p w14:paraId="2E54232D">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拆包、输送、包装</w:t>
                  </w:r>
                </w:p>
              </w:tc>
              <w:tc>
                <w:tcPr>
                  <w:tcW w:w="537" w:type="pct"/>
                  <w:noWrap w:val="0"/>
                  <w:vAlign w:val="center"/>
                </w:tcPr>
                <w:p w14:paraId="0A51520C">
                  <w:pPr>
                    <w:jc w:val="center"/>
                  </w:pPr>
                  <w:r>
                    <w:rPr>
                      <w:rFonts w:hint="eastAsia" w:cs="Times New Roman"/>
                      <w:color w:val="auto"/>
                      <w:sz w:val="21"/>
                      <w:szCs w:val="21"/>
                      <w:lang w:val="en-US" w:eastAsia="zh-CN"/>
                    </w:rPr>
                    <w:t>颗粒物</w:t>
                  </w:r>
                </w:p>
              </w:tc>
              <w:tc>
                <w:tcPr>
                  <w:tcW w:w="426" w:type="pct"/>
                  <w:noWrap w:val="0"/>
                  <w:vAlign w:val="center"/>
                </w:tcPr>
                <w:p w14:paraId="104F3E3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w:t>
                  </w:r>
                </w:p>
              </w:tc>
              <w:tc>
                <w:tcPr>
                  <w:tcW w:w="784" w:type="pct"/>
                  <w:noWrap w:val="0"/>
                  <w:vAlign w:val="center"/>
                </w:tcPr>
                <w:p w14:paraId="3CE206E4">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滤芯除尘</w:t>
                  </w:r>
                </w:p>
              </w:tc>
              <w:tc>
                <w:tcPr>
                  <w:tcW w:w="383" w:type="pct"/>
                  <w:noWrap w:val="0"/>
                  <w:vAlign w:val="center"/>
                </w:tcPr>
                <w:p w14:paraId="409CA087">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784CFD3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99</w:t>
                  </w:r>
                </w:p>
              </w:tc>
              <w:tc>
                <w:tcPr>
                  <w:tcW w:w="528" w:type="pct"/>
                  <w:noWrap w:val="0"/>
                  <w:vAlign w:val="center"/>
                </w:tcPr>
                <w:p w14:paraId="25281FEB">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09E4507D">
                  <w:pPr>
                    <w:adjustRightInd w:val="0"/>
                    <w:snapToGrid w:val="0"/>
                    <w:spacing w:line="240" w:lineRule="auto"/>
                    <w:jc w:val="center"/>
                    <w:rPr>
                      <w:szCs w:val="21"/>
                    </w:rPr>
                  </w:pPr>
                </w:p>
              </w:tc>
            </w:tr>
            <w:tr w14:paraId="001C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restart"/>
                  <w:noWrap w:val="0"/>
                  <w:vAlign w:val="center"/>
                </w:tcPr>
                <w:p w14:paraId="37E31685">
                  <w:pPr>
                    <w:adjustRightInd w:val="0"/>
                    <w:spacing w:line="240" w:lineRule="auto"/>
                    <w:jc w:val="center"/>
                    <w:rPr>
                      <w:rFonts w:hint="eastAsia"/>
                      <w:color w:val="auto"/>
                      <w:kern w:val="0"/>
                      <w:sz w:val="21"/>
                      <w:szCs w:val="21"/>
                      <w:lang w:eastAsia="zh-CN"/>
                    </w:rPr>
                  </w:pPr>
                  <w:r>
                    <w:rPr>
                      <w:rFonts w:hint="eastAsia"/>
                      <w:color w:val="auto"/>
                      <w:kern w:val="0"/>
                      <w:sz w:val="21"/>
                      <w:szCs w:val="21"/>
                      <w:lang w:val="en-US" w:eastAsia="zh-CN"/>
                    </w:rPr>
                    <w:t>2#车间</w:t>
                  </w:r>
                </w:p>
              </w:tc>
              <w:tc>
                <w:tcPr>
                  <w:tcW w:w="733" w:type="pct"/>
                  <w:noWrap w:val="0"/>
                  <w:vAlign w:val="center"/>
                </w:tcPr>
                <w:p w14:paraId="386DEEE7">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盐酸储罐呼吸、配酸</w:t>
                  </w:r>
                </w:p>
              </w:tc>
              <w:tc>
                <w:tcPr>
                  <w:tcW w:w="537" w:type="pct"/>
                  <w:noWrap w:val="0"/>
                  <w:vAlign w:val="center"/>
                </w:tcPr>
                <w:p w14:paraId="1682DB8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HCl</w:t>
                  </w:r>
                </w:p>
              </w:tc>
              <w:tc>
                <w:tcPr>
                  <w:tcW w:w="426" w:type="pct"/>
                  <w:vMerge w:val="restart"/>
                  <w:noWrap w:val="0"/>
                  <w:vAlign w:val="center"/>
                </w:tcPr>
                <w:p w14:paraId="3C1A8DC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DA003</w:t>
                  </w:r>
                </w:p>
              </w:tc>
              <w:tc>
                <w:tcPr>
                  <w:tcW w:w="784" w:type="pct"/>
                  <w:vMerge w:val="restart"/>
                  <w:noWrap w:val="0"/>
                  <w:vAlign w:val="center"/>
                </w:tcPr>
                <w:p w14:paraId="118C92F0">
                  <w:pPr>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eastAsia"/>
                      <w:color w:val="auto"/>
                      <w:kern w:val="0"/>
                      <w:sz w:val="21"/>
                      <w:szCs w:val="21"/>
                      <w:lang w:val="en-US" w:eastAsia="zh-CN"/>
                    </w:rPr>
                    <w:t>二级碱喷淋+1根20m高排气筒（DA003）</w:t>
                  </w:r>
                </w:p>
              </w:tc>
              <w:tc>
                <w:tcPr>
                  <w:tcW w:w="383" w:type="pct"/>
                  <w:noWrap w:val="0"/>
                  <w:vAlign w:val="center"/>
                </w:tcPr>
                <w:p w14:paraId="0C9B77A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0B065EF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28" w:type="pct"/>
                  <w:noWrap w:val="0"/>
                  <w:vAlign w:val="center"/>
                </w:tcPr>
                <w:p w14:paraId="7E610BEC">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restart"/>
                  <w:noWrap w:val="0"/>
                  <w:vAlign w:val="center"/>
                </w:tcPr>
                <w:p w14:paraId="5342F652">
                  <w:pPr>
                    <w:adjustRightInd w:val="0"/>
                    <w:snapToGrid w:val="0"/>
                    <w:spacing w:line="240" w:lineRule="auto"/>
                    <w:jc w:val="center"/>
                    <w:rPr>
                      <w:b w:val="0"/>
                      <w:bCs w:val="0"/>
                      <w:color w:val="auto"/>
                      <w:sz w:val="21"/>
                      <w:szCs w:val="21"/>
                    </w:rPr>
                  </w:pPr>
                  <w:r>
                    <w:rPr>
                      <w:color w:val="auto"/>
                      <w:sz w:val="21"/>
                      <w:szCs w:val="21"/>
                    </w:rPr>
                    <w:t>《大气污染物综合排放标准》（</w:t>
                  </w:r>
                  <w:r>
                    <w:rPr>
                      <w:rFonts w:hint="eastAsia"/>
                      <w:color w:val="auto"/>
                      <w:sz w:val="21"/>
                      <w:szCs w:val="21"/>
                    </w:rPr>
                    <w:t>GB</w:t>
                  </w:r>
                  <w:r>
                    <w:rPr>
                      <w:color w:val="auto"/>
                      <w:sz w:val="21"/>
                      <w:szCs w:val="21"/>
                    </w:rPr>
                    <w:t>16297-1996）</w:t>
                  </w:r>
                </w:p>
              </w:tc>
            </w:tr>
            <w:tr w14:paraId="1310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09E9CB41">
                  <w:pPr>
                    <w:adjustRightInd w:val="0"/>
                    <w:spacing w:line="240" w:lineRule="auto"/>
                    <w:jc w:val="center"/>
                    <w:rPr>
                      <w:rFonts w:hint="eastAsia"/>
                      <w:color w:val="auto"/>
                      <w:kern w:val="0"/>
                      <w:sz w:val="21"/>
                      <w:szCs w:val="21"/>
                      <w:lang w:val="en-US" w:eastAsia="zh-CN"/>
                    </w:rPr>
                  </w:pPr>
                </w:p>
              </w:tc>
              <w:tc>
                <w:tcPr>
                  <w:tcW w:w="733" w:type="pct"/>
                  <w:vMerge w:val="restart"/>
                  <w:noWrap w:val="0"/>
                  <w:vAlign w:val="center"/>
                </w:tcPr>
                <w:p w14:paraId="0BFCC6EE">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酸洗、干燥</w:t>
                  </w:r>
                </w:p>
              </w:tc>
              <w:tc>
                <w:tcPr>
                  <w:tcW w:w="537" w:type="pct"/>
                  <w:noWrap w:val="0"/>
                  <w:vAlign w:val="center"/>
                </w:tcPr>
                <w:p w14:paraId="436EA0E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HCl</w:t>
                  </w:r>
                </w:p>
              </w:tc>
              <w:tc>
                <w:tcPr>
                  <w:tcW w:w="426" w:type="pct"/>
                  <w:vMerge w:val="continue"/>
                  <w:noWrap w:val="0"/>
                  <w:vAlign w:val="center"/>
                </w:tcPr>
                <w:p w14:paraId="6B284EC4">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p>
              </w:tc>
              <w:tc>
                <w:tcPr>
                  <w:tcW w:w="784" w:type="pct"/>
                  <w:vMerge w:val="continue"/>
                  <w:noWrap w:val="0"/>
                  <w:vAlign w:val="center"/>
                </w:tcPr>
                <w:p w14:paraId="579A837E">
                  <w:pPr>
                    <w:snapToGrid w:val="0"/>
                    <w:jc w:val="center"/>
                    <w:rPr>
                      <w:rFonts w:hint="eastAsia"/>
                      <w:color w:val="auto"/>
                      <w:kern w:val="0"/>
                      <w:sz w:val="21"/>
                      <w:szCs w:val="21"/>
                      <w:lang w:val="en-US" w:eastAsia="zh-CN"/>
                    </w:rPr>
                  </w:pPr>
                </w:p>
              </w:tc>
              <w:tc>
                <w:tcPr>
                  <w:tcW w:w="675" w:type="dxa"/>
                  <w:noWrap w:val="0"/>
                  <w:vAlign w:val="center"/>
                </w:tcPr>
                <w:p w14:paraId="6C80C35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797" w:type="dxa"/>
                  <w:noWrap w:val="0"/>
                  <w:vAlign w:val="center"/>
                </w:tcPr>
                <w:p w14:paraId="6B871C2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930" w:type="dxa"/>
                  <w:noWrap w:val="0"/>
                  <w:vAlign w:val="center"/>
                </w:tcPr>
                <w:p w14:paraId="24CEB446">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303D2209">
                  <w:pPr>
                    <w:adjustRightInd w:val="0"/>
                    <w:snapToGrid w:val="0"/>
                    <w:spacing w:line="240" w:lineRule="auto"/>
                    <w:jc w:val="center"/>
                    <w:rPr>
                      <w:color w:val="auto"/>
                      <w:sz w:val="21"/>
                      <w:szCs w:val="21"/>
                    </w:rPr>
                  </w:pPr>
                </w:p>
              </w:tc>
            </w:tr>
            <w:tr w14:paraId="0159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40A9F14F">
                  <w:pPr>
                    <w:adjustRightInd w:val="0"/>
                    <w:spacing w:line="240" w:lineRule="auto"/>
                    <w:jc w:val="center"/>
                    <w:rPr>
                      <w:rFonts w:hint="eastAsia"/>
                      <w:color w:val="auto"/>
                      <w:kern w:val="0"/>
                      <w:sz w:val="21"/>
                      <w:szCs w:val="21"/>
                      <w:lang w:eastAsia="zh-CN"/>
                    </w:rPr>
                  </w:pPr>
                </w:p>
              </w:tc>
              <w:tc>
                <w:tcPr>
                  <w:tcW w:w="733" w:type="pct"/>
                  <w:vMerge w:val="continue"/>
                  <w:noWrap w:val="0"/>
                  <w:vAlign w:val="center"/>
                </w:tcPr>
                <w:p w14:paraId="5984C32A">
                  <w:pPr>
                    <w:adjustRightInd w:val="0"/>
                    <w:spacing w:line="240" w:lineRule="auto"/>
                    <w:jc w:val="center"/>
                    <w:rPr>
                      <w:rFonts w:hint="eastAsia"/>
                      <w:color w:val="auto"/>
                      <w:kern w:val="0"/>
                      <w:sz w:val="21"/>
                      <w:szCs w:val="21"/>
                      <w:lang w:eastAsia="zh-CN"/>
                    </w:rPr>
                  </w:pPr>
                </w:p>
              </w:tc>
              <w:tc>
                <w:tcPr>
                  <w:tcW w:w="537" w:type="pct"/>
                  <w:noWrap w:val="0"/>
                  <w:vAlign w:val="center"/>
                </w:tcPr>
                <w:p w14:paraId="026BDE4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26" w:type="pct"/>
                  <w:vMerge w:val="continue"/>
                  <w:noWrap w:val="0"/>
                  <w:vAlign w:val="center"/>
                </w:tcPr>
                <w:p w14:paraId="7387FC0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p>
              </w:tc>
              <w:tc>
                <w:tcPr>
                  <w:tcW w:w="784" w:type="pct"/>
                  <w:vMerge w:val="continue"/>
                  <w:noWrap w:val="0"/>
                  <w:vAlign w:val="center"/>
                </w:tcPr>
                <w:p w14:paraId="02D0E2A1">
                  <w:pPr>
                    <w:snapToGrid w:val="0"/>
                    <w:jc w:val="center"/>
                    <w:rPr>
                      <w:rFonts w:hint="eastAsia"/>
                      <w:color w:val="auto"/>
                      <w:kern w:val="0"/>
                      <w:sz w:val="21"/>
                      <w:szCs w:val="21"/>
                      <w:lang w:val="en-US" w:eastAsia="zh-CN"/>
                    </w:rPr>
                  </w:pPr>
                </w:p>
              </w:tc>
              <w:tc>
                <w:tcPr>
                  <w:tcW w:w="383" w:type="pct"/>
                  <w:noWrap w:val="0"/>
                  <w:vAlign w:val="center"/>
                </w:tcPr>
                <w:p w14:paraId="5BC5A51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7BFFF8E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90</w:t>
                  </w:r>
                </w:p>
              </w:tc>
              <w:tc>
                <w:tcPr>
                  <w:tcW w:w="528" w:type="pct"/>
                  <w:noWrap w:val="0"/>
                  <w:vAlign w:val="center"/>
                </w:tcPr>
                <w:p w14:paraId="3A70F64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3E6BFE3E">
                  <w:pPr>
                    <w:adjustRightInd w:val="0"/>
                    <w:snapToGrid w:val="0"/>
                    <w:spacing w:line="240" w:lineRule="auto"/>
                    <w:jc w:val="center"/>
                    <w:rPr>
                      <w:color w:val="auto"/>
                      <w:sz w:val="21"/>
                      <w:szCs w:val="21"/>
                    </w:rPr>
                  </w:pPr>
                </w:p>
              </w:tc>
            </w:tr>
            <w:tr w14:paraId="3637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7ABCE55A">
                  <w:pPr>
                    <w:adjustRightInd w:val="0"/>
                    <w:spacing w:line="240" w:lineRule="auto"/>
                    <w:jc w:val="center"/>
                    <w:rPr>
                      <w:rFonts w:hint="eastAsia"/>
                      <w:color w:val="auto"/>
                      <w:kern w:val="0"/>
                      <w:sz w:val="21"/>
                      <w:szCs w:val="21"/>
                      <w:lang w:eastAsia="zh-CN"/>
                    </w:rPr>
                  </w:pPr>
                </w:p>
              </w:tc>
              <w:tc>
                <w:tcPr>
                  <w:tcW w:w="733" w:type="pct"/>
                  <w:noWrap w:val="0"/>
                  <w:vAlign w:val="center"/>
                </w:tcPr>
                <w:p w14:paraId="17CAEBD5">
                  <w:pPr>
                    <w:adjustRightInd w:val="0"/>
                    <w:spacing w:line="240" w:lineRule="auto"/>
                    <w:jc w:val="center"/>
                    <w:rPr>
                      <w:rFonts w:hint="eastAsia"/>
                      <w:color w:val="auto"/>
                      <w:kern w:val="0"/>
                      <w:sz w:val="21"/>
                      <w:szCs w:val="21"/>
                      <w:lang w:eastAsia="zh-CN"/>
                    </w:rPr>
                  </w:pPr>
                  <w:r>
                    <w:rPr>
                      <w:rFonts w:hint="eastAsia"/>
                      <w:color w:val="auto"/>
                      <w:kern w:val="0"/>
                      <w:sz w:val="21"/>
                      <w:szCs w:val="21"/>
                      <w:lang w:eastAsia="zh-CN"/>
                    </w:rPr>
                    <w:t>粉碎</w:t>
                  </w:r>
                </w:p>
              </w:tc>
              <w:tc>
                <w:tcPr>
                  <w:tcW w:w="537" w:type="pct"/>
                  <w:noWrap w:val="0"/>
                  <w:vAlign w:val="center"/>
                </w:tcPr>
                <w:p w14:paraId="5A17E76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426" w:type="pct"/>
                  <w:noWrap w:val="0"/>
                  <w:vAlign w:val="center"/>
                </w:tcPr>
                <w:p w14:paraId="384BE252">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DA004</w:t>
                  </w:r>
                </w:p>
              </w:tc>
              <w:tc>
                <w:tcPr>
                  <w:tcW w:w="784" w:type="pct"/>
                  <w:noWrap w:val="0"/>
                  <w:vAlign w:val="center"/>
                </w:tcPr>
                <w:p w14:paraId="2D36AB27">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布袋除尘器+1根20m高排气筒（DA004）</w:t>
                  </w:r>
                </w:p>
              </w:tc>
              <w:tc>
                <w:tcPr>
                  <w:tcW w:w="383" w:type="pct"/>
                  <w:noWrap w:val="0"/>
                  <w:vAlign w:val="center"/>
                </w:tcPr>
                <w:p w14:paraId="5539F0E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719BF39B">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99</w:t>
                  </w:r>
                </w:p>
              </w:tc>
              <w:tc>
                <w:tcPr>
                  <w:tcW w:w="528" w:type="pct"/>
                  <w:noWrap w:val="0"/>
                  <w:vAlign w:val="center"/>
                </w:tcPr>
                <w:p w14:paraId="2190DD1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436F25FF">
                  <w:pPr>
                    <w:adjustRightInd w:val="0"/>
                    <w:snapToGrid w:val="0"/>
                    <w:spacing w:line="240" w:lineRule="auto"/>
                    <w:jc w:val="center"/>
                    <w:rPr>
                      <w:color w:val="auto"/>
                      <w:sz w:val="21"/>
                      <w:szCs w:val="21"/>
                    </w:rPr>
                  </w:pPr>
                </w:p>
              </w:tc>
            </w:tr>
            <w:tr w14:paraId="58B8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4" w:type="pct"/>
                  <w:vMerge w:val="continue"/>
                  <w:noWrap w:val="0"/>
                  <w:vAlign w:val="center"/>
                </w:tcPr>
                <w:p w14:paraId="5115F259">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hint="eastAsia"/>
                      <w:color w:val="auto"/>
                      <w:kern w:val="0"/>
                      <w:sz w:val="21"/>
                      <w:szCs w:val="21"/>
                      <w:lang w:eastAsia="zh-CN"/>
                    </w:rPr>
                  </w:pPr>
                </w:p>
              </w:tc>
              <w:tc>
                <w:tcPr>
                  <w:tcW w:w="733" w:type="pct"/>
                  <w:noWrap w:val="0"/>
                  <w:vAlign w:val="center"/>
                </w:tcPr>
                <w:p w14:paraId="30215139">
                  <w:pPr>
                    <w:adjustRightInd w:val="0"/>
                    <w:spacing w:line="240" w:lineRule="auto"/>
                    <w:jc w:val="center"/>
                    <w:rPr>
                      <w:rFonts w:hint="eastAsia"/>
                      <w:color w:val="auto"/>
                      <w:kern w:val="0"/>
                      <w:sz w:val="21"/>
                      <w:szCs w:val="21"/>
                      <w:lang w:eastAsia="zh-CN"/>
                    </w:rPr>
                  </w:pPr>
                  <w:r>
                    <w:rPr>
                      <w:rFonts w:hint="eastAsia" w:cs="Times New Roman"/>
                      <w:b w:val="0"/>
                      <w:bCs w:val="0"/>
                      <w:color w:val="auto"/>
                      <w:kern w:val="0"/>
                      <w:sz w:val="21"/>
                      <w:szCs w:val="21"/>
                      <w:lang w:val="en-US" w:eastAsia="zh-CN"/>
                    </w:rPr>
                    <w:t>拆包、输送、包装</w:t>
                  </w:r>
                </w:p>
              </w:tc>
              <w:tc>
                <w:tcPr>
                  <w:tcW w:w="537" w:type="pct"/>
                  <w:noWrap w:val="0"/>
                  <w:vAlign w:val="center"/>
                </w:tcPr>
                <w:p w14:paraId="36B96613">
                  <w:pPr>
                    <w:jc w:val="center"/>
                  </w:pPr>
                  <w:r>
                    <w:rPr>
                      <w:rFonts w:hint="eastAsia" w:cs="Times New Roman"/>
                      <w:color w:val="auto"/>
                      <w:sz w:val="21"/>
                      <w:szCs w:val="21"/>
                      <w:lang w:val="en-US" w:eastAsia="zh-CN"/>
                    </w:rPr>
                    <w:t>颗粒物</w:t>
                  </w:r>
                </w:p>
              </w:tc>
              <w:tc>
                <w:tcPr>
                  <w:tcW w:w="426" w:type="pct"/>
                  <w:noWrap w:val="0"/>
                  <w:vAlign w:val="center"/>
                </w:tcPr>
                <w:p w14:paraId="4495DD43">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w:t>
                  </w:r>
                </w:p>
              </w:tc>
              <w:tc>
                <w:tcPr>
                  <w:tcW w:w="784" w:type="pct"/>
                  <w:noWrap w:val="0"/>
                  <w:vAlign w:val="center"/>
                </w:tcPr>
                <w:p w14:paraId="16CEEA8F">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滤芯除尘</w:t>
                  </w:r>
                </w:p>
              </w:tc>
              <w:tc>
                <w:tcPr>
                  <w:tcW w:w="383" w:type="pct"/>
                  <w:noWrap w:val="0"/>
                  <w:vAlign w:val="center"/>
                </w:tcPr>
                <w:p w14:paraId="4904289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95</w:t>
                  </w:r>
                </w:p>
              </w:tc>
              <w:tc>
                <w:tcPr>
                  <w:tcW w:w="453" w:type="pct"/>
                  <w:noWrap w:val="0"/>
                  <w:vAlign w:val="center"/>
                </w:tcPr>
                <w:p w14:paraId="5FCBF13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99</w:t>
                  </w:r>
                </w:p>
              </w:tc>
              <w:tc>
                <w:tcPr>
                  <w:tcW w:w="528" w:type="pct"/>
                  <w:noWrap w:val="0"/>
                  <w:vAlign w:val="center"/>
                </w:tcPr>
                <w:p w14:paraId="2F03E51A">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是</w:t>
                  </w:r>
                </w:p>
              </w:tc>
              <w:tc>
                <w:tcPr>
                  <w:tcW w:w="868" w:type="pct"/>
                  <w:vMerge w:val="continue"/>
                  <w:noWrap w:val="0"/>
                  <w:vAlign w:val="center"/>
                </w:tcPr>
                <w:p w14:paraId="24601409">
                  <w:pPr>
                    <w:adjustRightInd w:val="0"/>
                    <w:snapToGrid w:val="0"/>
                    <w:spacing w:line="240" w:lineRule="auto"/>
                    <w:jc w:val="center"/>
                    <w:rPr>
                      <w:color w:val="auto"/>
                      <w:sz w:val="21"/>
                      <w:szCs w:val="21"/>
                    </w:rPr>
                  </w:pPr>
                </w:p>
              </w:tc>
            </w:tr>
          </w:tbl>
          <w:p w14:paraId="0968D97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6 </w:t>
            </w:r>
            <w:r>
              <w:rPr>
                <w:rFonts w:hint="eastAsia"/>
                <w:b/>
                <w:color w:val="auto"/>
                <w:kern w:val="0"/>
                <w:sz w:val="21"/>
                <w:szCs w:val="21"/>
              </w:rPr>
              <w:t>排放口基本情况一览表</w:t>
            </w:r>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907"/>
              <w:gridCol w:w="1695"/>
              <w:gridCol w:w="1260"/>
              <w:gridCol w:w="1140"/>
              <w:gridCol w:w="990"/>
              <w:gridCol w:w="945"/>
              <w:gridCol w:w="1005"/>
              <w:gridCol w:w="975"/>
            </w:tblGrid>
            <w:tr w14:paraId="0C54A9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Merge w:val="restart"/>
                  <w:vAlign w:val="center"/>
                </w:tcPr>
                <w:p w14:paraId="1E82DF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695" w:type="dxa"/>
                  <w:vMerge w:val="restart"/>
                  <w:vAlign w:val="center"/>
                </w:tcPr>
                <w:p w14:paraId="1683A103">
                  <w:pPr>
                    <w:jc w:val="center"/>
                    <w:rPr>
                      <w:rFonts w:hint="eastAsia" w:ascii="Times New Roman" w:hAnsi="Times New Roman" w:eastAsia="宋体" w:cs="Times New Roman"/>
                      <w:color w:val="auto"/>
                      <w:sz w:val="21"/>
                      <w:szCs w:val="21"/>
                      <w:lang w:eastAsia="zh-CN"/>
                    </w:rPr>
                  </w:pPr>
                  <w:r>
                    <w:rPr>
                      <w:color w:val="auto"/>
                      <w:kern w:val="0"/>
                      <w:sz w:val="21"/>
                      <w:szCs w:val="21"/>
                    </w:rPr>
                    <w:t>产</w:t>
                  </w:r>
                  <w:r>
                    <w:rPr>
                      <w:rFonts w:hint="eastAsia"/>
                      <w:color w:val="auto"/>
                      <w:kern w:val="0"/>
                      <w:sz w:val="21"/>
                      <w:szCs w:val="21"/>
                      <w:lang w:eastAsia="zh-CN"/>
                    </w:rPr>
                    <w:t>排</w:t>
                  </w:r>
                  <w:r>
                    <w:rPr>
                      <w:color w:val="auto"/>
                      <w:kern w:val="0"/>
                      <w:sz w:val="21"/>
                      <w:szCs w:val="21"/>
                    </w:rPr>
                    <w:t>污环节</w:t>
                  </w:r>
                </w:p>
              </w:tc>
              <w:tc>
                <w:tcPr>
                  <w:tcW w:w="2400" w:type="dxa"/>
                  <w:gridSpan w:val="2"/>
                  <w:vAlign w:val="center"/>
                </w:tcPr>
                <w:p w14:paraId="3DF8411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排气筒底部中心坐标</w:t>
                  </w:r>
                </w:p>
              </w:tc>
              <w:tc>
                <w:tcPr>
                  <w:tcW w:w="2940" w:type="dxa"/>
                  <w:gridSpan w:val="3"/>
                  <w:tcBorders>
                    <w:right w:val="single" w:color="auto" w:sz="4" w:space="0"/>
                  </w:tcBorders>
                  <w:vAlign w:val="center"/>
                </w:tcPr>
                <w:p w14:paraId="3E321B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排气筒参数</w:t>
                  </w:r>
                </w:p>
              </w:tc>
              <w:tc>
                <w:tcPr>
                  <w:tcW w:w="975" w:type="dxa"/>
                  <w:vMerge w:val="restart"/>
                  <w:vAlign w:val="center"/>
                </w:tcPr>
                <w:p w14:paraId="19649B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排放口类型</w:t>
                  </w:r>
                </w:p>
              </w:tc>
            </w:tr>
            <w:tr w14:paraId="038A9D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Merge w:val="continue"/>
                  <w:vAlign w:val="center"/>
                </w:tcPr>
                <w:p w14:paraId="024337EB">
                  <w:pPr>
                    <w:jc w:val="center"/>
                    <w:rPr>
                      <w:rFonts w:hint="default" w:ascii="Times New Roman" w:hAnsi="Times New Roman" w:cs="Times New Roman"/>
                      <w:color w:val="auto"/>
                      <w:sz w:val="21"/>
                      <w:szCs w:val="21"/>
                    </w:rPr>
                  </w:pPr>
                </w:p>
              </w:tc>
              <w:tc>
                <w:tcPr>
                  <w:tcW w:w="1695" w:type="dxa"/>
                  <w:vMerge w:val="continue"/>
                  <w:vAlign w:val="center"/>
                </w:tcPr>
                <w:p w14:paraId="06F3AF51">
                  <w:pPr>
                    <w:jc w:val="center"/>
                    <w:rPr>
                      <w:rFonts w:hint="default" w:ascii="Times New Roman" w:hAnsi="Times New Roman" w:cs="Times New Roman"/>
                      <w:color w:val="auto"/>
                      <w:sz w:val="21"/>
                      <w:szCs w:val="21"/>
                    </w:rPr>
                  </w:pPr>
                </w:p>
              </w:tc>
              <w:tc>
                <w:tcPr>
                  <w:tcW w:w="1260" w:type="dxa"/>
                  <w:vAlign w:val="center"/>
                </w:tcPr>
                <w:p w14:paraId="2232EDC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140" w:type="dxa"/>
                  <w:vAlign w:val="center"/>
                </w:tcPr>
                <w:p w14:paraId="0AC2AB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990" w:type="dxa"/>
                  <w:vAlign w:val="center"/>
                </w:tcPr>
                <w:p w14:paraId="0D7592B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高度(m)</w:t>
                  </w:r>
                </w:p>
              </w:tc>
              <w:tc>
                <w:tcPr>
                  <w:tcW w:w="945" w:type="dxa"/>
                  <w:vAlign w:val="center"/>
                </w:tcPr>
                <w:p w14:paraId="78CDE3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内径(m)</w:t>
                  </w:r>
                </w:p>
              </w:tc>
              <w:tc>
                <w:tcPr>
                  <w:tcW w:w="1005" w:type="dxa"/>
                  <w:tcBorders>
                    <w:right w:val="single" w:color="auto" w:sz="4" w:space="0"/>
                  </w:tcBorders>
                  <w:vAlign w:val="center"/>
                </w:tcPr>
                <w:p w14:paraId="68B9D7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p>
              </w:tc>
              <w:tc>
                <w:tcPr>
                  <w:tcW w:w="975" w:type="dxa"/>
                  <w:vMerge w:val="continue"/>
                  <w:vAlign w:val="center"/>
                </w:tcPr>
                <w:p w14:paraId="11616495">
                  <w:pPr>
                    <w:jc w:val="center"/>
                    <w:rPr>
                      <w:rFonts w:hint="default" w:ascii="Times New Roman" w:hAnsi="Times New Roman" w:cs="Times New Roman"/>
                      <w:color w:val="auto"/>
                      <w:sz w:val="21"/>
                      <w:szCs w:val="21"/>
                    </w:rPr>
                  </w:pPr>
                </w:p>
              </w:tc>
            </w:tr>
            <w:tr w14:paraId="083A84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Align w:val="center"/>
                </w:tcPr>
                <w:p w14:paraId="0B41D081">
                  <w:pPr>
                    <w:jc w:val="center"/>
                    <w:rPr>
                      <w:rFonts w:hint="default" w:ascii="Times New Roman" w:hAnsi="Times New Roman" w:cs="Times New Roman"/>
                      <w:sz w:val="21"/>
                      <w:szCs w:val="21"/>
                    </w:rPr>
                  </w:pPr>
                  <w:r>
                    <w:rPr>
                      <w:rFonts w:hint="default" w:ascii="Times New Roman" w:hAnsi="Times New Roman" w:cs="Times New Roman"/>
                      <w:sz w:val="21"/>
                      <w:szCs w:val="21"/>
                    </w:rPr>
                    <w:t>DA001</w:t>
                  </w:r>
                </w:p>
              </w:tc>
              <w:tc>
                <w:tcPr>
                  <w:tcW w:w="1695" w:type="dxa"/>
                  <w:vAlign w:val="center"/>
                </w:tcPr>
                <w:p w14:paraId="137B7154">
                  <w:pPr>
                    <w:adjustRightInd w:val="0"/>
                    <w:spacing w:line="240" w:lineRule="auto"/>
                    <w:jc w:val="center"/>
                    <w:rPr>
                      <w:rFonts w:hint="default" w:ascii="Times New Roman" w:hAnsi="Times New Roman" w:cs="Times New Roman"/>
                      <w:sz w:val="21"/>
                      <w:szCs w:val="21"/>
                    </w:rPr>
                  </w:pPr>
                  <w:r>
                    <w:rPr>
                      <w:rFonts w:hint="eastAsia" w:cs="Times New Roman"/>
                      <w:b w:val="0"/>
                      <w:bCs w:val="0"/>
                      <w:color w:val="auto"/>
                      <w:kern w:val="0"/>
                      <w:sz w:val="21"/>
                      <w:szCs w:val="21"/>
                      <w:lang w:val="en-US" w:eastAsia="zh-CN"/>
                    </w:rPr>
                    <w:t>盐酸储罐呼吸、配酸、酸洗、干燥废气</w:t>
                  </w:r>
                </w:p>
              </w:tc>
              <w:tc>
                <w:tcPr>
                  <w:tcW w:w="1260" w:type="dxa"/>
                  <w:vAlign w:val="center"/>
                </w:tcPr>
                <w:p w14:paraId="0C4EE39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117.</w:t>
                  </w:r>
                  <w:r>
                    <w:rPr>
                      <w:rFonts w:hint="eastAsia" w:cs="Times New Roman"/>
                      <w:color w:val="auto"/>
                      <w:sz w:val="21"/>
                      <w:szCs w:val="21"/>
                      <w:lang w:val="en-US" w:eastAsia="zh-CN"/>
                    </w:rPr>
                    <w:t>343161</w:t>
                  </w:r>
                </w:p>
              </w:tc>
              <w:tc>
                <w:tcPr>
                  <w:tcW w:w="1140" w:type="dxa"/>
                  <w:vAlign w:val="center"/>
                </w:tcPr>
                <w:p w14:paraId="656D5FC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3</w:t>
                  </w:r>
                  <w:r>
                    <w:rPr>
                      <w:rFonts w:hint="eastAsia" w:cs="Times New Roman"/>
                      <w:color w:val="auto"/>
                      <w:sz w:val="21"/>
                      <w:szCs w:val="21"/>
                      <w:lang w:val="en-US" w:eastAsia="zh-CN"/>
                    </w:rPr>
                    <w:t>3.269149</w:t>
                  </w:r>
                </w:p>
              </w:tc>
              <w:tc>
                <w:tcPr>
                  <w:tcW w:w="990" w:type="dxa"/>
                  <w:vAlign w:val="center"/>
                </w:tcPr>
                <w:p w14:paraId="4BFDBC47">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20</w:t>
                  </w:r>
                </w:p>
              </w:tc>
              <w:tc>
                <w:tcPr>
                  <w:tcW w:w="945" w:type="dxa"/>
                  <w:vAlign w:val="center"/>
                </w:tcPr>
                <w:p w14:paraId="0A3C451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1005" w:type="dxa"/>
                  <w:vAlign w:val="center"/>
                </w:tcPr>
                <w:p w14:paraId="1DB9C6EF">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常温</w:t>
                  </w:r>
                </w:p>
              </w:tc>
              <w:tc>
                <w:tcPr>
                  <w:tcW w:w="975" w:type="dxa"/>
                  <w:vAlign w:val="center"/>
                </w:tcPr>
                <w:p w14:paraId="794CE0E0">
                  <w:pPr>
                    <w:jc w:val="center"/>
                    <w:rPr>
                      <w:rFonts w:hint="default" w:ascii="Times New Roman" w:hAnsi="Times New Roman" w:cs="Times New Roman"/>
                      <w:sz w:val="21"/>
                      <w:szCs w:val="21"/>
                    </w:rPr>
                  </w:pPr>
                  <w:r>
                    <w:rPr>
                      <w:rFonts w:hint="default" w:ascii="Times New Roman" w:hAnsi="Times New Roman" w:cs="Times New Roman"/>
                      <w:sz w:val="21"/>
                      <w:szCs w:val="21"/>
                    </w:rPr>
                    <w:t>一般排</w:t>
                  </w:r>
                  <w:r>
                    <w:rPr>
                      <w:rFonts w:hint="eastAsia" w:cs="Times New Roman"/>
                      <w:sz w:val="21"/>
                      <w:szCs w:val="21"/>
                      <w:lang w:eastAsia="zh-CN"/>
                    </w:rPr>
                    <w:t>放</w:t>
                  </w:r>
                  <w:r>
                    <w:rPr>
                      <w:rFonts w:hint="default" w:ascii="Times New Roman" w:hAnsi="Times New Roman" w:cs="Times New Roman"/>
                      <w:sz w:val="21"/>
                      <w:szCs w:val="21"/>
                    </w:rPr>
                    <w:t>口</w:t>
                  </w:r>
                </w:p>
              </w:tc>
            </w:tr>
            <w:tr w14:paraId="416F20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Align w:val="center"/>
                </w:tcPr>
                <w:p w14:paraId="40295BD7">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DA00</w:t>
                  </w:r>
                  <w:r>
                    <w:rPr>
                      <w:rFonts w:hint="eastAsia" w:cs="Times New Roman"/>
                      <w:sz w:val="21"/>
                      <w:szCs w:val="21"/>
                      <w:lang w:val="en-US" w:eastAsia="zh-CN"/>
                    </w:rPr>
                    <w:t>2</w:t>
                  </w:r>
                </w:p>
              </w:tc>
              <w:tc>
                <w:tcPr>
                  <w:tcW w:w="1695" w:type="dxa"/>
                  <w:vAlign w:val="center"/>
                </w:tcPr>
                <w:p w14:paraId="307CCD05">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粉碎粉尘</w:t>
                  </w:r>
                </w:p>
              </w:tc>
              <w:tc>
                <w:tcPr>
                  <w:tcW w:w="1260" w:type="dxa"/>
                  <w:vAlign w:val="center"/>
                </w:tcPr>
                <w:p w14:paraId="1500037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117.343945</w:t>
                  </w:r>
                </w:p>
              </w:tc>
              <w:tc>
                <w:tcPr>
                  <w:tcW w:w="1140" w:type="dxa"/>
                  <w:vAlign w:val="center"/>
                </w:tcPr>
                <w:p w14:paraId="0B9BEB5A">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33.269770</w:t>
                  </w:r>
                </w:p>
              </w:tc>
              <w:tc>
                <w:tcPr>
                  <w:tcW w:w="990" w:type="dxa"/>
                  <w:vAlign w:val="center"/>
                </w:tcPr>
                <w:p w14:paraId="37A76C80">
                  <w:pPr>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945" w:type="dxa"/>
                  <w:vAlign w:val="center"/>
                </w:tcPr>
                <w:p w14:paraId="07DECCF2">
                  <w:pPr>
                    <w:jc w:val="center"/>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1005" w:type="dxa"/>
                  <w:vAlign w:val="center"/>
                </w:tcPr>
                <w:p w14:paraId="4CA67E70">
                  <w:pPr>
                    <w:jc w:val="center"/>
                    <w:rPr>
                      <w:rFonts w:hint="eastAsia" w:cs="Times New Roman"/>
                      <w:color w:val="auto"/>
                      <w:sz w:val="21"/>
                      <w:szCs w:val="21"/>
                      <w:lang w:val="en-US" w:eastAsia="zh-CN"/>
                    </w:rPr>
                  </w:pPr>
                  <w:r>
                    <w:rPr>
                      <w:rFonts w:hint="eastAsia" w:cs="Times New Roman"/>
                      <w:color w:val="auto"/>
                      <w:sz w:val="21"/>
                      <w:szCs w:val="21"/>
                      <w:lang w:val="en-US" w:eastAsia="zh-CN"/>
                    </w:rPr>
                    <w:t>常温</w:t>
                  </w:r>
                </w:p>
              </w:tc>
              <w:tc>
                <w:tcPr>
                  <w:tcW w:w="975" w:type="dxa"/>
                  <w:vAlign w:val="center"/>
                </w:tcPr>
                <w:p w14:paraId="1494A6FA">
                  <w:pPr>
                    <w:jc w:val="center"/>
                    <w:rPr>
                      <w:rFonts w:hint="default" w:ascii="Times New Roman" w:hAnsi="Times New Roman" w:cs="Times New Roman"/>
                      <w:sz w:val="21"/>
                      <w:szCs w:val="21"/>
                    </w:rPr>
                  </w:pPr>
                  <w:r>
                    <w:rPr>
                      <w:rFonts w:hint="default" w:ascii="Times New Roman" w:hAnsi="Times New Roman" w:cs="Times New Roman"/>
                      <w:sz w:val="21"/>
                      <w:szCs w:val="21"/>
                    </w:rPr>
                    <w:t>一般排</w:t>
                  </w:r>
                  <w:r>
                    <w:rPr>
                      <w:rFonts w:hint="eastAsia" w:cs="Times New Roman"/>
                      <w:sz w:val="21"/>
                      <w:szCs w:val="21"/>
                      <w:lang w:eastAsia="zh-CN"/>
                    </w:rPr>
                    <w:t>放</w:t>
                  </w:r>
                  <w:r>
                    <w:rPr>
                      <w:rFonts w:hint="default" w:ascii="Times New Roman" w:hAnsi="Times New Roman" w:cs="Times New Roman"/>
                      <w:sz w:val="21"/>
                      <w:szCs w:val="21"/>
                    </w:rPr>
                    <w:t>口</w:t>
                  </w:r>
                </w:p>
              </w:tc>
            </w:tr>
            <w:tr w14:paraId="159878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Align w:val="center"/>
                </w:tcPr>
                <w:p w14:paraId="5558F1F5">
                  <w:pPr>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DA00</w:t>
                  </w:r>
                  <w:r>
                    <w:rPr>
                      <w:rFonts w:hint="eastAsia" w:cs="Times New Roman"/>
                      <w:sz w:val="21"/>
                      <w:szCs w:val="21"/>
                      <w:lang w:val="en-US" w:eastAsia="zh-CN"/>
                    </w:rPr>
                    <w:t>3</w:t>
                  </w:r>
                </w:p>
              </w:tc>
              <w:tc>
                <w:tcPr>
                  <w:tcW w:w="1695" w:type="dxa"/>
                  <w:vAlign w:val="center"/>
                </w:tcPr>
                <w:p w14:paraId="0A55BBC3">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盐酸储罐呼吸、配酸、酸洗、干燥废气</w:t>
                  </w:r>
                </w:p>
              </w:tc>
              <w:tc>
                <w:tcPr>
                  <w:tcW w:w="1260" w:type="dxa"/>
                  <w:vAlign w:val="center"/>
                </w:tcPr>
                <w:p w14:paraId="781C93D3">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117.</w:t>
                  </w:r>
                  <w:r>
                    <w:rPr>
                      <w:rFonts w:hint="eastAsia" w:cs="Times New Roman"/>
                      <w:color w:val="auto"/>
                      <w:sz w:val="21"/>
                      <w:szCs w:val="21"/>
                      <w:lang w:val="en-US" w:eastAsia="zh-CN"/>
                    </w:rPr>
                    <w:t>344579</w:t>
                  </w:r>
                </w:p>
              </w:tc>
              <w:tc>
                <w:tcPr>
                  <w:tcW w:w="1140" w:type="dxa"/>
                  <w:vAlign w:val="center"/>
                </w:tcPr>
                <w:p w14:paraId="4F8B7CEB">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3</w:t>
                  </w:r>
                  <w:r>
                    <w:rPr>
                      <w:rFonts w:hint="eastAsia" w:cs="Times New Roman"/>
                      <w:color w:val="auto"/>
                      <w:sz w:val="21"/>
                      <w:szCs w:val="21"/>
                      <w:lang w:val="en-US" w:eastAsia="zh-CN"/>
                    </w:rPr>
                    <w:t>3.268990</w:t>
                  </w:r>
                </w:p>
              </w:tc>
              <w:tc>
                <w:tcPr>
                  <w:tcW w:w="990" w:type="dxa"/>
                  <w:vAlign w:val="center"/>
                </w:tcPr>
                <w:p w14:paraId="25B49B6B">
                  <w:pPr>
                    <w:jc w:val="center"/>
                    <w:rPr>
                      <w:rFonts w:hint="eastAsia" w:cs="Times New Roman"/>
                      <w:color w:val="auto"/>
                      <w:sz w:val="21"/>
                      <w:szCs w:val="21"/>
                      <w:lang w:val="en-US" w:eastAsia="zh-CN"/>
                    </w:rPr>
                  </w:pPr>
                  <w:r>
                    <w:rPr>
                      <w:rFonts w:hint="eastAsia" w:cs="Times New Roman"/>
                      <w:color w:val="auto"/>
                      <w:sz w:val="21"/>
                      <w:szCs w:val="21"/>
                      <w:lang w:val="en-US" w:eastAsia="zh-CN"/>
                    </w:rPr>
                    <w:t>20</w:t>
                  </w:r>
                </w:p>
              </w:tc>
              <w:tc>
                <w:tcPr>
                  <w:tcW w:w="945" w:type="dxa"/>
                  <w:vAlign w:val="center"/>
                </w:tcPr>
                <w:p w14:paraId="49CC4387">
                  <w:pPr>
                    <w:jc w:val="center"/>
                    <w:rPr>
                      <w:rFonts w:hint="eastAsia" w:cs="Times New Roman"/>
                      <w:color w:val="auto"/>
                      <w:sz w:val="21"/>
                      <w:szCs w:val="21"/>
                      <w:lang w:val="en-US" w:eastAsia="zh-CN"/>
                    </w:rPr>
                  </w:pPr>
                  <w:r>
                    <w:rPr>
                      <w:rFonts w:hint="eastAsia" w:cs="Times New Roman"/>
                      <w:color w:val="auto"/>
                      <w:sz w:val="21"/>
                      <w:szCs w:val="21"/>
                      <w:lang w:val="en-US" w:eastAsia="zh-CN"/>
                    </w:rPr>
                    <w:t>0.3</w:t>
                  </w:r>
                </w:p>
              </w:tc>
              <w:tc>
                <w:tcPr>
                  <w:tcW w:w="1005" w:type="dxa"/>
                  <w:vAlign w:val="center"/>
                </w:tcPr>
                <w:p w14:paraId="482325B1">
                  <w:pPr>
                    <w:jc w:val="center"/>
                    <w:rPr>
                      <w:rFonts w:hint="eastAsia" w:cs="Times New Roman"/>
                      <w:color w:val="auto"/>
                      <w:sz w:val="21"/>
                      <w:szCs w:val="21"/>
                      <w:lang w:val="en-US" w:eastAsia="zh-CN"/>
                    </w:rPr>
                  </w:pPr>
                  <w:r>
                    <w:rPr>
                      <w:rFonts w:hint="eastAsia" w:cs="Times New Roman"/>
                      <w:color w:val="auto"/>
                      <w:sz w:val="21"/>
                      <w:szCs w:val="21"/>
                      <w:lang w:val="en-US" w:eastAsia="zh-CN"/>
                    </w:rPr>
                    <w:t>常温</w:t>
                  </w:r>
                </w:p>
              </w:tc>
              <w:tc>
                <w:tcPr>
                  <w:tcW w:w="975" w:type="dxa"/>
                  <w:vAlign w:val="center"/>
                </w:tcPr>
                <w:p w14:paraId="257A365E">
                  <w:pPr>
                    <w:jc w:val="center"/>
                    <w:rPr>
                      <w:rFonts w:hint="default" w:ascii="Times New Roman" w:hAnsi="Times New Roman" w:cs="Times New Roman"/>
                      <w:sz w:val="21"/>
                      <w:szCs w:val="21"/>
                    </w:rPr>
                  </w:pPr>
                  <w:r>
                    <w:rPr>
                      <w:rFonts w:hint="default" w:ascii="Times New Roman" w:hAnsi="Times New Roman" w:cs="Times New Roman"/>
                      <w:sz w:val="21"/>
                      <w:szCs w:val="21"/>
                    </w:rPr>
                    <w:t>一般排</w:t>
                  </w:r>
                  <w:r>
                    <w:rPr>
                      <w:rFonts w:hint="eastAsia" w:cs="Times New Roman"/>
                      <w:sz w:val="21"/>
                      <w:szCs w:val="21"/>
                      <w:lang w:eastAsia="zh-CN"/>
                    </w:rPr>
                    <w:t>放</w:t>
                  </w:r>
                  <w:r>
                    <w:rPr>
                      <w:rFonts w:hint="default" w:ascii="Times New Roman" w:hAnsi="Times New Roman" w:cs="Times New Roman"/>
                      <w:sz w:val="21"/>
                      <w:szCs w:val="21"/>
                    </w:rPr>
                    <w:t>口</w:t>
                  </w:r>
                </w:p>
              </w:tc>
            </w:tr>
            <w:tr w14:paraId="1D0CDE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07" w:type="dxa"/>
                  <w:vAlign w:val="center"/>
                </w:tcPr>
                <w:p w14:paraId="722984D6">
                  <w:pPr>
                    <w:jc w:val="center"/>
                    <w:rPr>
                      <w:rFonts w:hint="default" w:ascii="Times New Roman" w:hAnsi="Times New Roman" w:cs="Times New Roman"/>
                      <w:sz w:val="21"/>
                      <w:szCs w:val="21"/>
                    </w:rPr>
                  </w:pPr>
                  <w:r>
                    <w:rPr>
                      <w:rFonts w:hint="default" w:ascii="Times New Roman" w:hAnsi="Times New Roman" w:cs="Times New Roman"/>
                      <w:sz w:val="21"/>
                      <w:szCs w:val="21"/>
                    </w:rPr>
                    <w:t>DA00</w:t>
                  </w:r>
                  <w:r>
                    <w:rPr>
                      <w:rFonts w:hint="eastAsia" w:cs="Times New Roman"/>
                      <w:sz w:val="21"/>
                      <w:szCs w:val="21"/>
                      <w:lang w:val="en-US" w:eastAsia="zh-CN"/>
                    </w:rPr>
                    <w:t>4</w:t>
                  </w:r>
                </w:p>
              </w:tc>
              <w:tc>
                <w:tcPr>
                  <w:tcW w:w="1695" w:type="dxa"/>
                  <w:vAlign w:val="center"/>
                </w:tcPr>
                <w:p w14:paraId="4168A5C0">
                  <w:pPr>
                    <w:adjustRightInd w:val="0"/>
                    <w:spacing w:line="240" w:lineRule="auto"/>
                    <w:jc w:val="center"/>
                    <w:rPr>
                      <w:rFonts w:hint="eastAsia"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粉碎粉尘</w:t>
                  </w:r>
                </w:p>
              </w:tc>
              <w:tc>
                <w:tcPr>
                  <w:tcW w:w="1260" w:type="dxa"/>
                  <w:vAlign w:val="center"/>
                </w:tcPr>
                <w:p w14:paraId="5772E64E">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117.344375</w:t>
                  </w:r>
                </w:p>
              </w:tc>
              <w:tc>
                <w:tcPr>
                  <w:tcW w:w="1140" w:type="dxa"/>
                  <w:vAlign w:val="center"/>
                </w:tcPr>
                <w:p w14:paraId="7E4D280B">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33.269941</w:t>
                  </w:r>
                </w:p>
              </w:tc>
              <w:tc>
                <w:tcPr>
                  <w:tcW w:w="990" w:type="dxa"/>
                  <w:vAlign w:val="center"/>
                </w:tcPr>
                <w:p w14:paraId="08BA5D3D">
                  <w:pPr>
                    <w:jc w:val="center"/>
                    <w:rPr>
                      <w:rFonts w:hint="default" w:cs="Times New Roman"/>
                      <w:color w:val="auto"/>
                      <w:sz w:val="21"/>
                      <w:szCs w:val="21"/>
                      <w:lang w:val="en-US" w:eastAsia="zh-CN"/>
                    </w:rPr>
                  </w:pPr>
                  <w:r>
                    <w:rPr>
                      <w:rFonts w:hint="eastAsia" w:cs="Times New Roman"/>
                      <w:color w:val="auto"/>
                      <w:sz w:val="21"/>
                      <w:szCs w:val="21"/>
                      <w:lang w:val="en-US" w:eastAsia="zh-CN"/>
                    </w:rPr>
                    <w:t>20</w:t>
                  </w:r>
                </w:p>
              </w:tc>
              <w:tc>
                <w:tcPr>
                  <w:tcW w:w="945" w:type="dxa"/>
                  <w:vAlign w:val="center"/>
                </w:tcPr>
                <w:p w14:paraId="31EBB14C">
                  <w:pPr>
                    <w:jc w:val="center"/>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1005" w:type="dxa"/>
                  <w:vAlign w:val="center"/>
                </w:tcPr>
                <w:p w14:paraId="04E2A979">
                  <w:pPr>
                    <w:jc w:val="center"/>
                    <w:rPr>
                      <w:rFonts w:hint="eastAsia" w:cs="Times New Roman"/>
                      <w:color w:val="auto"/>
                      <w:sz w:val="21"/>
                      <w:szCs w:val="21"/>
                      <w:lang w:val="en-US" w:eastAsia="zh-CN"/>
                    </w:rPr>
                  </w:pPr>
                  <w:r>
                    <w:rPr>
                      <w:rFonts w:hint="eastAsia" w:cs="Times New Roman"/>
                      <w:color w:val="auto"/>
                      <w:sz w:val="21"/>
                      <w:szCs w:val="21"/>
                      <w:lang w:val="en-US" w:eastAsia="zh-CN"/>
                    </w:rPr>
                    <w:t>常温</w:t>
                  </w:r>
                </w:p>
              </w:tc>
              <w:tc>
                <w:tcPr>
                  <w:tcW w:w="975" w:type="dxa"/>
                  <w:vAlign w:val="center"/>
                </w:tcPr>
                <w:p w14:paraId="640BBCBB">
                  <w:pPr>
                    <w:jc w:val="center"/>
                    <w:rPr>
                      <w:rFonts w:hint="default" w:ascii="Times New Roman" w:hAnsi="Times New Roman" w:cs="Times New Roman"/>
                      <w:sz w:val="21"/>
                      <w:szCs w:val="21"/>
                    </w:rPr>
                  </w:pPr>
                  <w:r>
                    <w:rPr>
                      <w:rFonts w:hint="default" w:ascii="Times New Roman" w:hAnsi="Times New Roman" w:cs="Times New Roman"/>
                      <w:sz w:val="21"/>
                      <w:szCs w:val="21"/>
                    </w:rPr>
                    <w:t>一般排</w:t>
                  </w:r>
                  <w:r>
                    <w:rPr>
                      <w:rFonts w:hint="eastAsia" w:cs="Times New Roman"/>
                      <w:sz w:val="21"/>
                      <w:szCs w:val="21"/>
                      <w:lang w:eastAsia="zh-CN"/>
                    </w:rPr>
                    <w:t>放</w:t>
                  </w:r>
                  <w:r>
                    <w:rPr>
                      <w:rFonts w:hint="default" w:ascii="Times New Roman" w:hAnsi="Times New Roman" w:cs="Times New Roman"/>
                      <w:sz w:val="21"/>
                      <w:szCs w:val="21"/>
                    </w:rPr>
                    <w:t>口</w:t>
                  </w:r>
                </w:p>
              </w:tc>
            </w:tr>
          </w:tbl>
          <w:p w14:paraId="6C11A152">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非正常工况下废气源强：</w:t>
            </w:r>
          </w:p>
          <w:p w14:paraId="5A28341F">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本项目非正常工况主要考虑因局部停电造成废气处理设备停止运行，污染防治设备设施损坏导致处理效率下降，而出现废气未经有效处理直接排放，环评分析最坏情况，即处理效率为0。</w:t>
            </w:r>
          </w:p>
          <w:p w14:paraId="2C11F1A5">
            <w:pPr>
              <w:adjustRightIn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非正常工况下废气排放源强见下表。</w:t>
            </w:r>
          </w:p>
          <w:p w14:paraId="15D88A8D">
            <w:pPr>
              <w:spacing w:line="240" w:lineRule="auto"/>
              <w:ind w:firstLine="78" w:firstLineChars="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rPr>
              <w:t xml:space="preserve"> 项目废气处理设施故障（无处理效率</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废气排放参数汇总</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6"/>
              <w:gridCol w:w="1050"/>
              <w:gridCol w:w="1200"/>
              <w:gridCol w:w="1770"/>
              <w:gridCol w:w="1530"/>
              <w:gridCol w:w="1550"/>
            </w:tblGrid>
            <w:tr w14:paraId="50FC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968" w:type="pct"/>
                  <w:noWrap w:val="0"/>
                  <w:vAlign w:val="center"/>
                </w:tcPr>
                <w:p w14:paraId="3B504EA2">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非正常排放原因</w:t>
                  </w:r>
                </w:p>
              </w:tc>
              <w:tc>
                <w:tcPr>
                  <w:tcW w:w="596" w:type="pct"/>
                  <w:noWrap w:val="0"/>
                  <w:vAlign w:val="center"/>
                </w:tcPr>
                <w:p w14:paraId="091AB31A">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排放源</w:t>
                  </w:r>
                </w:p>
              </w:tc>
              <w:tc>
                <w:tcPr>
                  <w:tcW w:w="681" w:type="pct"/>
                  <w:noWrap w:val="0"/>
                  <w:vAlign w:val="center"/>
                </w:tcPr>
                <w:p w14:paraId="2CB5CF0E">
                  <w:pPr>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污染物</w:t>
                  </w:r>
                </w:p>
              </w:tc>
              <w:tc>
                <w:tcPr>
                  <w:tcW w:w="1004" w:type="pct"/>
                  <w:noWrap w:val="0"/>
                  <w:vAlign w:val="center"/>
                </w:tcPr>
                <w:p w14:paraId="774BA303">
                  <w:pPr>
                    <w:jc w:val="center"/>
                    <w:rPr>
                      <w:rFonts w:hint="default" w:ascii="Times New Roman" w:hAnsi="Times New Roman" w:cs="Times New Roman"/>
                      <w:b w:val="0"/>
                      <w:bCs/>
                      <w:color w:val="auto"/>
                      <w:szCs w:val="21"/>
                    </w:rPr>
                  </w:pPr>
                  <w:r>
                    <w:rPr>
                      <w:rFonts w:hint="eastAsia" w:cs="Times New Roman"/>
                      <w:b w:val="0"/>
                      <w:bCs/>
                      <w:color w:val="auto"/>
                      <w:szCs w:val="21"/>
                      <w:lang w:eastAsia="zh-CN"/>
                    </w:rPr>
                    <w:t>非正常</w:t>
                  </w:r>
                  <w:r>
                    <w:rPr>
                      <w:rFonts w:hint="default" w:ascii="Times New Roman" w:hAnsi="Times New Roman" w:cs="Times New Roman"/>
                      <w:b w:val="0"/>
                      <w:bCs/>
                      <w:color w:val="auto"/>
                      <w:szCs w:val="21"/>
                    </w:rPr>
                    <w:t>排放速率kg/h</w:t>
                  </w:r>
                </w:p>
              </w:tc>
              <w:tc>
                <w:tcPr>
                  <w:tcW w:w="868" w:type="pct"/>
                  <w:noWrap w:val="0"/>
                  <w:vAlign w:val="center"/>
                </w:tcPr>
                <w:p w14:paraId="33B1D51E">
                  <w:pPr>
                    <w:jc w:val="center"/>
                    <w:rPr>
                      <w:rFonts w:hint="eastAsia" w:cs="Times New Roman"/>
                      <w:b w:val="0"/>
                      <w:bCs/>
                      <w:color w:val="auto"/>
                      <w:szCs w:val="21"/>
                      <w:lang w:eastAsia="zh-CN"/>
                    </w:rPr>
                  </w:pPr>
                  <w:r>
                    <w:rPr>
                      <w:rFonts w:hint="eastAsia" w:cs="Times New Roman"/>
                      <w:b w:val="0"/>
                      <w:bCs/>
                      <w:color w:val="auto"/>
                      <w:szCs w:val="21"/>
                      <w:lang w:eastAsia="zh-CN"/>
                    </w:rPr>
                    <w:t>单次持续时间</w:t>
                  </w:r>
                </w:p>
                <w:p w14:paraId="5DE557F4">
                  <w:pPr>
                    <w:jc w:val="center"/>
                    <w:rPr>
                      <w:rFonts w:hint="default" w:ascii="Times New Roman" w:hAnsi="Times New Roman" w:eastAsia="宋体" w:cs="Times New Roman"/>
                      <w:b w:val="0"/>
                      <w:bCs/>
                      <w:color w:val="auto"/>
                      <w:szCs w:val="21"/>
                      <w:lang w:eastAsia="zh-CN"/>
                    </w:rPr>
                  </w:pPr>
                  <w:r>
                    <w:rPr>
                      <w:rFonts w:hint="eastAsia" w:cs="Times New Roman"/>
                      <w:b w:val="0"/>
                      <w:bCs/>
                      <w:color w:val="auto"/>
                      <w:szCs w:val="21"/>
                      <w:lang w:val="en-US" w:eastAsia="zh-CN"/>
                    </w:rPr>
                    <w:t>h</w:t>
                  </w:r>
                </w:p>
              </w:tc>
              <w:tc>
                <w:tcPr>
                  <w:tcW w:w="880" w:type="pct"/>
                  <w:noWrap w:val="0"/>
                  <w:vAlign w:val="center"/>
                </w:tcPr>
                <w:p w14:paraId="4F7E743A">
                  <w:pPr>
                    <w:jc w:val="center"/>
                    <w:rPr>
                      <w:rFonts w:hint="eastAsia" w:cs="Times New Roman"/>
                      <w:b w:val="0"/>
                      <w:bCs/>
                      <w:color w:val="auto"/>
                      <w:szCs w:val="21"/>
                      <w:lang w:eastAsia="zh-CN"/>
                    </w:rPr>
                  </w:pPr>
                  <w:r>
                    <w:rPr>
                      <w:rFonts w:hint="eastAsia" w:cs="Times New Roman"/>
                      <w:b w:val="0"/>
                      <w:bCs/>
                      <w:color w:val="auto"/>
                      <w:szCs w:val="21"/>
                      <w:lang w:eastAsia="zh-CN"/>
                    </w:rPr>
                    <w:t>年发生频次</w:t>
                  </w:r>
                </w:p>
                <w:p w14:paraId="3DFAAB55">
                  <w:pPr>
                    <w:jc w:val="center"/>
                    <w:rPr>
                      <w:rFonts w:hint="default" w:ascii="Times New Roman" w:hAnsi="Times New Roman" w:cs="Times New Roman"/>
                      <w:b w:val="0"/>
                      <w:bCs/>
                      <w:color w:val="auto"/>
                      <w:szCs w:val="21"/>
                    </w:rPr>
                  </w:pPr>
                  <w:r>
                    <w:rPr>
                      <w:rFonts w:hint="eastAsia" w:cs="Times New Roman"/>
                      <w:b w:val="0"/>
                      <w:bCs/>
                      <w:color w:val="auto"/>
                      <w:szCs w:val="21"/>
                      <w:lang w:eastAsia="zh-CN"/>
                    </w:rPr>
                    <w:t>次</w:t>
                  </w:r>
                </w:p>
              </w:tc>
            </w:tr>
            <w:tr w14:paraId="7293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968" w:type="pct"/>
                  <w:vMerge w:val="restart"/>
                  <w:noWrap w:val="0"/>
                  <w:vAlign w:val="center"/>
                </w:tcPr>
                <w:p w14:paraId="75714873">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废气处理设备故障，无处理效率</w:t>
                  </w:r>
                </w:p>
              </w:tc>
              <w:tc>
                <w:tcPr>
                  <w:tcW w:w="596" w:type="pct"/>
                  <w:vMerge w:val="restart"/>
                  <w:noWrap w:val="0"/>
                  <w:vAlign w:val="center"/>
                </w:tcPr>
                <w:p w14:paraId="6023CDC9">
                  <w:pPr>
                    <w:pStyle w:val="55"/>
                    <w:spacing w:line="240" w:lineRule="auto"/>
                    <w:ind w:left="-105" w:leftChars="-50" w:right="-105" w:rightChars="-5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sz w:val="21"/>
                      <w:lang w:eastAsia="zh-CN"/>
                    </w:rPr>
                    <w:t>DA0</w:t>
                  </w:r>
                  <w:r>
                    <w:rPr>
                      <w:rFonts w:hint="eastAsia" w:ascii="Times New Roman" w:hAnsi="Times New Roman" w:cs="Times New Roman"/>
                      <w:color w:val="auto"/>
                      <w:sz w:val="21"/>
                      <w:lang w:val="en-US" w:eastAsia="zh-CN"/>
                    </w:rPr>
                    <w:t>01</w:t>
                  </w:r>
                </w:p>
              </w:tc>
              <w:tc>
                <w:tcPr>
                  <w:tcW w:w="681" w:type="pct"/>
                  <w:noWrap w:val="0"/>
                  <w:vAlign w:val="center"/>
                </w:tcPr>
                <w:p w14:paraId="3C129F97">
                  <w:pPr>
                    <w:jc w:val="center"/>
                    <w:rPr>
                      <w:rFonts w:hint="default" w:ascii="Times New Roman" w:hAnsi="Times New Roman" w:cs="Times New Roman"/>
                      <w:color w:val="auto"/>
                      <w:kern w:val="0"/>
                      <w:sz w:val="21"/>
                      <w:szCs w:val="20"/>
                      <w:lang w:val="en-US" w:eastAsia="zh-CN" w:bidi="ar-SA"/>
                    </w:rPr>
                  </w:pPr>
                  <w:r>
                    <w:rPr>
                      <w:rFonts w:hint="eastAsia"/>
                      <w:color w:val="auto"/>
                      <w:kern w:val="0"/>
                      <w:sz w:val="21"/>
                      <w:szCs w:val="21"/>
                      <w:lang w:val="en-US" w:eastAsia="zh-CN"/>
                    </w:rPr>
                    <w:t>HCl</w:t>
                  </w:r>
                </w:p>
              </w:tc>
              <w:tc>
                <w:tcPr>
                  <w:tcW w:w="1004" w:type="pct"/>
                  <w:noWrap w:val="0"/>
                  <w:vAlign w:val="center"/>
                </w:tcPr>
                <w:p w14:paraId="2DE62346">
                  <w:pPr>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0.029</w:t>
                  </w:r>
                </w:p>
              </w:tc>
              <w:tc>
                <w:tcPr>
                  <w:tcW w:w="868" w:type="pct"/>
                  <w:noWrap w:val="0"/>
                  <w:vAlign w:val="center"/>
                </w:tcPr>
                <w:p w14:paraId="03DEA1CB">
                  <w:pPr>
                    <w:adjustRightIn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lang w:val="en-US" w:eastAsia="zh-CN"/>
                    </w:rPr>
                    <w:t>0.5</w:t>
                  </w:r>
                </w:p>
              </w:tc>
              <w:tc>
                <w:tcPr>
                  <w:tcW w:w="880" w:type="pct"/>
                  <w:noWrap w:val="0"/>
                  <w:vAlign w:val="center"/>
                </w:tcPr>
                <w:p w14:paraId="73568549">
                  <w:pPr>
                    <w:adjustRightInd w:val="0"/>
                    <w:spacing w:line="240" w:lineRule="auto"/>
                    <w:jc w:val="center"/>
                    <w:rPr>
                      <w:rFonts w:hint="eastAsia" w:cs="Times New Roman"/>
                      <w:color w:val="auto"/>
                      <w:kern w:val="2"/>
                      <w:sz w:val="21"/>
                      <w:szCs w:val="21"/>
                      <w:lang w:val="en-US" w:eastAsia="zh-CN" w:bidi="ar-SA"/>
                    </w:rPr>
                  </w:pPr>
                  <w:r>
                    <w:rPr>
                      <w:rFonts w:hint="eastAsia"/>
                      <w:color w:val="auto"/>
                      <w:kern w:val="0"/>
                      <w:sz w:val="21"/>
                      <w:szCs w:val="21"/>
                      <w:lang w:val="en-US" w:eastAsia="zh-CN"/>
                    </w:rPr>
                    <w:t>1次/年</w:t>
                  </w:r>
                </w:p>
              </w:tc>
            </w:tr>
            <w:tr w14:paraId="2490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968" w:type="pct"/>
                  <w:vMerge w:val="continue"/>
                  <w:noWrap w:val="0"/>
                  <w:vAlign w:val="center"/>
                </w:tcPr>
                <w:p w14:paraId="052F13FE">
                  <w:pPr>
                    <w:jc w:val="center"/>
                    <w:rPr>
                      <w:rFonts w:hint="default" w:ascii="Times New Roman" w:hAnsi="Times New Roman" w:cs="Times New Roman"/>
                      <w:bCs/>
                      <w:color w:val="auto"/>
                      <w:szCs w:val="21"/>
                    </w:rPr>
                  </w:pPr>
                </w:p>
              </w:tc>
              <w:tc>
                <w:tcPr>
                  <w:tcW w:w="596" w:type="pct"/>
                  <w:vMerge w:val="continue"/>
                  <w:noWrap w:val="0"/>
                  <w:vAlign w:val="center"/>
                </w:tcPr>
                <w:p w14:paraId="1F434921">
                  <w:pPr>
                    <w:pStyle w:val="55"/>
                    <w:spacing w:line="240" w:lineRule="auto"/>
                    <w:ind w:left="-105" w:leftChars="-50" w:right="-105" w:rightChars="-50"/>
                    <w:rPr>
                      <w:rFonts w:hint="eastAsia" w:ascii="Times New Roman" w:hAnsi="Times New Roman" w:cs="Times New Roman"/>
                      <w:color w:val="auto"/>
                      <w:sz w:val="21"/>
                      <w:lang w:eastAsia="zh-CN"/>
                    </w:rPr>
                  </w:pPr>
                </w:p>
              </w:tc>
              <w:tc>
                <w:tcPr>
                  <w:tcW w:w="681" w:type="pct"/>
                  <w:noWrap w:val="0"/>
                  <w:vAlign w:val="center"/>
                </w:tcPr>
                <w:p w14:paraId="263499A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颗粒物</w:t>
                  </w:r>
                </w:p>
              </w:tc>
              <w:tc>
                <w:tcPr>
                  <w:tcW w:w="1004" w:type="pct"/>
                  <w:noWrap w:val="0"/>
                  <w:vAlign w:val="center"/>
                </w:tcPr>
                <w:p w14:paraId="3DAE9ED8">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0.4</w:t>
                  </w:r>
                </w:p>
              </w:tc>
              <w:tc>
                <w:tcPr>
                  <w:tcW w:w="868" w:type="pct"/>
                  <w:noWrap w:val="0"/>
                  <w:vAlign w:val="center"/>
                </w:tcPr>
                <w:p w14:paraId="0C5F5888">
                  <w:pPr>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0.5</w:t>
                  </w:r>
                </w:p>
              </w:tc>
              <w:tc>
                <w:tcPr>
                  <w:tcW w:w="880" w:type="pct"/>
                  <w:noWrap w:val="0"/>
                  <w:vAlign w:val="center"/>
                </w:tcPr>
                <w:p w14:paraId="13614AAE">
                  <w:pPr>
                    <w:adjustRightInd w:val="0"/>
                    <w:spacing w:line="240" w:lineRule="auto"/>
                    <w:jc w:val="center"/>
                    <w:rPr>
                      <w:rFonts w:hint="eastAsia" w:cs="Times New Roman"/>
                      <w:color w:val="auto"/>
                      <w:kern w:val="0"/>
                      <w:sz w:val="21"/>
                      <w:szCs w:val="21"/>
                      <w:lang w:val="en-US" w:eastAsia="zh-CN"/>
                    </w:rPr>
                  </w:pPr>
                  <w:r>
                    <w:rPr>
                      <w:rFonts w:hint="eastAsia"/>
                      <w:color w:val="auto"/>
                      <w:kern w:val="0"/>
                      <w:sz w:val="21"/>
                      <w:szCs w:val="21"/>
                      <w:lang w:val="en-US" w:eastAsia="zh-CN"/>
                    </w:rPr>
                    <w:t>1次/年</w:t>
                  </w:r>
                </w:p>
              </w:tc>
            </w:tr>
            <w:tr w14:paraId="4989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968" w:type="pct"/>
                  <w:vMerge w:val="continue"/>
                  <w:noWrap w:val="0"/>
                  <w:vAlign w:val="center"/>
                </w:tcPr>
                <w:p w14:paraId="3FFF1815">
                  <w:pPr>
                    <w:jc w:val="center"/>
                    <w:rPr>
                      <w:rFonts w:hint="default" w:ascii="Times New Roman" w:hAnsi="Times New Roman" w:cs="Times New Roman"/>
                      <w:bCs/>
                      <w:color w:val="auto"/>
                      <w:szCs w:val="21"/>
                    </w:rPr>
                  </w:pPr>
                </w:p>
              </w:tc>
              <w:tc>
                <w:tcPr>
                  <w:tcW w:w="596" w:type="pct"/>
                  <w:noWrap w:val="0"/>
                  <w:vAlign w:val="center"/>
                </w:tcPr>
                <w:p w14:paraId="6AB7134F">
                  <w:pPr>
                    <w:pStyle w:val="55"/>
                    <w:spacing w:line="240" w:lineRule="auto"/>
                    <w:ind w:left="-105" w:leftChars="-50" w:right="-105" w:rightChars="-50"/>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DA0</w:t>
                  </w:r>
                  <w:r>
                    <w:rPr>
                      <w:rFonts w:hint="eastAsia" w:ascii="Times New Roman" w:hAnsi="Times New Roman" w:cs="Times New Roman"/>
                      <w:color w:val="auto"/>
                      <w:sz w:val="21"/>
                      <w:lang w:val="en-US" w:eastAsia="zh-CN"/>
                    </w:rPr>
                    <w:t>02</w:t>
                  </w:r>
                </w:p>
              </w:tc>
              <w:tc>
                <w:tcPr>
                  <w:tcW w:w="681" w:type="pct"/>
                  <w:noWrap w:val="0"/>
                  <w:vAlign w:val="center"/>
                </w:tcPr>
                <w:p w14:paraId="6799786D">
                  <w:pPr>
                    <w:jc w:val="center"/>
                    <w:rPr>
                      <w:rFonts w:hint="eastAsia"/>
                      <w:bCs/>
                      <w:color w:val="auto"/>
                      <w:sz w:val="21"/>
                      <w:szCs w:val="21"/>
                      <w:lang w:val="en-US" w:eastAsia="zh-CN"/>
                    </w:rPr>
                  </w:pPr>
                  <w:r>
                    <w:rPr>
                      <w:rFonts w:hint="eastAsia" w:cs="Times New Roman"/>
                      <w:color w:val="auto"/>
                      <w:sz w:val="21"/>
                      <w:szCs w:val="21"/>
                      <w:lang w:val="en-US" w:eastAsia="zh-CN"/>
                    </w:rPr>
                    <w:t>颗粒物</w:t>
                  </w:r>
                </w:p>
              </w:tc>
              <w:tc>
                <w:tcPr>
                  <w:tcW w:w="1004" w:type="pct"/>
                  <w:noWrap w:val="0"/>
                  <w:vAlign w:val="center"/>
                </w:tcPr>
                <w:p w14:paraId="77139CFA">
                  <w:pPr>
                    <w:adjustRightInd w:val="0"/>
                    <w:spacing w:line="240" w:lineRule="auto"/>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0.6</w:t>
                  </w:r>
                </w:p>
              </w:tc>
              <w:tc>
                <w:tcPr>
                  <w:tcW w:w="868" w:type="pct"/>
                  <w:noWrap w:val="0"/>
                  <w:vAlign w:val="center"/>
                </w:tcPr>
                <w:p w14:paraId="5C94CB75">
                  <w:pPr>
                    <w:adjustRightInd w:val="0"/>
                    <w:spacing w:line="240" w:lineRule="auto"/>
                    <w:jc w:val="center"/>
                    <w:rPr>
                      <w:rFonts w:hint="default" w:cs="Times New Roman"/>
                      <w:color w:val="auto"/>
                      <w:kern w:val="0"/>
                      <w:sz w:val="21"/>
                      <w:szCs w:val="21"/>
                      <w:lang w:val="en-US" w:eastAsia="zh-CN"/>
                    </w:rPr>
                  </w:pPr>
                  <w:r>
                    <w:rPr>
                      <w:rFonts w:hint="eastAsia"/>
                      <w:color w:val="auto"/>
                      <w:kern w:val="0"/>
                      <w:sz w:val="21"/>
                      <w:szCs w:val="21"/>
                      <w:lang w:val="en-US" w:eastAsia="zh-CN"/>
                    </w:rPr>
                    <w:t>0.5</w:t>
                  </w:r>
                </w:p>
              </w:tc>
              <w:tc>
                <w:tcPr>
                  <w:tcW w:w="880" w:type="pct"/>
                  <w:noWrap w:val="0"/>
                  <w:vAlign w:val="center"/>
                </w:tcPr>
                <w:p w14:paraId="715A7D78">
                  <w:pPr>
                    <w:adjustRightInd w:val="0"/>
                    <w:spacing w:line="240" w:lineRule="auto"/>
                    <w:jc w:val="center"/>
                    <w:rPr>
                      <w:rFonts w:hint="eastAsia" w:cs="Times New Roman"/>
                      <w:color w:val="auto"/>
                      <w:kern w:val="0"/>
                      <w:sz w:val="21"/>
                      <w:szCs w:val="21"/>
                      <w:lang w:val="en-US" w:eastAsia="zh-CN"/>
                    </w:rPr>
                  </w:pPr>
                  <w:r>
                    <w:rPr>
                      <w:rFonts w:hint="eastAsia"/>
                      <w:color w:val="auto"/>
                      <w:kern w:val="0"/>
                      <w:sz w:val="21"/>
                      <w:szCs w:val="21"/>
                      <w:lang w:val="en-US" w:eastAsia="zh-CN"/>
                    </w:rPr>
                    <w:t>1次/年</w:t>
                  </w:r>
                </w:p>
              </w:tc>
            </w:tr>
            <w:tr w14:paraId="5DD6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968" w:type="pct"/>
                  <w:vMerge w:val="continue"/>
                  <w:noWrap w:val="0"/>
                  <w:vAlign w:val="center"/>
                </w:tcPr>
                <w:p w14:paraId="2FA5D6FC">
                  <w:pPr>
                    <w:jc w:val="center"/>
                    <w:rPr>
                      <w:rFonts w:hint="default" w:ascii="Times New Roman" w:hAnsi="Times New Roman" w:cs="Times New Roman"/>
                      <w:bCs/>
                      <w:color w:val="auto"/>
                      <w:szCs w:val="21"/>
                    </w:rPr>
                  </w:pPr>
                </w:p>
              </w:tc>
              <w:tc>
                <w:tcPr>
                  <w:tcW w:w="1050" w:type="dxa"/>
                  <w:vMerge w:val="restart"/>
                  <w:noWrap w:val="0"/>
                  <w:vAlign w:val="center"/>
                </w:tcPr>
                <w:p w14:paraId="4CDB1ED3">
                  <w:pPr>
                    <w:pStyle w:val="55"/>
                    <w:spacing w:line="240" w:lineRule="auto"/>
                    <w:ind w:left="-105" w:leftChars="-50" w:right="-105" w:rightChars="-50"/>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DA0</w:t>
                  </w:r>
                  <w:r>
                    <w:rPr>
                      <w:rFonts w:hint="eastAsia" w:ascii="Times New Roman" w:hAnsi="Times New Roman" w:cs="Times New Roman"/>
                      <w:color w:val="auto"/>
                      <w:sz w:val="21"/>
                      <w:lang w:val="en-US" w:eastAsia="zh-CN"/>
                    </w:rPr>
                    <w:t>0</w:t>
                  </w:r>
                  <w:r>
                    <w:rPr>
                      <w:rFonts w:hint="eastAsia" w:cs="Times New Roman"/>
                      <w:color w:val="auto"/>
                      <w:sz w:val="21"/>
                      <w:lang w:val="en-US" w:eastAsia="zh-CN"/>
                    </w:rPr>
                    <w:t>3</w:t>
                  </w:r>
                </w:p>
              </w:tc>
              <w:tc>
                <w:tcPr>
                  <w:tcW w:w="1200" w:type="dxa"/>
                  <w:noWrap w:val="0"/>
                  <w:vAlign w:val="center"/>
                </w:tcPr>
                <w:p w14:paraId="7B666D82">
                  <w:pPr>
                    <w:jc w:val="center"/>
                    <w:rPr>
                      <w:rFonts w:hint="eastAsia"/>
                      <w:color w:val="auto"/>
                      <w:kern w:val="0"/>
                      <w:sz w:val="21"/>
                      <w:szCs w:val="21"/>
                      <w:lang w:val="en-US" w:eastAsia="zh-CN"/>
                    </w:rPr>
                  </w:pPr>
                  <w:r>
                    <w:rPr>
                      <w:rFonts w:hint="eastAsia"/>
                      <w:color w:val="auto"/>
                      <w:kern w:val="0"/>
                      <w:sz w:val="21"/>
                      <w:szCs w:val="21"/>
                      <w:lang w:val="en-US" w:eastAsia="zh-CN"/>
                    </w:rPr>
                    <w:t>HCl</w:t>
                  </w:r>
                </w:p>
              </w:tc>
              <w:tc>
                <w:tcPr>
                  <w:tcW w:w="1004" w:type="pct"/>
                  <w:noWrap w:val="0"/>
                  <w:vAlign w:val="center"/>
                </w:tcPr>
                <w:p w14:paraId="72DFD36F">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0.012</w:t>
                  </w:r>
                </w:p>
              </w:tc>
              <w:tc>
                <w:tcPr>
                  <w:tcW w:w="1530" w:type="dxa"/>
                  <w:noWrap w:val="0"/>
                  <w:vAlign w:val="center"/>
                </w:tcPr>
                <w:p w14:paraId="032EC668">
                  <w:pPr>
                    <w:adjustRightInd w:val="0"/>
                    <w:spacing w:line="240" w:lineRule="auto"/>
                    <w:jc w:val="center"/>
                    <w:rPr>
                      <w:rFonts w:hint="eastAsia" w:cs="Times New Roman"/>
                      <w:color w:val="auto"/>
                      <w:sz w:val="21"/>
                      <w:szCs w:val="21"/>
                      <w:lang w:val="en-US" w:eastAsia="zh-CN"/>
                    </w:rPr>
                  </w:pPr>
                  <w:r>
                    <w:rPr>
                      <w:rFonts w:hint="eastAsia"/>
                      <w:color w:val="auto"/>
                      <w:kern w:val="0"/>
                      <w:sz w:val="21"/>
                      <w:szCs w:val="21"/>
                      <w:lang w:val="en-US" w:eastAsia="zh-CN"/>
                    </w:rPr>
                    <w:t>0.5</w:t>
                  </w:r>
                </w:p>
              </w:tc>
              <w:tc>
                <w:tcPr>
                  <w:tcW w:w="1550" w:type="dxa"/>
                  <w:noWrap w:val="0"/>
                  <w:vAlign w:val="center"/>
                </w:tcPr>
                <w:p w14:paraId="4E70C3B5">
                  <w:pPr>
                    <w:adjustRightInd w:val="0"/>
                    <w:spacing w:line="240" w:lineRule="auto"/>
                    <w:jc w:val="center"/>
                    <w:rPr>
                      <w:rFonts w:hint="eastAsia"/>
                      <w:color w:val="auto"/>
                      <w:kern w:val="0"/>
                      <w:sz w:val="21"/>
                      <w:szCs w:val="21"/>
                      <w:lang w:val="en-US" w:eastAsia="zh-CN"/>
                    </w:rPr>
                  </w:pPr>
                  <w:r>
                    <w:rPr>
                      <w:rFonts w:hint="eastAsia"/>
                      <w:color w:val="auto"/>
                      <w:kern w:val="0"/>
                      <w:sz w:val="21"/>
                      <w:szCs w:val="21"/>
                      <w:lang w:val="en-US" w:eastAsia="zh-CN"/>
                    </w:rPr>
                    <w:t>1次/年</w:t>
                  </w:r>
                </w:p>
              </w:tc>
            </w:tr>
            <w:tr w14:paraId="3C61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968" w:type="pct"/>
                  <w:vMerge w:val="continue"/>
                  <w:noWrap w:val="0"/>
                  <w:vAlign w:val="center"/>
                </w:tcPr>
                <w:p w14:paraId="256AF679">
                  <w:pPr>
                    <w:jc w:val="center"/>
                    <w:rPr>
                      <w:rFonts w:hint="default" w:ascii="Times New Roman" w:hAnsi="Times New Roman" w:cs="Times New Roman"/>
                      <w:bCs/>
                      <w:color w:val="auto"/>
                      <w:szCs w:val="21"/>
                    </w:rPr>
                  </w:pPr>
                </w:p>
              </w:tc>
              <w:tc>
                <w:tcPr>
                  <w:tcW w:w="1050" w:type="dxa"/>
                  <w:vMerge w:val="continue"/>
                  <w:noWrap w:val="0"/>
                  <w:vAlign w:val="center"/>
                </w:tcPr>
                <w:p w14:paraId="506B90BE">
                  <w:pPr>
                    <w:pStyle w:val="55"/>
                    <w:spacing w:line="240" w:lineRule="auto"/>
                    <w:ind w:left="-105" w:leftChars="-50" w:right="-105" w:rightChars="-50"/>
                    <w:rPr>
                      <w:rFonts w:hint="eastAsia" w:ascii="Times New Roman" w:hAnsi="Times New Roman" w:cs="Times New Roman"/>
                      <w:color w:val="auto"/>
                      <w:sz w:val="21"/>
                      <w:lang w:eastAsia="zh-CN"/>
                    </w:rPr>
                  </w:pPr>
                </w:p>
              </w:tc>
              <w:tc>
                <w:tcPr>
                  <w:tcW w:w="1200" w:type="dxa"/>
                  <w:noWrap w:val="0"/>
                  <w:vAlign w:val="center"/>
                </w:tcPr>
                <w:p w14:paraId="08B5EF2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color w:val="auto"/>
                      <w:kern w:val="0"/>
                      <w:sz w:val="21"/>
                      <w:szCs w:val="21"/>
                      <w:lang w:val="en-US" w:eastAsia="zh-CN"/>
                    </w:rPr>
                  </w:pPr>
                  <w:r>
                    <w:rPr>
                      <w:rFonts w:hint="eastAsia" w:cs="Times New Roman"/>
                      <w:color w:val="auto"/>
                      <w:sz w:val="21"/>
                      <w:szCs w:val="21"/>
                      <w:lang w:val="en-US" w:eastAsia="zh-CN"/>
                    </w:rPr>
                    <w:t>颗粒物</w:t>
                  </w:r>
                </w:p>
              </w:tc>
              <w:tc>
                <w:tcPr>
                  <w:tcW w:w="1004" w:type="pct"/>
                  <w:noWrap w:val="0"/>
                  <w:vAlign w:val="center"/>
                </w:tcPr>
                <w:p w14:paraId="345468CF">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w:t>
                  </w:r>
                </w:p>
              </w:tc>
              <w:tc>
                <w:tcPr>
                  <w:tcW w:w="1530" w:type="dxa"/>
                  <w:noWrap w:val="0"/>
                  <w:vAlign w:val="center"/>
                </w:tcPr>
                <w:p w14:paraId="78E90FD6">
                  <w:pPr>
                    <w:adjustRightInd w:val="0"/>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0.5</w:t>
                  </w:r>
                </w:p>
              </w:tc>
              <w:tc>
                <w:tcPr>
                  <w:tcW w:w="1550" w:type="dxa"/>
                  <w:noWrap w:val="0"/>
                  <w:vAlign w:val="center"/>
                </w:tcPr>
                <w:p w14:paraId="48FA4ACE">
                  <w:pPr>
                    <w:adjustRightInd w:val="0"/>
                    <w:spacing w:line="240" w:lineRule="auto"/>
                    <w:jc w:val="center"/>
                    <w:rPr>
                      <w:rFonts w:hint="eastAsia"/>
                      <w:color w:val="auto"/>
                      <w:kern w:val="0"/>
                      <w:sz w:val="21"/>
                      <w:szCs w:val="21"/>
                      <w:lang w:val="en-US" w:eastAsia="zh-CN"/>
                    </w:rPr>
                  </w:pPr>
                  <w:r>
                    <w:rPr>
                      <w:rFonts w:hint="eastAsia"/>
                      <w:color w:val="auto"/>
                      <w:kern w:val="0"/>
                      <w:sz w:val="21"/>
                      <w:szCs w:val="21"/>
                      <w:lang w:val="en-US" w:eastAsia="zh-CN"/>
                    </w:rPr>
                    <w:t>1次/年</w:t>
                  </w:r>
                </w:p>
              </w:tc>
            </w:tr>
            <w:tr w14:paraId="2FC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968" w:type="pct"/>
                  <w:vMerge w:val="continue"/>
                  <w:noWrap w:val="0"/>
                  <w:vAlign w:val="center"/>
                </w:tcPr>
                <w:p w14:paraId="73437BD5">
                  <w:pPr>
                    <w:jc w:val="center"/>
                    <w:rPr>
                      <w:rFonts w:hint="default" w:ascii="Times New Roman" w:hAnsi="Times New Roman" w:cs="Times New Roman"/>
                      <w:bCs/>
                      <w:color w:val="auto"/>
                      <w:szCs w:val="21"/>
                    </w:rPr>
                  </w:pPr>
                </w:p>
              </w:tc>
              <w:tc>
                <w:tcPr>
                  <w:tcW w:w="1050" w:type="dxa"/>
                  <w:noWrap w:val="0"/>
                  <w:vAlign w:val="center"/>
                </w:tcPr>
                <w:p w14:paraId="25A7A7C8">
                  <w:pPr>
                    <w:pStyle w:val="55"/>
                    <w:spacing w:line="240" w:lineRule="auto"/>
                    <w:ind w:left="-105" w:leftChars="-50" w:right="-105" w:rightChars="-50"/>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DA0</w:t>
                  </w:r>
                  <w:r>
                    <w:rPr>
                      <w:rFonts w:hint="eastAsia" w:ascii="Times New Roman" w:hAnsi="Times New Roman" w:cs="Times New Roman"/>
                      <w:color w:val="auto"/>
                      <w:sz w:val="21"/>
                      <w:lang w:val="en-US" w:eastAsia="zh-CN"/>
                    </w:rPr>
                    <w:t>0</w:t>
                  </w:r>
                  <w:r>
                    <w:rPr>
                      <w:rFonts w:hint="eastAsia" w:cs="Times New Roman"/>
                      <w:color w:val="auto"/>
                      <w:sz w:val="21"/>
                      <w:lang w:val="en-US" w:eastAsia="zh-CN"/>
                    </w:rPr>
                    <w:t>4</w:t>
                  </w:r>
                </w:p>
              </w:tc>
              <w:tc>
                <w:tcPr>
                  <w:tcW w:w="1200" w:type="dxa"/>
                  <w:noWrap w:val="0"/>
                  <w:vAlign w:val="center"/>
                </w:tcPr>
                <w:p w14:paraId="69CAC58B">
                  <w:pPr>
                    <w:jc w:val="center"/>
                    <w:rPr>
                      <w:rFonts w:hint="eastAsia"/>
                      <w:color w:val="auto"/>
                      <w:kern w:val="0"/>
                      <w:sz w:val="21"/>
                      <w:szCs w:val="21"/>
                      <w:lang w:val="en-US" w:eastAsia="zh-CN"/>
                    </w:rPr>
                  </w:pPr>
                  <w:r>
                    <w:rPr>
                      <w:rFonts w:hint="eastAsia" w:cs="Times New Roman"/>
                      <w:color w:val="auto"/>
                      <w:sz w:val="21"/>
                      <w:szCs w:val="21"/>
                      <w:lang w:val="en-US" w:eastAsia="zh-CN"/>
                    </w:rPr>
                    <w:t>颗粒物</w:t>
                  </w:r>
                </w:p>
              </w:tc>
              <w:tc>
                <w:tcPr>
                  <w:tcW w:w="1004" w:type="pct"/>
                  <w:noWrap w:val="0"/>
                  <w:vAlign w:val="center"/>
                </w:tcPr>
                <w:p w14:paraId="2FB975B0">
                  <w:pPr>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0.15</w:t>
                  </w:r>
                </w:p>
              </w:tc>
              <w:tc>
                <w:tcPr>
                  <w:tcW w:w="1530" w:type="dxa"/>
                  <w:noWrap w:val="0"/>
                  <w:vAlign w:val="center"/>
                </w:tcPr>
                <w:p w14:paraId="5C3C4066">
                  <w:pPr>
                    <w:adjustRightInd w:val="0"/>
                    <w:spacing w:line="240" w:lineRule="auto"/>
                    <w:jc w:val="center"/>
                    <w:rPr>
                      <w:rFonts w:hint="eastAsia" w:cs="Times New Roman"/>
                      <w:color w:val="auto"/>
                      <w:sz w:val="21"/>
                      <w:szCs w:val="21"/>
                      <w:lang w:val="en-US" w:eastAsia="zh-CN"/>
                    </w:rPr>
                  </w:pPr>
                  <w:r>
                    <w:rPr>
                      <w:rFonts w:hint="eastAsia"/>
                      <w:color w:val="auto"/>
                      <w:kern w:val="0"/>
                      <w:sz w:val="21"/>
                      <w:szCs w:val="21"/>
                      <w:lang w:val="en-US" w:eastAsia="zh-CN"/>
                    </w:rPr>
                    <w:t>0.5</w:t>
                  </w:r>
                </w:p>
              </w:tc>
              <w:tc>
                <w:tcPr>
                  <w:tcW w:w="1550" w:type="dxa"/>
                  <w:noWrap w:val="0"/>
                  <w:vAlign w:val="center"/>
                </w:tcPr>
                <w:p w14:paraId="34A3CEF7">
                  <w:pPr>
                    <w:adjustRightInd w:val="0"/>
                    <w:spacing w:line="240" w:lineRule="auto"/>
                    <w:jc w:val="center"/>
                    <w:rPr>
                      <w:rFonts w:hint="eastAsia"/>
                      <w:color w:val="auto"/>
                      <w:kern w:val="0"/>
                      <w:sz w:val="21"/>
                      <w:szCs w:val="21"/>
                      <w:lang w:val="en-US" w:eastAsia="zh-CN"/>
                    </w:rPr>
                  </w:pPr>
                  <w:r>
                    <w:rPr>
                      <w:rFonts w:hint="eastAsia"/>
                      <w:color w:val="auto"/>
                      <w:kern w:val="0"/>
                      <w:sz w:val="21"/>
                      <w:szCs w:val="21"/>
                      <w:lang w:val="en-US" w:eastAsia="zh-CN"/>
                    </w:rPr>
                    <w:t>1次/年</w:t>
                  </w:r>
                </w:p>
              </w:tc>
            </w:tr>
          </w:tbl>
          <w:p w14:paraId="71C8CE3A">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45E56D8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①安排专人负责环保设备的日常维护和管理，</w:t>
            </w:r>
            <w:r>
              <w:rPr>
                <w:rFonts w:hint="eastAsia" w:ascii="Times New Roman" w:hAnsi="Times New Roman" w:eastAsia="宋体" w:cs="Times New Roman"/>
                <w:color w:val="auto"/>
                <w:sz w:val="24"/>
                <w:lang w:eastAsia="zh-CN"/>
              </w:rPr>
              <w:t>每隔</w:t>
            </w:r>
            <w:r>
              <w:rPr>
                <w:rFonts w:hint="default" w:ascii="Times New Roman" w:hAnsi="Times New Roman" w:eastAsia="宋体" w:cs="Times New Roman"/>
                <w:color w:val="auto"/>
                <w:sz w:val="24"/>
              </w:rPr>
              <w:t xml:space="preserve">固定时间检查、汇报情况，及时发现废气处理设备的隐患，确保废气处理系统正常运行； </w:t>
            </w:r>
          </w:p>
          <w:p w14:paraId="235AE529">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②建立健全的环保管理机构，对环保管理人员和技术人员进行岗位培训，委托具有专业资质的环境检测单位对项目排放的各类污染物进行定期检测； </w:t>
            </w:r>
          </w:p>
          <w:p w14:paraId="2D91583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hAnsi="宋体"/>
                <w:b/>
                <w:color w:val="auto"/>
                <w:kern w:val="0"/>
                <w:sz w:val="24"/>
                <w:szCs w:val="24"/>
              </w:rPr>
            </w:pPr>
            <w:r>
              <w:rPr>
                <w:rFonts w:hint="default" w:ascii="Times New Roman" w:hAnsi="Times New Roman" w:eastAsia="宋体" w:cs="Times New Roman"/>
                <w:color w:val="auto"/>
                <w:sz w:val="24"/>
              </w:rPr>
              <w:t>③应定期维护、检修废气净化装置，以保持废气处理装置的净化能力和净化容量。</w:t>
            </w:r>
          </w:p>
          <w:p w14:paraId="5CFBB2E0">
            <w:pPr>
              <w:adjustRightInd w:val="0"/>
              <w:spacing w:line="360" w:lineRule="auto"/>
              <w:rPr>
                <w:rFonts w:hint="eastAsia" w:hAnsi="宋体" w:eastAsia="宋体"/>
                <w:b/>
                <w:color w:val="auto"/>
                <w:kern w:val="0"/>
                <w:sz w:val="24"/>
                <w:szCs w:val="24"/>
                <w:lang w:eastAsia="zh-CN"/>
              </w:rPr>
            </w:pPr>
            <w:r>
              <w:rPr>
                <w:rFonts w:hint="eastAsia" w:hAnsi="宋体"/>
                <w:b/>
                <w:color w:val="auto"/>
                <w:kern w:val="0"/>
                <w:sz w:val="24"/>
                <w:szCs w:val="24"/>
              </w:rPr>
              <w:t>1.2</w:t>
            </w:r>
            <w:r>
              <w:rPr>
                <w:rFonts w:hint="eastAsia" w:hAnsi="宋体"/>
                <w:b/>
                <w:color w:val="auto"/>
                <w:kern w:val="0"/>
                <w:sz w:val="24"/>
                <w:szCs w:val="24"/>
                <w:lang w:eastAsia="zh-CN"/>
              </w:rPr>
              <w:t>防治</w:t>
            </w:r>
            <w:r>
              <w:rPr>
                <w:rFonts w:hint="eastAsia" w:hAnsi="宋体"/>
                <w:b/>
                <w:color w:val="auto"/>
                <w:kern w:val="0"/>
                <w:sz w:val="24"/>
                <w:szCs w:val="24"/>
              </w:rPr>
              <w:t>措施</w:t>
            </w:r>
            <w:r>
              <w:rPr>
                <w:rFonts w:hint="eastAsia" w:hAnsi="宋体"/>
                <w:b/>
                <w:color w:val="auto"/>
                <w:kern w:val="0"/>
                <w:sz w:val="24"/>
                <w:szCs w:val="24"/>
                <w:lang w:eastAsia="zh-CN"/>
              </w:rPr>
              <w:t>可行性及达标排放分析</w:t>
            </w:r>
          </w:p>
          <w:p w14:paraId="795C95B7">
            <w:pPr>
              <w:keepNext w:val="0"/>
              <w:keepLines w:val="0"/>
              <w:pageBreakBefore w:val="0"/>
              <w:widowControl/>
              <w:suppressLineNumbers w:val="0"/>
              <w:kinsoku/>
              <w:wordWrap/>
              <w:overflowPunct/>
              <w:topLinePunct w:val="0"/>
              <w:autoSpaceDE/>
              <w:autoSpaceDN/>
              <w:bidi w:val="0"/>
              <w:snapToGrid/>
              <w:spacing w:line="360" w:lineRule="auto"/>
              <w:ind w:firstLine="482" w:firstLineChars="200"/>
              <w:jc w:val="left"/>
              <w:textAlignment w:val="auto"/>
              <w:rPr>
                <w:rFonts w:hint="default"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（1）废气达标排放分析</w:t>
            </w:r>
          </w:p>
          <w:p w14:paraId="37EFB9A3">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color w:val="auto"/>
                <w:sz w:val="24"/>
                <w:szCs w:val="24"/>
                <w:lang w:eastAsia="zh-CN"/>
              </w:rPr>
            </w:pPr>
            <w:r>
              <w:rPr>
                <w:rFonts w:hint="eastAsia" w:ascii="Times New Roman" w:hAnsi="Times New Roman" w:eastAsia="宋体" w:cs="Times New Roman"/>
                <w:color w:val="auto"/>
                <w:kern w:val="0"/>
                <w:sz w:val="24"/>
                <w:szCs w:val="24"/>
                <w:lang w:val="en-US" w:eastAsia="zh-CN"/>
              </w:rPr>
              <w:t>1#车间</w:t>
            </w:r>
            <w:r>
              <w:rPr>
                <w:rFonts w:hint="default" w:ascii="Times New Roman" w:hAnsi="Times New Roman" w:eastAsia="宋体" w:cs="Times New Roman"/>
                <w:color w:val="auto"/>
                <w:kern w:val="0"/>
                <w:sz w:val="24"/>
                <w:szCs w:val="24"/>
                <w:lang w:val="en-US" w:eastAsia="zh-CN"/>
              </w:rPr>
              <w:t>盐酸储罐呼吸废气、配酸废气、酸洗</w:t>
            </w:r>
            <w:r>
              <w:rPr>
                <w:rFonts w:hint="eastAsia" w:cs="Times New Roman"/>
                <w:color w:val="auto"/>
                <w:kern w:val="0"/>
                <w:sz w:val="24"/>
                <w:szCs w:val="24"/>
                <w:lang w:val="en-US" w:eastAsia="zh-CN"/>
              </w:rPr>
              <w:t>、干燥废气</w:t>
            </w:r>
            <w:r>
              <w:rPr>
                <w:rFonts w:hint="default" w:ascii="Times New Roman" w:hAnsi="Times New Roman" w:eastAsia="宋体" w:cs="Times New Roman"/>
                <w:color w:val="auto"/>
                <w:kern w:val="0"/>
                <w:sz w:val="24"/>
                <w:szCs w:val="24"/>
                <w:lang w:val="en-US" w:eastAsia="zh-CN"/>
              </w:rPr>
              <w:t>经套管收集后经二级碱喷淋</w:t>
            </w:r>
            <w:r>
              <w:rPr>
                <w:rFonts w:hint="eastAsia" w:ascii="Times New Roman" w:hAnsi="Times New Roman" w:eastAsia="宋体" w:cs="Times New Roman"/>
                <w:color w:val="auto"/>
                <w:kern w:val="0"/>
                <w:sz w:val="24"/>
                <w:szCs w:val="24"/>
                <w:lang w:val="en-US" w:eastAsia="zh-CN"/>
              </w:rPr>
              <w:t>装置处理，处理后一起由</w:t>
            </w:r>
            <w:r>
              <w:rPr>
                <w:rFonts w:hint="default" w:ascii="Times New Roman" w:hAnsi="Times New Roman" w:eastAsia="宋体" w:cs="Times New Roman"/>
                <w:color w:val="auto"/>
                <w:kern w:val="0"/>
                <w:sz w:val="24"/>
                <w:szCs w:val="24"/>
                <w:lang w:val="en-US" w:eastAsia="zh-CN"/>
              </w:rPr>
              <w:t>20m高排气筒</w:t>
            </w:r>
            <w:r>
              <w:rPr>
                <w:color w:val="auto"/>
                <w:sz w:val="24"/>
                <w:szCs w:val="24"/>
              </w:rPr>
              <w:t>（DA0</w:t>
            </w:r>
            <w:r>
              <w:rPr>
                <w:rFonts w:hint="eastAsia"/>
                <w:color w:val="auto"/>
                <w:sz w:val="24"/>
                <w:szCs w:val="24"/>
              </w:rPr>
              <w:t>0</w:t>
            </w:r>
            <w:r>
              <w:rPr>
                <w:rFonts w:hint="eastAsia"/>
                <w:color w:val="auto"/>
                <w:sz w:val="24"/>
                <w:szCs w:val="24"/>
                <w:lang w:val="en-US" w:eastAsia="zh-CN"/>
              </w:rPr>
              <w:t>1</w:t>
            </w:r>
            <w:r>
              <w:rPr>
                <w:color w:val="auto"/>
                <w:sz w:val="24"/>
                <w:szCs w:val="24"/>
              </w:rPr>
              <w:t>）排放</w:t>
            </w:r>
            <w:r>
              <w:rPr>
                <w:rFonts w:hint="eastAsia"/>
                <w:color w:val="auto"/>
                <w:sz w:val="24"/>
                <w:szCs w:val="24"/>
                <w:lang w:eastAsia="zh-CN"/>
              </w:rPr>
              <w:t>。</w:t>
            </w:r>
            <w:r>
              <w:rPr>
                <w:rFonts w:hint="default" w:ascii="Times New Roman" w:hAnsi="Times New Roman" w:eastAsia="宋体" w:cs="Times New Roman"/>
                <w:color w:val="000000"/>
                <w:kern w:val="0"/>
                <w:sz w:val="24"/>
                <w:szCs w:val="24"/>
                <w:lang w:val="en-US" w:eastAsia="zh-CN" w:bidi="ar"/>
              </w:rPr>
              <w:t>收集效率9</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auto"/>
                <w:sz w:val="24"/>
                <w:szCs w:val="24"/>
                <w:lang w:val="en-US" w:eastAsia="zh-CN"/>
              </w:rPr>
              <w:t>“二级碱喷淋”</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sz w:val="24"/>
                <w:szCs w:val="24"/>
                <w:lang w:val="en-US" w:eastAsia="zh-CN"/>
              </w:rPr>
              <w:t>HCl</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sz w:val="24"/>
                <w:szCs w:val="24"/>
                <w:lang w:val="en-US" w:eastAsia="zh-CN"/>
              </w:rPr>
              <w:t>“二级碱喷淋”</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w:t>
            </w:r>
          </w:p>
          <w:p w14:paraId="5FE7BC4C">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1#车间粉碎粉尘经自带布袋除尘器处理，处理后由</w:t>
            </w:r>
            <w:r>
              <w:rPr>
                <w:rFonts w:hint="default" w:ascii="Times New Roman" w:hAnsi="Times New Roman" w:eastAsia="宋体" w:cs="Times New Roman"/>
                <w:color w:val="auto"/>
                <w:kern w:val="0"/>
                <w:sz w:val="24"/>
                <w:szCs w:val="24"/>
                <w:lang w:val="en-US" w:eastAsia="zh-CN"/>
              </w:rPr>
              <w:t>20m高排气筒</w:t>
            </w:r>
            <w:r>
              <w:rPr>
                <w:color w:val="auto"/>
                <w:sz w:val="24"/>
                <w:szCs w:val="24"/>
              </w:rPr>
              <w:t>（DA0</w:t>
            </w:r>
            <w:r>
              <w:rPr>
                <w:rFonts w:hint="eastAsia"/>
                <w:color w:val="auto"/>
                <w:sz w:val="24"/>
                <w:szCs w:val="24"/>
              </w:rPr>
              <w:t>0</w:t>
            </w:r>
            <w:r>
              <w:rPr>
                <w:rFonts w:hint="eastAsia"/>
                <w:color w:val="auto"/>
                <w:sz w:val="24"/>
                <w:szCs w:val="24"/>
                <w:lang w:val="en-US" w:eastAsia="zh-CN"/>
              </w:rPr>
              <w:t>2</w:t>
            </w:r>
            <w:r>
              <w:rPr>
                <w:color w:val="auto"/>
                <w:sz w:val="24"/>
                <w:szCs w:val="24"/>
              </w:rPr>
              <w:t>）排放</w:t>
            </w:r>
            <w:r>
              <w:rPr>
                <w:rFonts w:hint="eastAsia"/>
                <w:color w:val="auto"/>
                <w:sz w:val="24"/>
                <w:szCs w:val="24"/>
                <w:lang w:eastAsia="zh-CN"/>
              </w:rPr>
              <w:t>。</w:t>
            </w:r>
            <w:r>
              <w:rPr>
                <w:rFonts w:hint="default" w:ascii="Times New Roman" w:hAnsi="Times New Roman" w:eastAsia="宋体" w:cs="Times New Roman"/>
                <w:color w:val="000000"/>
                <w:kern w:val="0"/>
                <w:sz w:val="24"/>
                <w:szCs w:val="24"/>
                <w:lang w:val="en-US" w:eastAsia="zh-CN" w:bidi="ar"/>
              </w:rPr>
              <w:t>收集效率9</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布袋除尘器</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w:t>
            </w:r>
          </w:p>
          <w:p w14:paraId="1D3BB7C0">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rPr>
              <w:t>2#车间</w:t>
            </w:r>
            <w:r>
              <w:rPr>
                <w:rFonts w:hint="default" w:ascii="Times New Roman" w:hAnsi="Times New Roman" w:eastAsia="宋体" w:cs="Times New Roman"/>
                <w:color w:val="auto"/>
                <w:kern w:val="0"/>
                <w:sz w:val="24"/>
                <w:szCs w:val="24"/>
                <w:lang w:val="en-US" w:eastAsia="zh-CN"/>
              </w:rPr>
              <w:t>盐酸储罐呼吸废气、配酸废气、酸洗</w:t>
            </w:r>
            <w:r>
              <w:rPr>
                <w:rFonts w:hint="eastAsia" w:cs="Times New Roman"/>
                <w:color w:val="auto"/>
                <w:kern w:val="0"/>
                <w:sz w:val="24"/>
                <w:szCs w:val="24"/>
                <w:lang w:val="en-US" w:eastAsia="zh-CN"/>
              </w:rPr>
              <w:t>、干燥废气</w:t>
            </w:r>
            <w:r>
              <w:rPr>
                <w:rFonts w:hint="default" w:ascii="Times New Roman" w:hAnsi="Times New Roman" w:eastAsia="宋体" w:cs="Times New Roman"/>
                <w:color w:val="auto"/>
                <w:kern w:val="0"/>
                <w:sz w:val="24"/>
                <w:szCs w:val="24"/>
                <w:lang w:val="en-US" w:eastAsia="zh-CN"/>
              </w:rPr>
              <w:t>经套管收集后经二级碱喷淋</w:t>
            </w:r>
            <w:r>
              <w:rPr>
                <w:rFonts w:hint="eastAsia" w:ascii="Times New Roman" w:hAnsi="Times New Roman" w:eastAsia="宋体" w:cs="Times New Roman"/>
                <w:color w:val="auto"/>
                <w:kern w:val="0"/>
                <w:sz w:val="24"/>
                <w:szCs w:val="24"/>
                <w:lang w:val="en-US" w:eastAsia="zh-CN"/>
              </w:rPr>
              <w:t>装置处理，处理后一起由</w:t>
            </w:r>
            <w:r>
              <w:rPr>
                <w:rFonts w:hint="default" w:ascii="Times New Roman" w:hAnsi="Times New Roman" w:eastAsia="宋体" w:cs="Times New Roman"/>
                <w:color w:val="auto"/>
                <w:kern w:val="0"/>
                <w:sz w:val="24"/>
                <w:szCs w:val="24"/>
                <w:lang w:val="en-US" w:eastAsia="zh-CN"/>
              </w:rPr>
              <w:t>20m高排气筒</w:t>
            </w:r>
            <w:r>
              <w:rPr>
                <w:color w:val="auto"/>
                <w:sz w:val="24"/>
                <w:szCs w:val="24"/>
              </w:rPr>
              <w:t>（DA0</w:t>
            </w:r>
            <w:r>
              <w:rPr>
                <w:rFonts w:hint="eastAsia"/>
                <w:color w:val="auto"/>
                <w:sz w:val="24"/>
                <w:szCs w:val="24"/>
              </w:rPr>
              <w:t>0</w:t>
            </w:r>
            <w:r>
              <w:rPr>
                <w:rFonts w:hint="eastAsia"/>
                <w:color w:val="auto"/>
                <w:sz w:val="24"/>
                <w:szCs w:val="24"/>
                <w:lang w:val="en-US" w:eastAsia="zh-CN"/>
              </w:rPr>
              <w:t>3</w:t>
            </w:r>
            <w:r>
              <w:rPr>
                <w:color w:val="auto"/>
                <w:sz w:val="24"/>
                <w:szCs w:val="24"/>
              </w:rPr>
              <w:t>）排放</w:t>
            </w:r>
            <w:r>
              <w:rPr>
                <w:rFonts w:hint="eastAsia"/>
                <w:color w:val="auto"/>
                <w:sz w:val="24"/>
                <w:szCs w:val="24"/>
                <w:lang w:eastAsia="zh-CN"/>
              </w:rPr>
              <w:t>。</w:t>
            </w:r>
            <w:r>
              <w:rPr>
                <w:rFonts w:hint="default" w:ascii="Times New Roman" w:hAnsi="Times New Roman" w:eastAsia="宋体" w:cs="Times New Roman"/>
                <w:color w:val="000000"/>
                <w:kern w:val="0"/>
                <w:sz w:val="24"/>
                <w:szCs w:val="24"/>
                <w:lang w:val="en-US" w:eastAsia="zh-CN" w:bidi="ar"/>
              </w:rPr>
              <w:t>收集效率9</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auto"/>
                <w:sz w:val="24"/>
                <w:szCs w:val="24"/>
                <w:lang w:val="en-US" w:eastAsia="zh-CN"/>
              </w:rPr>
              <w:t>“二级碱喷淋”</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sz w:val="24"/>
                <w:szCs w:val="24"/>
                <w:lang w:val="en-US" w:eastAsia="zh-CN"/>
              </w:rPr>
              <w:t>HCl</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sz w:val="24"/>
                <w:szCs w:val="24"/>
                <w:lang w:val="en-US" w:eastAsia="zh-CN"/>
              </w:rPr>
              <w:t>“二级碱喷淋”</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w:t>
            </w:r>
          </w:p>
          <w:p w14:paraId="616094DF">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cs="Times New Roman"/>
                <w:color w:val="auto"/>
                <w:kern w:val="0"/>
                <w:sz w:val="24"/>
                <w:szCs w:val="24"/>
                <w:lang w:val="en-US" w:eastAsia="zh-CN" w:bidi="ar"/>
              </w:rPr>
            </w:pPr>
            <w:r>
              <w:rPr>
                <w:rFonts w:hint="eastAsia"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#车间粉碎粉尘经自带布袋除尘器处理，处理后由</w:t>
            </w:r>
            <w:r>
              <w:rPr>
                <w:rFonts w:hint="default" w:ascii="Times New Roman" w:hAnsi="Times New Roman" w:eastAsia="宋体" w:cs="Times New Roman"/>
                <w:color w:val="auto"/>
                <w:kern w:val="0"/>
                <w:sz w:val="24"/>
                <w:szCs w:val="24"/>
                <w:lang w:val="en-US" w:eastAsia="zh-CN"/>
              </w:rPr>
              <w:t>20m高排气筒</w:t>
            </w:r>
            <w:r>
              <w:rPr>
                <w:color w:val="auto"/>
                <w:sz w:val="24"/>
                <w:szCs w:val="24"/>
              </w:rPr>
              <w:t>（DA0</w:t>
            </w:r>
            <w:r>
              <w:rPr>
                <w:rFonts w:hint="eastAsia"/>
                <w:color w:val="auto"/>
                <w:sz w:val="24"/>
                <w:szCs w:val="24"/>
              </w:rPr>
              <w:t>0</w:t>
            </w:r>
            <w:r>
              <w:rPr>
                <w:rFonts w:hint="eastAsia"/>
                <w:color w:val="auto"/>
                <w:sz w:val="24"/>
                <w:szCs w:val="24"/>
                <w:lang w:val="en-US" w:eastAsia="zh-CN"/>
              </w:rPr>
              <w:t>4</w:t>
            </w:r>
            <w:r>
              <w:rPr>
                <w:color w:val="auto"/>
                <w:sz w:val="24"/>
                <w:szCs w:val="24"/>
              </w:rPr>
              <w:t>）排放</w:t>
            </w:r>
            <w:r>
              <w:rPr>
                <w:rFonts w:hint="eastAsia"/>
                <w:color w:val="auto"/>
                <w:sz w:val="24"/>
                <w:szCs w:val="24"/>
                <w:lang w:eastAsia="zh-CN"/>
              </w:rPr>
              <w:t>。</w:t>
            </w:r>
            <w:r>
              <w:rPr>
                <w:rFonts w:hint="default" w:ascii="Times New Roman" w:hAnsi="Times New Roman" w:eastAsia="宋体" w:cs="Times New Roman"/>
                <w:color w:val="000000"/>
                <w:kern w:val="0"/>
                <w:sz w:val="24"/>
                <w:szCs w:val="24"/>
                <w:lang w:val="en-US" w:eastAsia="zh-CN" w:bidi="ar"/>
              </w:rPr>
              <w:t>收集效率9</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布袋除尘器</w:t>
            </w:r>
            <w:r>
              <w:rPr>
                <w:rFonts w:hint="default" w:ascii="Times New Roman" w:hAnsi="Times New Roman" w:eastAsia="宋体" w:cs="Times New Roman"/>
                <w:color w:val="auto"/>
                <w:kern w:val="0"/>
                <w:sz w:val="24"/>
                <w:szCs w:val="24"/>
                <w:lang w:val="en-US" w:eastAsia="zh-CN" w:bidi="ar"/>
              </w:rPr>
              <w:t>对</w:t>
            </w:r>
            <w:r>
              <w:rPr>
                <w:rFonts w:hint="eastAsia"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kern w:val="0"/>
                <w:sz w:val="24"/>
                <w:szCs w:val="24"/>
                <w:lang w:val="en-US" w:eastAsia="zh-CN" w:bidi="ar"/>
              </w:rPr>
              <w:t>的去除效率取</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w:t>
            </w:r>
          </w:p>
          <w:p w14:paraId="6609D877">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Times New Roman"/>
                <w:color w:val="auto"/>
                <w:sz w:val="24"/>
                <w:szCs w:val="24"/>
                <w:lang w:eastAsia="zh-CN"/>
              </w:rPr>
            </w:pPr>
            <w:r>
              <w:rPr>
                <w:rFonts w:hint="eastAsia" w:cs="Times New Roman"/>
                <w:color w:val="auto"/>
                <w:kern w:val="0"/>
                <w:sz w:val="24"/>
                <w:szCs w:val="24"/>
                <w:lang w:val="en-US" w:eastAsia="zh-CN" w:bidi="ar"/>
              </w:rPr>
              <w:t>经处理后的</w:t>
            </w:r>
            <w:r>
              <w:rPr>
                <w:rFonts w:hint="eastAsia" w:ascii="Times New Roman" w:hAnsi="Times New Roman" w:eastAsia="宋体" w:cs="Times New Roman"/>
                <w:color w:val="auto"/>
                <w:sz w:val="24"/>
                <w:szCs w:val="24"/>
                <w:lang w:val="en-US" w:eastAsia="zh-CN"/>
              </w:rPr>
              <w:t>HCl</w:t>
            </w:r>
            <w:r>
              <w:rPr>
                <w:rFonts w:hint="eastAsia"/>
                <w:bCs/>
                <w:color w:val="auto"/>
                <w:sz w:val="24"/>
                <w:lang w:eastAsia="zh-CN"/>
              </w:rPr>
              <w:t>满足</w:t>
            </w:r>
            <w:r>
              <w:rPr>
                <w:color w:val="auto"/>
                <w:sz w:val="24"/>
              </w:rPr>
              <w:t>《大气污染物综合排放标准》（</w:t>
            </w:r>
            <w:r>
              <w:rPr>
                <w:rFonts w:hint="eastAsia"/>
                <w:color w:val="auto"/>
                <w:sz w:val="24"/>
              </w:rPr>
              <w:t>GB</w:t>
            </w:r>
            <w:r>
              <w:rPr>
                <w:color w:val="auto"/>
                <w:sz w:val="24"/>
              </w:rPr>
              <w:t>16297-1996）表2大气污染物项目排放限值</w:t>
            </w:r>
            <w:r>
              <w:rPr>
                <w:rFonts w:hint="eastAsia" w:ascii="Times New Roman"/>
                <w:color w:val="auto"/>
                <w:sz w:val="24"/>
                <w:szCs w:val="24"/>
              </w:rPr>
              <w:t>（</w:t>
            </w:r>
            <w:r>
              <w:rPr>
                <w:rFonts w:hint="eastAsia"/>
                <w:color w:val="auto"/>
                <w:sz w:val="24"/>
                <w:szCs w:val="24"/>
                <w:lang w:val="en-US" w:eastAsia="zh-CN"/>
              </w:rPr>
              <w:t>1</w:t>
            </w:r>
            <w:r>
              <w:rPr>
                <w:rFonts w:hint="eastAsia" w:ascii="Times New Roman" w:hAnsi="Times New Roman"/>
                <w:color w:val="auto"/>
                <w:kern w:val="0"/>
                <w:sz w:val="24"/>
                <w:szCs w:val="24"/>
                <w:lang w:val="en-US" w:eastAsia="zh-CN"/>
              </w:rPr>
              <w:t>0</w:t>
            </w:r>
            <w:r>
              <w:rPr>
                <w:rFonts w:hint="eastAsia" w:ascii="Times New Roman" w:hAnsi="Times New Roman"/>
                <w:color w:val="auto"/>
                <w:kern w:val="0"/>
                <w:sz w:val="24"/>
                <w:szCs w:val="24"/>
              </w:rPr>
              <w:t>0mg/m</w:t>
            </w:r>
            <w:r>
              <w:rPr>
                <w:rFonts w:hint="eastAsia" w:ascii="Times New Roman" w:hAnsi="Times New Roman"/>
                <w:color w:val="auto"/>
                <w:kern w:val="0"/>
                <w:sz w:val="24"/>
                <w:szCs w:val="24"/>
                <w:vertAlign w:val="superscript"/>
              </w:rPr>
              <w:t>3</w:t>
            </w:r>
            <w:r>
              <w:rPr>
                <w:rFonts w:hint="eastAsia" w:ascii="Times New Roman" w:hAnsi="Times New Roman"/>
                <w:color w:val="auto"/>
                <w:kern w:val="0"/>
                <w:sz w:val="24"/>
                <w:szCs w:val="24"/>
                <w:vertAlign w:val="baseline"/>
                <w:lang w:eastAsia="zh-CN"/>
              </w:rPr>
              <w:t>、</w:t>
            </w:r>
            <w:r>
              <w:rPr>
                <w:rFonts w:hint="eastAsia" w:ascii="Times New Roman" w:hAnsi="Times New Roman"/>
                <w:color w:val="auto"/>
                <w:kern w:val="0"/>
                <w:sz w:val="24"/>
                <w:szCs w:val="24"/>
                <w:vertAlign w:val="baseline"/>
                <w:lang w:val="en-US" w:eastAsia="zh-CN"/>
              </w:rPr>
              <w:t>0.43</w:t>
            </w:r>
            <w:r>
              <w:rPr>
                <w:rFonts w:hint="eastAsia"/>
                <w:color w:val="auto"/>
                <w:kern w:val="0"/>
                <w:sz w:val="24"/>
                <w:szCs w:val="24"/>
                <w:vertAlign w:val="baseline"/>
                <w:lang w:val="en-US" w:eastAsia="zh-CN"/>
              </w:rPr>
              <w:t>kg/h</w:t>
            </w:r>
            <w:r>
              <w:rPr>
                <w:rFonts w:hint="eastAsia" w:ascii="Times New Roman"/>
                <w:color w:val="auto"/>
                <w:sz w:val="24"/>
                <w:szCs w:val="24"/>
              </w:rPr>
              <w:t>）</w:t>
            </w:r>
            <w:r>
              <w:rPr>
                <w:rFonts w:hint="eastAsia"/>
                <w:color w:val="auto"/>
                <w:sz w:val="24"/>
                <w:szCs w:val="24"/>
                <w:lang w:eastAsia="zh-CN"/>
              </w:rPr>
              <w:t>，</w:t>
            </w:r>
            <w:r>
              <w:rPr>
                <w:rFonts w:hint="eastAsia"/>
                <w:color w:val="auto"/>
                <w:sz w:val="24"/>
                <w:lang w:eastAsia="zh-CN"/>
              </w:rPr>
              <w:t>颗粒物</w:t>
            </w:r>
            <w:r>
              <w:rPr>
                <w:rFonts w:hint="eastAsia"/>
                <w:bCs/>
                <w:color w:val="auto"/>
                <w:sz w:val="24"/>
                <w:lang w:eastAsia="zh-CN"/>
              </w:rPr>
              <w:t>满足</w:t>
            </w:r>
            <w:r>
              <w:rPr>
                <w:color w:val="auto"/>
                <w:sz w:val="24"/>
              </w:rPr>
              <w:t>《大气污染物综合排放标准》（</w:t>
            </w:r>
            <w:r>
              <w:rPr>
                <w:rFonts w:hint="eastAsia"/>
                <w:color w:val="auto"/>
                <w:sz w:val="24"/>
              </w:rPr>
              <w:t>GB</w:t>
            </w:r>
            <w:r>
              <w:rPr>
                <w:color w:val="auto"/>
                <w:sz w:val="24"/>
              </w:rPr>
              <w:t>16297-1996）表2大气污染物项目排放限值</w:t>
            </w:r>
            <w:r>
              <w:rPr>
                <w:rFonts w:hint="eastAsia" w:ascii="Times New Roman"/>
                <w:color w:val="auto"/>
                <w:sz w:val="24"/>
                <w:szCs w:val="24"/>
              </w:rPr>
              <w:t>（</w:t>
            </w:r>
            <w:r>
              <w:rPr>
                <w:rFonts w:hint="eastAsia" w:ascii="Times New Roman" w:hAnsi="Times New Roman"/>
                <w:color w:val="auto"/>
                <w:kern w:val="0"/>
                <w:sz w:val="24"/>
                <w:szCs w:val="24"/>
                <w:lang w:val="en-US" w:eastAsia="zh-CN"/>
              </w:rPr>
              <w:t>1</w:t>
            </w:r>
            <w:r>
              <w:rPr>
                <w:rFonts w:hint="eastAsia"/>
                <w:color w:val="auto"/>
                <w:kern w:val="0"/>
                <w:sz w:val="24"/>
                <w:szCs w:val="24"/>
                <w:lang w:val="en-US" w:eastAsia="zh-CN"/>
              </w:rPr>
              <w:t>2</w:t>
            </w:r>
            <w:r>
              <w:rPr>
                <w:rFonts w:hint="eastAsia" w:ascii="Times New Roman" w:hAnsi="Times New Roman"/>
                <w:color w:val="auto"/>
                <w:kern w:val="0"/>
                <w:sz w:val="24"/>
                <w:szCs w:val="24"/>
                <w:lang w:val="en-US" w:eastAsia="zh-CN"/>
              </w:rPr>
              <w:t>0</w:t>
            </w:r>
            <w:r>
              <w:rPr>
                <w:rFonts w:hint="eastAsia" w:ascii="Times New Roman" w:hAnsi="Times New Roman"/>
                <w:color w:val="auto"/>
                <w:kern w:val="0"/>
                <w:sz w:val="24"/>
                <w:szCs w:val="24"/>
              </w:rPr>
              <w:t>mg/m</w:t>
            </w:r>
            <w:r>
              <w:rPr>
                <w:rFonts w:hint="eastAsia" w:ascii="Times New Roman" w:hAnsi="Times New Roman"/>
                <w:color w:val="auto"/>
                <w:kern w:val="0"/>
                <w:sz w:val="24"/>
                <w:szCs w:val="24"/>
                <w:vertAlign w:val="superscript"/>
              </w:rPr>
              <w:t>3</w:t>
            </w:r>
            <w:r>
              <w:rPr>
                <w:rFonts w:hint="eastAsia"/>
                <w:color w:val="auto"/>
                <w:kern w:val="0"/>
                <w:sz w:val="24"/>
                <w:szCs w:val="24"/>
                <w:vertAlign w:val="baseline"/>
                <w:lang w:eastAsia="zh-CN"/>
              </w:rPr>
              <w:t>、</w:t>
            </w:r>
            <w:r>
              <w:rPr>
                <w:rFonts w:hint="eastAsia"/>
                <w:color w:val="auto"/>
                <w:kern w:val="0"/>
                <w:sz w:val="24"/>
                <w:szCs w:val="24"/>
                <w:vertAlign w:val="baseline"/>
                <w:lang w:val="en-US" w:eastAsia="zh-CN"/>
              </w:rPr>
              <w:t>5.9kg/h</w:t>
            </w:r>
            <w:r>
              <w:rPr>
                <w:rFonts w:hint="eastAsia" w:ascii="Times New Roman"/>
                <w:color w:val="auto"/>
                <w:sz w:val="24"/>
                <w:szCs w:val="24"/>
              </w:rPr>
              <w:t>）</w:t>
            </w:r>
            <w:r>
              <w:rPr>
                <w:rFonts w:hint="eastAsia" w:ascii="Times New Roman"/>
                <w:color w:val="auto"/>
                <w:sz w:val="24"/>
                <w:szCs w:val="24"/>
                <w:lang w:eastAsia="zh-CN"/>
              </w:rPr>
              <w:t>。</w:t>
            </w:r>
          </w:p>
          <w:p w14:paraId="09D7AB58">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项目各中转料仓、</w:t>
            </w:r>
            <w:r>
              <w:rPr>
                <w:rFonts w:hint="default" w:ascii="Times New Roman" w:hAnsi="Times New Roman" w:eastAsia="宋体" w:cs="Times New Roman"/>
                <w:color w:val="auto"/>
                <w:sz w:val="24"/>
                <w:szCs w:val="24"/>
                <w:lang w:val="en-US" w:eastAsia="zh-CN"/>
              </w:rPr>
              <w:t>拆包机</w:t>
            </w:r>
            <w:r>
              <w:rPr>
                <w:rFonts w:hint="eastAsia" w:ascii="Times New Roman" w:hAnsi="Times New Roman" w:eastAsia="宋体" w:cs="Times New Roman"/>
                <w:color w:val="auto"/>
                <w:sz w:val="24"/>
                <w:szCs w:val="24"/>
                <w:lang w:val="en-US" w:eastAsia="zh-CN"/>
              </w:rPr>
              <w:t>、包装机</w:t>
            </w:r>
            <w:r>
              <w:rPr>
                <w:rFonts w:hint="default" w:ascii="Times New Roman" w:hAnsi="Times New Roman" w:eastAsia="宋体" w:cs="Times New Roman"/>
                <w:color w:val="auto"/>
                <w:sz w:val="24"/>
                <w:szCs w:val="24"/>
                <w:lang w:val="en-US" w:eastAsia="zh-CN"/>
              </w:rPr>
              <w:t>呼吸口处</w:t>
            </w:r>
            <w:r>
              <w:rPr>
                <w:rFonts w:hint="eastAsia" w:ascii="Times New Roman" w:hAnsi="Times New Roman" w:eastAsia="宋体" w:cs="Times New Roman"/>
                <w:color w:val="auto"/>
                <w:sz w:val="24"/>
                <w:szCs w:val="24"/>
                <w:lang w:val="en-US" w:eastAsia="zh-CN"/>
              </w:rPr>
              <w:t>均配</w:t>
            </w:r>
            <w:r>
              <w:rPr>
                <w:rFonts w:hint="default" w:ascii="Times New Roman" w:hAnsi="Times New Roman" w:eastAsia="宋体" w:cs="Times New Roman"/>
                <w:color w:val="auto"/>
                <w:sz w:val="24"/>
                <w:szCs w:val="24"/>
                <w:lang w:val="en-US" w:eastAsia="zh-CN"/>
              </w:rPr>
              <w:t>有除尘滤芯，</w:t>
            </w:r>
            <w:r>
              <w:rPr>
                <w:rFonts w:hint="eastAsia" w:ascii="Times New Roman" w:hAnsi="Times New Roman" w:eastAsia="宋体" w:cs="Times New Roman"/>
                <w:color w:val="auto"/>
                <w:sz w:val="24"/>
                <w:szCs w:val="24"/>
                <w:lang w:val="en-US" w:eastAsia="zh-CN"/>
              </w:rPr>
              <w:t>拆包粉尘、气力输送粉尘、落料粉尘、包装粉尘经滤芯除尘后车间内无组织排放。</w:t>
            </w:r>
            <w:r>
              <w:rPr>
                <w:rFonts w:hint="eastAsia" w:ascii="Times New Roman"/>
                <w:color w:val="auto"/>
                <w:sz w:val="24"/>
                <w:szCs w:val="24"/>
                <w:lang w:val="en-US" w:eastAsia="zh-CN"/>
              </w:rPr>
              <w:t xml:space="preserve"> </w:t>
            </w:r>
          </w:p>
          <w:p w14:paraId="392C0D6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eastAsia="zh-CN"/>
              </w:rPr>
              <w:t>（</w:t>
            </w:r>
            <w:r>
              <w:rPr>
                <w:rFonts w:hint="default"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废气治理措施可行性分析</w:t>
            </w:r>
          </w:p>
          <w:p w14:paraId="692124A3">
            <w:pPr>
              <w:pStyle w:val="14"/>
              <w:keepNext w:val="0"/>
              <w:keepLines w:val="0"/>
              <w:pageBreakBefore w:val="0"/>
              <w:widowControl w:val="0"/>
              <w:kinsoku/>
              <w:wordWrap/>
              <w:overflowPunct/>
              <w:topLinePunct w:val="0"/>
              <w:autoSpaceDE/>
              <w:autoSpaceDN/>
              <w:bidi w:val="0"/>
              <w:adjustRightInd/>
              <w:snapToGrid/>
              <w:spacing w:line="360" w:lineRule="auto"/>
              <w:ind w:firstLine="522" w:firstLineChars="200"/>
              <w:jc w:val="left"/>
              <w:textAlignment w:val="auto"/>
              <w:rPr>
                <w:rFonts w:hint="default"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bCs/>
                <w:spacing w:val="10"/>
                <w:sz w:val="24"/>
                <w:szCs w:val="24"/>
                <w:lang w:eastAsia="zh-CN"/>
              </w:rPr>
              <w:t>二级碱喷淋：</w:t>
            </w:r>
            <w:r>
              <w:rPr>
                <w:rFonts w:hint="default" w:ascii="Times New Roman" w:hAnsi="Times New Roman" w:eastAsia="宋体" w:cs="Times New Roman"/>
                <w:spacing w:val="10"/>
                <w:sz w:val="24"/>
                <w:szCs w:val="24"/>
              </w:rPr>
              <w:t>碱喷淋采用二级双层填料塔。填料塔以填料作为气、液接</w:t>
            </w:r>
            <w:r>
              <w:rPr>
                <w:rFonts w:hint="default" w:ascii="Times New Roman" w:hAnsi="Times New Roman" w:eastAsia="宋体" w:cs="Times New Roman"/>
                <w:spacing w:val="9"/>
                <w:sz w:val="24"/>
                <w:szCs w:val="24"/>
              </w:rPr>
              <w:t>触和传质的基本构件，液体在</w:t>
            </w:r>
            <w:r>
              <w:rPr>
                <w:rFonts w:hint="default" w:ascii="Times New Roman" w:hAnsi="Times New Roman" w:eastAsia="宋体" w:cs="Times New Roman"/>
                <w:spacing w:val="10"/>
                <w:sz w:val="24"/>
                <w:szCs w:val="24"/>
              </w:rPr>
              <w:t>填料表面呈膜状自上而下流动，含尘气体呈连续相自下而上与</w:t>
            </w:r>
            <w:r>
              <w:rPr>
                <w:rFonts w:hint="default" w:ascii="Times New Roman" w:hAnsi="Times New Roman" w:eastAsia="宋体" w:cs="Times New Roman"/>
                <w:spacing w:val="9"/>
                <w:sz w:val="24"/>
                <w:szCs w:val="24"/>
              </w:rPr>
              <w:t>液体逆向流动，并进行气、液</w:t>
            </w:r>
            <w:r>
              <w:rPr>
                <w:rFonts w:hint="default" w:ascii="Times New Roman" w:hAnsi="Times New Roman" w:eastAsia="宋体" w:cs="Times New Roman"/>
                <w:spacing w:val="10"/>
                <w:sz w:val="24"/>
                <w:szCs w:val="24"/>
              </w:rPr>
              <w:t>两相间的传质。填料塔流体阻力小，适用于处理大风量废气。</w:t>
            </w:r>
            <w:r>
              <w:rPr>
                <w:rFonts w:hint="default" w:ascii="Times New Roman" w:hAnsi="Times New Roman" w:eastAsia="宋体" w:cs="Times New Roman"/>
                <w:spacing w:val="9"/>
                <w:sz w:val="24"/>
                <w:szCs w:val="24"/>
              </w:rPr>
              <w:t>填料塔内安装两层填料层，在</w:t>
            </w:r>
            <w:r>
              <w:rPr>
                <w:rFonts w:hint="default" w:ascii="Times New Roman" w:hAnsi="Times New Roman" w:eastAsia="宋体" w:cs="Times New Roman"/>
                <w:spacing w:val="10"/>
                <w:sz w:val="24"/>
                <w:szCs w:val="24"/>
              </w:rPr>
              <w:t>进风处增加挡板，改变气体流向和流动方式增加气体在塔</w:t>
            </w:r>
            <w:r>
              <w:rPr>
                <w:rFonts w:hint="default" w:ascii="Times New Roman" w:hAnsi="Times New Roman" w:eastAsia="宋体" w:cs="Times New Roman"/>
                <w:spacing w:val="9"/>
                <w:sz w:val="24"/>
                <w:szCs w:val="24"/>
              </w:rPr>
              <w:t>内的停留时间；通过在塔体内填充</w:t>
            </w:r>
            <w:r>
              <w:rPr>
                <w:rFonts w:hint="default" w:ascii="Times New Roman" w:hAnsi="Times New Roman" w:eastAsia="宋体" w:cs="Times New Roman"/>
                <w:spacing w:val="10"/>
                <w:sz w:val="24"/>
                <w:szCs w:val="24"/>
              </w:rPr>
              <w:t>高效填料，可以增加气体在塔内的停留时间，又可以增加气体</w:t>
            </w:r>
            <w:r>
              <w:rPr>
                <w:rFonts w:hint="default" w:ascii="Times New Roman" w:hAnsi="Times New Roman" w:eastAsia="宋体" w:cs="Times New Roman"/>
                <w:spacing w:val="9"/>
                <w:sz w:val="24"/>
                <w:szCs w:val="24"/>
              </w:rPr>
              <w:t>与液体的接触表面积增加，从</w:t>
            </w:r>
            <w:r>
              <w:rPr>
                <w:rFonts w:hint="default" w:ascii="Times New Roman" w:hAnsi="Times New Roman" w:eastAsia="宋体" w:cs="Times New Roman"/>
                <w:spacing w:val="10"/>
                <w:sz w:val="24"/>
                <w:szCs w:val="24"/>
              </w:rPr>
              <w:t>而提高废气的去除效率；利用新型免堵塞高效雾化喷头进行吸</w:t>
            </w:r>
            <w:r>
              <w:rPr>
                <w:rFonts w:hint="default" w:ascii="Times New Roman" w:hAnsi="Times New Roman" w:eastAsia="宋体" w:cs="Times New Roman"/>
                <w:spacing w:val="9"/>
                <w:sz w:val="24"/>
                <w:szCs w:val="24"/>
              </w:rPr>
              <w:t>收，使吸收效果更好，从而提</w:t>
            </w:r>
            <w:r>
              <w:rPr>
                <w:rFonts w:hint="default" w:ascii="Times New Roman" w:hAnsi="Times New Roman" w:eastAsia="宋体" w:cs="Times New Roman"/>
                <w:spacing w:val="10"/>
                <w:sz w:val="24"/>
                <w:szCs w:val="24"/>
              </w:rPr>
              <w:t>高去除效率，同时又减少设备的故障率，确保设备稳定运</w:t>
            </w:r>
            <w:r>
              <w:rPr>
                <w:rFonts w:hint="default" w:ascii="Times New Roman" w:hAnsi="Times New Roman" w:eastAsia="宋体" w:cs="Times New Roman"/>
                <w:spacing w:val="9"/>
                <w:sz w:val="24"/>
                <w:szCs w:val="24"/>
              </w:rPr>
              <w:t>行。根据《环境保护产品技术要求</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8"/>
                <w:sz w:val="24"/>
                <w:szCs w:val="24"/>
              </w:rPr>
              <w:t>工业废气吸收净化装置</w:t>
            </w:r>
            <w:r>
              <w:rPr>
                <w:rFonts w:hint="default" w:ascii="Times New Roman" w:hAnsi="Times New Roman" w:eastAsia="宋体" w:cs="Times New Roman"/>
                <w:spacing w:val="-34"/>
                <w:sz w:val="24"/>
                <w:szCs w:val="24"/>
              </w:rPr>
              <w:t xml:space="preserve"> </w:t>
            </w:r>
            <w:r>
              <w:rPr>
                <w:rFonts w:hint="default" w:ascii="Times New Roman" w:hAnsi="Times New Roman" w:eastAsia="宋体" w:cs="Times New Roman"/>
                <w:sz w:val="24"/>
                <w:szCs w:val="24"/>
              </w:rPr>
              <w:t>HJT</w:t>
            </w:r>
            <w:r>
              <w:rPr>
                <w:rFonts w:hint="default" w:ascii="Times New Roman" w:hAnsi="Times New Roman" w:eastAsia="宋体" w:cs="Times New Roman"/>
                <w:spacing w:val="8"/>
                <w:sz w:val="24"/>
                <w:szCs w:val="24"/>
              </w:rPr>
              <w:t>387-2007》吸收塔对</w:t>
            </w:r>
            <w:r>
              <w:rPr>
                <w:rFonts w:hint="default" w:ascii="Times New Roman" w:hAnsi="Times New Roman" w:eastAsia="宋体" w:cs="Times New Roman"/>
                <w:spacing w:val="-41"/>
                <w:sz w:val="24"/>
                <w:szCs w:val="24"/>
              </w:rPr>
              <w:t xml:space="preserve"> </w:t>
            </w:r>
            <w:r>
              <w:rPr>
                <w:rFonts w:hint="default" w:ascii="Times New Roman" w:hAnsi="Times New Roman" w:eastAsia="宋体" w:cs="Times New Roman"/>
                <w:sz w:val="24"/>
                <w:szCs w:val="24"/>
              </w:rPr>
              <w:t>HCl</w:t>
            </w:r>
            <w:r>
              <w:rPr>
                <w:rFonts w:hint="default" w:ascii="Times New Roman" w:hAnsi="Times New Roman" w:eastAsia="宋体" w:cs="Times New Roman"/>
                <w:spacing w:val="8"/>
                <w:sz w:val="24"/>
                <w:szCs w:val="24"/>
              </w:rPr>
              <w:t>净化效率可达</w:t>
            </w:r>
            <w:r>
              <w:rPr>
                <w:rFonts w:hint="default" w:ascii="Times New Roman" w:hAnsi="Times New Roman" w:eastAsia="宋体" w:cs="Times New Roman"/>
                <w:spacing w:val="-35"/>
                <w:sz w:val="24"/>
                <w:szCs w:val="24"/>
              </w:rPr>
              <w:t xml:space="preserve"> </w:t>
            </w:r>
            <w:r>
              <w:rPr>
                <w:rFonts w:hint="default" w:ascii="Times New Roman" w:hAnsi="Times New Roman" w:eastAsia="宋体" w:cs="Times New Roman"/>
                <w:spacing w:val="8"/>
                <w:sz w:val="24"/>
                <w:szCs w:val="24"/>
              </w:rPr>
              <w:t>90%；《废气处理工程技</w:t>
            </w:r>
            <w:r>
              <w:rPr>
                <w:rFonts w:hint="default" w:ascii="Times New Roman" w:hAnsi="Times New Roman" w:eastAsia="宋体" w:cs="Times New Roman"/>
                <w:spacing w:val="9"/>
                <w:sz w:val="24"/>
                <w:szCs w:val="24"/>
              </w:rPr>
              <w:t>术手册》（王纯、张殿印主编）中明确湿式除尘器效率可达</w:t>
            </w:r>
            <w:r>
              <w:rPr>
                <w:rFonts w:hint="default" w:ascii="Times New Roman" w:hAnsi="Times New Roman" w:eastAsia="宋体" w:cs="Times New Roman"/>
                <w:spacing w:val="-34"/>
                <w:sz w:val="24"/>
                <w:szCs w:val="24"/>
              </w:rPr>
              <w:t xml:space="preserve"> </w:t>
            </w:r>
            <w:r>
              <w:rPr>
                <w:rFonts w:hint="default" w:ascii="Times New Roman" w:hAnsi="Times New Roman" w:eastAsia="宋体" w:cs="Times New Roman"/>
                <w:spacing w:val="9"/>
                <w:sz w:val="24"/>
                <w:szCs w:val="24"/>
              </w:rPr>
              <w:t>9</w:t>
            </w:r>
            <w:r>
              <w:rPr>
                <w:rFonts w:hint="default" w:ascii="Times New Roman" w:hAnsi="Times New Roman" w:eastAsia="宋体" w:cs="Times New Roman"/>
                <w:spacing w:val="8"/>
                <w:sz w:val="24"/>
                <w:szCs w:val="24"/>
              </w:rPr>
              <w:t>0%以上，二级碱喷淋颗粒物去</w:t>
            </w:r>
            <w:r>
              <w:rPr>
                <w:rFonts w:hint="default" w:ascii="Times New Roman" w:hAnsi="Times New Roman" w:eastAsia="宋体" w:cs="Times New Roman"/>
                <w:spacing w:val="5"/>
                <w:sz w:val="24"/>
                <w:szCs w:val="24"/>
              </w:rPr>
              <w:t>除效率可达</w:t>
            </w:r>
            <w:r>
              <w:rPr>
                <w:rFonts w:hint="default" w:ascii="Times New Roman" w:hAnsi="Times New Roman" w:eastAsia="宋体" w:cs="Times New Roman"/>
                <w:spacing w:val="-31"/>
                <w:sz w:val="24"/>
                <w:szCs w:val="24"/>
              </w:rPr>
              <w:t xml:space="preserve"> </w:t>
            </w:r>
            <w:r>
              <w:rPr>
                <w:rFonts w:hint="default" w:ascii="Times New Roman" w:hAnsi="Times New Roman" w:eastAsia="宋体" w:cs="Times New Roman"/>
                <w:spacing w:val="5"/>
                <w:sz w:val="24"/>
                <w:szCs w:val="24"/>
              </w:rPr>
              <w:t>99%</w:t>
            </w:r>
            <w:r>
              <w:rPr>
                <w:rFonts w:hint="default" w:ascii="Times New Roman" w:hAnsi="Times New Roman" w:eastAsia="宋体" w:cs="Times New Roman"/>
                <w:spacing w:val="-24"/>
                <w:sz w:val="24"/>
                <w:szCs w:val="24"/>
              </w:rPr>
              <w:t xml:space="preserve"> </w:t>
            </w:r>
            <w:r>
              <w:rPr>
                <w:rFonts w:hint="default" w:ascii="Times New Roman" w:hAnsi="Times New Roman" w:eastAsia="宋体" w:cs="Times New Roman"/>
                <w:spacing w:val="5"/>
                <w:sz w:val="24"/>
                <w:szCs w:val="24"/>
              </w:rPr>
              <w:t>，本次环评保守取</w:t>
            </w:r>
            <w:r>
              <w:rPr>
                <w:rFonts w:hint="default" w:ascii="Times New Roman" w:hAnsi="Times New Roman" w:eastAsia="宋体" w:cs="Times New Roman"/>
                <w:spacing w:val="-36"/>
                <w:sz w:val="24"/>
                <w:szCs w:val="24"/>
              </w:rPr>
              <w:t xml:space="preserve"> </w:t>
            </w:r>
            <w:r>
              <w:rPr>
                <w:rFonts w:hint="default" w:ascii="Times New Roman" w:hAnsi="Times New Roman" w:eastAsia="宋体" w:cs="Times New Roman"/>
                <w:spacing w:val="5"/>
                <w:sz w:val="24"/>
                <w:szCs w:val="24"/>
              </w:rPr>
              <w:t>90%。</w:t>
            </w:r>
          </w:p>
          <w:p w14:paraId="0B4DE49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b/>
                <w:bCs/>
                <w:color w:val="auto"/>
                <w:sz w:val="24"/>
                <w:szCs w:val="24"/>
                <w:lang w:eastAsia="zh-CN"/>
              </w:rPr>
              <w:t>布袋除尘器：</w:t>
            </w:r>
            <w:r>
              <w:rPr>
                <w:rFonts w:hint="default" w:ascii="Times New Roman" w:hAnsi="Times New Roman" w:eastAsia="宋体" w:cs="Times New Roman"/>
                <w:color w:val="auto"/>
                <w:kern w:val="0"/>
                <w:sz w:val="24"/>
                <w:szCs w:val="24"/>
                <w:lang w:val="en-US" w:eastAsia="zh-CN" w:bidi="ar"/>
              </w:rPr>
              <w:t>含尘气</w:t>
            </w:r>
            <w:r>
              <w:rPr>
                <w:rFonts w:hint="default" w:ascii="Times New Roman" w:hAnsi="Times New Roman" w:eastAsia="宋体" w:cs="Times New Roman"/>
                <w:color w:val="000000"/>
                <w:kern w:val="0"/>
                <w:sz w:val="24"/>
                <w:szCs w:val="24"/>
                <w:lang w:val="en-US" w:eastAsia="zh-CN" w:bidi="ar"/>
              </w:rPr>
              <w:t>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布袋除尘器除尘效率高，一般在99%以上，除尘器出口气体含尘浓度在数十mg/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之内，对亚微米粒径的细尘有较高的分级效率。</w:t>
            </w:r>
          </w:p>
          <w:p w14:paraId="0E867A8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滤芯除尘器</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sz w:val="24"/>
                <w:szCs w:val="24"/>
              </w:rPr>
              <w:t>主要由上箱体、中箱体、灰斗、卸灰系统、喷吹系统和控制系统等几部分组成，可采用多种进气分室结构。含尘烟气由进风口经中箱体下部进入灰斗；部分较大的尘粒由于惯性碰撞、自然沉降等作用直接落入灰斗，其它尘粒随气流上升进入各个袋室。经滤芯过滤后，尘粒被阻留在滤芯外侧，净化后的气体由滤芯内部进入箱体，再通过提升阀、出风口排入大气。灰斗中的粉尘定时或连续由螺旋输送机及刚性叶轮卸料器卸出。滤芯式除尘器除尘效率一般与布袋除尘器相当，可达99%以上。</w:t>
            </w:r>
          </w:p>
          <w:p w14:paraId="0DA666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综上所述，</w:t>
            </w:r>
            <w:r>
              <w:rPr>
                <w:rFonts w:hint="default" w:ascii="Times New Roman" w:hAnsi="Times New Roman" w:eastAsia="宋体" w:cs="Times New Roman"/>
                <w:color w:val="auto"/>
                <w:sz w:val="24"/>
                <w:szCs w:val="24"/>
              </w:rPr>
              <w:t>根据</w:t>
            </w:r>
            <w:r>
              <w:rPr>
                <w:rFonts w:hint="default" w:ascii="Times New Roman" w:hAnsi="Times New Roman" w:eastAsia="宋体" w:cs="Times New Roman"/>
                <w:bCs/>
                <w:color w:val="auto"/>
                <w:sz w:val="24"/>
                <w:szCs w:val="24"/>
              </w:rPr>
              <w:t>《排污许可证申</w:t>
            </w:r>
            <w:r>
              <w:rPr>
                <w:rFonts w:hint="default" w:ascii="Times New Roman" w:hAnsi="Times New Roman" w:cs="Times New Roman"/>
                <w:bCs/>
                <w:color w:val="auto"/>
                <w:sz w:val="24"/>
                <w:szCs w:val="24"/>
              </w:rPr>
              <w:t xml:space="preserve">请与核发技术规范 </w:t>
            </w:r>
            <w:r>
              <w:rPr>
                <w:rFonts w:hint="eastAsia" w:cs="Times New Roman"/>
                <w:snapToGrid w:val="0"/>
                <w:kern w:val="0"/>
                <w:sz w:val="24"/>
                <w:szCs w:val="24"/>
                <w:lang w:eastAsia="zh-CN"/>
              </w:rPr>
              <w:t>电子工业</w:t>
            </w:r>
            <w:r>
              <w:rPr>
                <w:rFonts w:hint="default" w:ascii="Times New Roman" w:hAnsi="Times New Roman" w:eastAsia="宋体" w:cs="Times New Roman"/>
                <w:snapToGrid w:val="0"/>
                <w:kern w:val="0"/>
                <w:sz w:val="24"/>
                <w:szCs w:val="24"/>
              </w:rPr>
              <w:t>》（HJ</w:t>
            </w:r>
            <w:r>
              <w:rPr>
                <w:rFonts w:hint="eastAsia" w:cs="Times New Roman"/>
                <w:snapToGrid w:val="0"/>
                <w:kern w:val="0"/>
                <w:sz w:val="24"/>
                <w:szCs w:val="24"/>
                <w:lang w:val="en-US" w:eastAsia="zh-CN"/>
              </w:rPr>
              <w:t>1031</w:t>
            </w:r>
            <w:r>
              <w:rPr>
                <w:rFonts w:hint="default" w:ascii="Times New Roman" w:hAnsi="Times New Roman" w:eastAsia="宋体" w:cs="Times New Roman"/>
                <w:snapToGrid w:val="0"/>
                <w:kern w:val="0"/>
                <w:sz w:val="24"/>
                <w:szCs w:val="24"/>
              </w:rPr>
              <w:t>—20</w:t>
            </w:r>
            <w:r>
              <w:rPr>
                <w:rFonts w:hint="eastAsia" w:cs="Times New Roman"/>
                <w:snapToGrid w:val="0"/>
                <w:kern w:val="0"/>
                <w:sz w:val="24"/>
                <w:szCs w:val="24"/>
                <w:lang w:val="en-US" w:eastAsia="zh-CN"/>
              </w:rPr>
              <w:t>19</w:t>
            </w:r>
            <w:r>
              <w:rPr>
                <w:rFonts w:hint="default" w:ascii="Times New Roman" w:hAnsi="Times New Roman" w:eastAsia="宋体" w:cs="Times New Roman"/>
                <w:snapToGrid w:val="0"/>
                <w:kern w:val="0"/>
                <w:sz w:val="24"/>
                <w:szCs w:val="24"/>
              </w:rPr>
              <w:t>）</w:t>
            </w:r>
            <w:r>
              <w:rPr>
                <w:rFonts w:hint="default" w:ascii="Times New Roman" w:hAnsi="Times New Roman" w:cs="Times New Roman"/>
                <w:bCs/>
                <w:color w:val="auto"/>
                <w:sz w:val="24"/>
                <w:szCs w:val="24"/>
              </w:rPr>
              <w:t>中</w:t>
            </w:r>
            <w:r>
              <w:rPr>
                <w:rFonts w:hint="eastAsia" w:cs="Times New Roman"/>
                <w:bCs/>
                <w:color w:val="auto"/>
                <w:sz w:val="24"/>
                <w:szCs w:val="24"/>
                <w:lang w:eastAsia="zh-CN"/>
              </w:rPr>
              <w:t>电子专用材料制造</w:t>
            </w:r>
            <w:r>
              <w:rPr>
                <w:rFonts w:hint="default" w:ascii="Times New Roman" w:hAnsi="Times New Roman" w:cs="Times New Roman"/>
                <w:bCs/>
                <w:color w:val="auto"/>
                <w:sz w:val="24"/>
                <w:szCs w:val="24"/>
              </w:rPr>
              <w:t>排污单位废气污染防治可行技术</w:t>
            </w:r>
            <w:r>
              <w:rPr>
                <w:rFonts w:hint="default" w:ascii="Times New Roman" w:hAnsi="Times New Roman" w:cs="Times New Roman"/>
                <w:bCs/>
                <w:color w:val="auto"/>
                <w:sz w:val="24"/>
                <w:szCs w:val="24"/>
                <w:lang w:eastAsia="zh-CN"/>
              </w:rPr>
              <w:t>，本项目所使用的废气治理措施均为可行性技术，</w:t>
            </w:r>
            <w:r>
              <w:rPr>
                <w:rFonts w:hint="default" w:ascii="Times New Roman" w:hAnsi="Times New Roman" w:eastAsia="宋体" w:cs="Times New Roman"/>
                <w:sz w:val="24"/>
                <w:szCs w:val="24"/>
              </w:rPr>
              <w:t>本项目废气在采取各项废气净化措施后，可做到达标排放，</w:t>
            </w:r>
            <w:r>
              <w:rPr>
                <w:rFonts w:hint="default" w:ascii="Times New Roman" w:hAnsi="Times New Roman" w:cs="Times New Roman"/>
                <w:bCs/>
                <w:color w:val="auto"/>
                <w:sz w:val="24"/>
                <w:szCs w:val="24"/>
              </w:rPr>
              <w:t>废气污染防治</w:t>
            </w:r>
            <w:r>
              <w:rPr>
                <w:rFonts w:hint="default" w:ascii="Times New Roman" w:hAnsi="Times New Roman" w:cs="Times New Roman"/>
                <w:bCs/>
                <w:color w:val="auto"/>
                <w:sz w:val="24"/>
                <w:szCs w:val="24"/>
                <w:lang w:eastAsia="zh-CN"/>
              </w:rPr>
              <w:t>措施</w:t>
            </w:r>
            <w:r>
              <w:rPr>
                <w:rFonts w:hint="default" w:ascii="Times New Roman" w:hAnsi="Times New Roman" w:cs="Times New Roman"/>
                <w:bCs/>
                <w:color w:val="auto"/>
                <w:sz w:val="24"/>
                <w:szCs w:val="24"/>
              </w:rPr>
              <w:t>可行</w:t>
            </w:r>
            <w:r>
              <w:rPr>
                <w:rFonts w:hint="default" w:ascii="Times New Roman" w:hAnsi="Times New Roman" w:eastAsia="宋体" w:cs="Times New Roman"/>
                <w:sz w:val="24"/>
                <w:szCs w:val="24"/>
              </w:rPr>
              <w:t>。</w:t>
            </w:r>
          </w:p>
          <w:p w14:paraId="10313B11">
            <w:pPr>
              <w:adjustRightInd w:val="0"/>
              <w:spacing w:line="240" w:lineRule="auto"/>
              <w:jc w:val="left"/>
              <w:rPr>
                <w:rFonts w:hint="default" w:ascii="Times New Roman" w:hAnsi="Times New Roman" w:eastAsia="宋体" w:cs="Times New Roman"/>
                <w:b/>
                <w:color w:val="auto"/>
                <w:kern w:val="0"/>
                <w:sz w:val="24"/>
              </w:rPr>
            </w:pPr>
            <w:r>
              <w:rPr>
                <w:rFonts w:hint="default" w:ascii="Times New Roman" w:hAnsi="Times New Roman" w:eastAsia="宋体" w:cs="Times New Roman"/>
                <w:b/>
                <w:kern w:val="0"/>
                <w:sz w:val="24"/>
              </w:rPr>
              <w:t>1.3</w:t>
            </w:r>
            <w:r>
              <w:rPr>
                <w:rFonts w:hint="default" w:ascii="Times New Roman" w:hAnsi="Times New Roman" w:eastAsia="宋体" w:cs="Times New Roman"/>
                <w:b/>
                <w:color w:val="auto"/>
                <w:kern w:val="0"/>
                <w:sz w:val="24"/>
              </w:rPr>
              <w:t>废气监测</w:t>
            </w:r>
          </w:p>
          <w:p w14:paraId="448C8064">
            <w:pPr>
              <w:adjustRightInd w:val="0"/>
              <w:spacing w:line="360" w:lineRule="auto"/>
              <w:ind w:firstLine="480" w:firstLineChars="200"/>
              <w:jc w:val="left"/>
              <w:rPr>
                <w:kern w:val="0"/>
                <w:sz w:val="24"/>
              </w:rPr>
            </w:pPr>
            <w:r>
              <w:rPr>
                <w:rFonts w:hint="default" w:ascii="Times New Roman" w:hAnsi="Times New Roman" w:eastAsia="宋体" w:cs="Times New Roman"/>
                <w:bCs/>
                <w:color w:val="auto"/>
                <w:sz w:val="24"/>
                <w:szCs w:val="20"/>
                <w:lang w:val="en-US" w:eastAsia="zh-CN"/>
              </w:rPr>
              <w:t>参考《排污单位自</w:t>
            </w:r>
            <w:r>
              <w:rPr>
                <w:rFonts w:hint="default" w:ascii="Times New Roman" w:hAnsi="Times New Roman" w:eastAsia="宋体" w:cs="Times New Roman"/>
                <w:bCs/>
                <w:sz w:val="24"/>
                <w:szCs w:val="20"/>
                <w:lang w:val="en-US" w:eastAsia="zh-CN"/>
              </w:rPr>
              <w:t xml:space="preserve">行监测技术指南 </w:t>
            </w:r>
            <w:r>
              <w:rPr>
                <w:rFonts w:hint="default" w:ascii="Times New Roman" w:hAnsi="Times New Roman" w:eastAsia="宋体" w:cs="Times New Roman"/>
                <w:color w:val="auto"/>
                <w:kern w:val="0"/>
                <w:sz w:val="24"/>
                <w:lang w:val="en-US" w:eastAsia="zh-CN"/>
              </w:rPr>
              <w:t>总则</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HJ 819-2017</w:t>
            </w:r>
            <w:r>
              <w:rPr>
                <w:rFonts w:hint="eastAsia" w:ascii="Times New Roman" w:hAnsi="Times New Roman" w:eastAsia="宋体" w:cs="Times New Roman"/>
                <w:color w:val="auto"/>
                <w:kern w:val="0"/>
                <w:sz w:val="24"/>
                <w:lang w:val="en-US" w:eastAsia="zh-CN"/>
              </w:rPr>
              <w:t>）</w:t>
            </w:r>
            <w:r>
              <w:rPr>
                <w:rFonts w:hint="eastAsia" w:cs="Times New Roman"/>
                <w:bCs/>
                <w:color w:val="auto"/>
                <w:sz w:val="24"/>
                <w:szCs w:val="20"/>
                <w:lang w:val="en-US" w:eastAsia="zh-CN"/>
              </w:rPr>
              <w:t>和</w:t>
            </w:r>
            <w:r>
              <w:rPr>
                <w:rFonts w:hint="default" w:ascii="Times New Roman" w:hAnsi="Times New Roman" w:eastAsia="宋体" w:cs="Times New Roman"/>
                <w:snapToGrid w:val="0"/>
                <w:kern w:val="0"/>
                <w:sz w:val="24"/>
                <w:szCs w:val="24"/>
              </w:rPr>
              <w:t>《</w:t>
            </w:r>
            <w:r>
              <w:rPr>
                <w:rFonts w:hint="default" w:ascii="Times New Roman" w:hAnsi="Times New Roman" w:eastAsia="宋体" w:cs="Times New Roman"/>
                <w:bCs/>
                <w:color w:val="auto"/>
                <w:sz w:val="24"/>
                <w:szCs w:val="20"/>
                <w:lang w:val="en-US" w:eastAsia="zh-CN"/>
              </w:rPr>
              <w:t>排污单位自</w:t>
            </w:r>
            <w:r>
              <w:rPr>
                <w:rFonts w:hint="default" w:ascii="Times New Roman" w:hAnsi="Times New Roman" w:eastAsia="宋体" w:cs="Times New Roman"/>
                <w:bCs/>
                <w:sz w:val="24"/>
                <w:szCs w:val="20"/>
                <w:lang w:val="en-US" w:eastAsia="zh-CN"/>
              </w:rPr>
              <w:t>行监测技术指南</w:t>
            </w:r>
            <w:r>
              <w:rPr>
                <w:rFonts w:hint="default" w:ascii="Times New Roman" w:hAnsi="Times New Roman" w:eastAsia="宋体" w:cs="Times New Roman"/>
                <w:snapToGrid w:val="0"/>
                <w:kern w:val="0"/>
                <w:sz w:val="24"/>
                <w:szCs w:val="24"/>
              </w:rPr>
              <w:t xml:space="preserve"> </w:t>
            </w:r>
            <w:r>
              <w:rPr>
                <w:rFonts w:hint="eastAsia" w:cs="Times New Roman"/>
                <w:snapToGrid w:val="0"/>
                <w:kern w:val="0"/>
                <w:sz w:val="24"/>
                <w:szCs w:val="24"/>
                <w:lang w:eastAsia="zh-CN"/>
              </w:rPr>
              <w:t>电子工业</w:t>
            </w:r>
            <w:r>
              <w:rPr>
                <w:rFonts w:hint="default" w:ascii="Times New Roman" w:hAnsi="Times New Roman" w:eastAsia="宋体" w:cs="Times New Roman"/>
                <w:snapToGrid w:val="0"/>
                <w:kern w:val="0"/>
                <w:sz w:val="24"/>
                <w:szCs w:val="24"/>
              </w:rPr>
              <w:t>》（HJ1</w:t>
            </w:r>
            <w:r>
              <w:rPr>
                <w:rFonts w:hint="eastAsia" w:cs="Times New Roman"/>
                <w:snapToGrid w:val="0"/>
                <w:kern w:val="0"/>
                <w:sz w:val="24"/>
                <w:szCs w:val="24"/>
                <w:lang w:val="en-US" w:eastAsia="zh-CN"/>
              </w:rPr>
              <w:t>253</w:t>
            </w:r>
            <w:r>
              <w:rPr>
                <w:rFonts w:hint="default" w:ascii="Times New Roman" w:hAnsi="Times New Roman" w:eastAsia="宋体" w:cs="Times New Roman"/>
                <w:snapToGrid w:val="0"/>
                <w:kern w:val="0"/>
                <w:sz w:val="24"/>
                <w:szCs w:val="24"/>
              </w:rPr>
              <w:t>—202</w:t>
            </w:r>
            <w:r>
              <w:rPr>
                <w:rFonts w:hint="eastAsia" w:cs="Times New Roman"/>
                <w:snapToGrid w:val="0"/>
                <w:kern w:val="0"/>
                <w:sz w:val="24"/>
                <w:szCs w:val="24"/>
                <w:lang w:val="en-US" w:eastAsia="zh-CN"/>
              </w:rPr>
              <w:t>2</w:t>
            </w:r>
            <w:r>
              <w:rPr>
                <w:rFonts w:hint="default" w:ascii="Times New Roman" w:hAnsi="Times New Roman" w:eastAsia="宋体" w:cs="Times New Roman"/>
                <w:snapToGrid w:val="0"/>
                <w:kern w:val="0"/>
                <w:sz w:val="24"/>
                <w:szCs w:val="24"/>
              </w:rPr>
              <w:t>）</w:t>
            </w:r>
            <w:r>
              <w:rPr>
                <w:rFonts w:hint="default" w:ascii="Times New Roman" w:hAnsi="Times New Roman" w:eastAsia="宋体" w:cs="Times New Roman"/>
                <w:bCs/>
                <w:color w:val="auto"/>
                <w:sz w:val="24"/>
                <w:szCs w:val="20"/>
                <w:lang w:val="en-US" w:eastAsia="zh-CN"/>
              </w:rPr>
              <w:t>，</w:t>
            </w:r>
            <w:r>
              <w:rPr>
                <w:rFonts w:hint="default" w:ascii="Times New Roman" w:hAnsi="Times New Roman" w:eastAsia="宋体" w:cs="Times New Roman"/>
                <w:color w:val="auto"/>
                <w:kern w:val="0"/>
                <w:sz w:val="24"/>
              </w:rPr>
              <w:t>项</w:t>
            </w:r>
            <w:r>
              <w:rPr>
                <w:rFonts w:hint="eastAsia"/>
                <w:color w:val="auto"/>
                <w:kern w:val="0"/>
                <w:sz w:val="24"/>
              </w:rPr>
              <w:t>目废气监测</w:t>
            </w:r>
            <w:r>
              <w:rPr>
                <w:rFonts w:hint="eastAsia"/>
                <w:kern w:val="0"/>
                <w:sz w:val="24"/>
              </w:rPr>
              <w:t>情况见下表。</w:t>
            </w:r>
          </w:p>
          <w:p w14:paraId="0237EDA7">
            <w:pPr>
              <w:adjustRightInd w:val="0"/>
              <w:spacing w:line="240" w:lineRule="auto"/>
              <w:ind w:firstLine="519" w:firstLineChars="246"/>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 xml:space="preserve">8 </w:t>
            </w:r>
            <w:r>
              <w:rPr>
                <w:rFonts w:hint="eastAsia"/>
                <w:b/>
                <w:color w:val="auto"/>
                <w:kern w:val="0"/>
                <w:sz w:val="21"/>
                <w:szCs w:val="21"/>
              </w:rPr>
              <w:t>废气监测一览表</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125"/>
              <w:gridCol w:w="1920"/>
              <w:gridCol w:w="1245"/>
              <w:gridCol w:w="3450"/>
            </w:tblGrid>
            <w:tr w14:paraId="038C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7" w:type="pct"/>
                  <w:vAlign w:val="center"/>
                </w:tcPr>
                <w:p w14:paraId="04674FDF">
                  <w:pPr>
                    <w:adjustRightInd w:val="0"/>
                    <w:jc w:val="center"/>
                    <w:rPr>
                      <w:color w:val="auto"/>
                      <w:kern w:val="0"/>
                      <w:szCs w:val="21"/>
                    </w:rPr>
                  </w:pPr>
                  <w:r>
                    <w:rPr>
                      <w:color w:val="auto"/>
                      <w:kern w:val="0"/>
                      <w:szCs w:val="21"/>
                    </w:rPr>
                    <w:t>监测项目</w:t>
                  </w:r>
                </w:p>
              </w:tc>
              <w:tc>
                <w:tcPr>
                  <w:tcW w:w="638" w:type="pct"/>
                  <w:vAlign w:val="center"/>
                </w:tcPr>
                <w:p w14:paraId="0D05E16B">
                  <w:pPr>
                    <w:adjustRightInd w:val="0"/>
                    <w:jc w:val="center"/>
                    <w:rPr>
                      <w:color w:val="auto"/>
                      <w:kern w:val="0"/>
                      <w:szCs w:val="21"/>
                    </w:rPr>
                  </w:pPr>
                  <w:r>
                    <w:rPr>
                      <w:color w:val="auto"/>
                      <w:kern w:val="0"/>
                      <w:szCs w:val="21"/>
                    </w:rPr>
                    <w:t>监测点位</w:t>
                  </w:r>
                </w:p>
              </w:tc>
              <w:tc>
                <w:tcPr>
                  <w:tcW w:w="1089" w:type="pct"/>
                  <w:vAlign w:val="center"/>
                </w:tcPr>
                <w:p w14:paraId="650E2147">
                  <w:pPr>
                    <w:adjustRightInd w:val="0"/>
                    <w:jc w:val="center"/>
                    <w:rPr>
                      <w:color w:val="auto"/>
                      <w:kern w:val="0"/>
                      <w:szCs w:val="21"/>
                    </w:rPr>
                  </w:pPr>
                  <w:r>
                    <w:rPr>
                      <w:color w:val="auto"/>
                      <w:kern w:val="0"/>
                      <w:szCs w:val="21"/>
                    </w:rPr>
                    <w:t>监测因子</w:t>
                  </w:r>
                </w:p>
              </w:tc>
              <w:tc>
                <w:tcPr>
                  <w:tcW w:w="706" w:type="pct"/>
                  <w:vAlign w:val="center"/>
                </w:tcPr>
                <w:p w14:paraId="61BD7FB2">
                  <w:pPr>
                    <w:adjustRightInd w:val="0"/>
                    <w:jc w:val="center"/>
                    <w:rPr>
                      <w:color w:val="auto"/>
                      <w:kern w:val="0"/>
                      <w:szCs w:val="21"/>
                    </w:rPr>
                  </w:pPr>
                  <w:r>
                    <w:rPr>
                      <w:color w:val="auto"/>
                      <w:kern w:val="0"/>
                      <w:szCs w:val="21"/>
                    </w:rPr>
                    <w:t>监测频次</w:t>
                  </w:r>
                </w:p>
              </w:tc>
              <w:tc>
                <w:tcPr>
                  <w:tcW w:w="1957" w:type="pct"/>
                  <w:vAlign w:val="center"/>
                </w:tcPr>
                <w:p w14:paraId="375C6E9E">
                  <w:pPr>
                    <w:adjustRightInd w:val="0"/>
                    <w:jc w:val="center"/>
                    <w:rPr>
                      <w:color w:val="auto"/>
                      <w:kern w:val="0"/>
                      <w:szCs w:val="21"/>
                    </w:rPr>
                  </w:pPr>
                  <w:r>
                    <w:rPr>
                      <w:color w:val="auto"/>
                      <w:kern w:val="0"/>
                      <w:szCs w:val="21"/>
                    </w:rPr>
                    <w:t>排放标准</w:t>
                  </w:r>
                </w:p>
              </w:tc>
            </w:tr>
            <w:tr w14:paraId="3AA5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07" w:type="pct"/>
                  <w:vMerge w:val="restart"/>
                  <w:vAlign w:val="center"/>
                </w:tcPr>
                <w:p w14:paraId="6CF9B7A3">
                  <w:pPr>
                    <w:adjustRightInd w:val="0"/>
                    <w:jc w:val="center"/>
                    <w:rPr>
                      <w:rFonts w:hint="eastAsia" w:eastAsia="宋体"/>
                      <w:color w:val="auto"/>
                      <w:kern w:val="0"/>
                      <w:szCs w:val="21"/>
                      <w:lang w:eastAsia="zh-CN"/>
                    </w:rPr>
                  </w:pPr>
                  <w:r>
                    <w:rPr>
                      <w:rFonts w:hint="eastAsia"/>
                      <w:color w:val="auto"/>
                      <w:kern w:val="0"/>
                      <w:szCs w:val="21"/>
                      <w:lang w:eastAsia="zh-CN"/>
                    </w:rPr>
                    <w:t>废气</w:t>
                  </w:r>
                </w:p>
              </w:tc>
              <w:tc>
                <w:tcPr>
                  <w:tcW w:w="638" w:type="pct"/>
                  <w:vMerge w:val="restart"/>
                  <w:vAlign w:val="center"/>
                </w:tcPr>
                <w:p w14:paraId="2B830035">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eastAsia="宋体"/>
                      <w:color w:val="auto"/>
                      <w:kern w:val="0"/>
                      <w:szCs w:val="21"/>
                      <w:lang w:eastAsia="zh-CN"/>
                    </w:rPr>
                  </w:pPr>
                  <w:r>
                    <w:rPr>
                      <w:rFonts w:hint="default" w:ascii="Times New Roman" w:hAnsi="Times New Roman" w:cs="Times New Roman"/>
                      <w:color w:val="auto"/>
                      <w:sz w:val="21"/>
                      <w:szCs w:val="21"/>
                    </w:rPr>
                    <w:t>DA001</w:t>
                  </w:r>
                </w:p>
              </w:tc>
              <w:tc>
                <w:tcPr>
                  <w:tcW w:w="1089" w:type="pct"/>
                  <w:vAlign w:val="center"/>
                </w:tcPr>
                <w:p w14:paraId="7327A02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auto"/>
                      <w:kern w:val="0"/>
                      <w:szCs w:val="21"/>
                      <w:lang w:eastAsia="zh-CN"/>
                    </w:rPr>
                  </w:pPr>
                  <w:r>
                    <w:rPr>
                      <w:rFonts w:hint="default" w:ascii="Times New Roman" w:hAnsi="Times New Roman" w:eastAsia="宋体" w:cs="Times New Roman"/>
                      <w:sz w:val="21"/>
                      <w:szCs w:val="21"/>
                    </w:rPr>
                    <w:t>HCl</w:t>
                  </w:r>
                </w:p>
              </w:tc>
              <w:tc>
                <w:tcPr>
                  <w:tcW w:w="706" w:type="pct"/>
                  <w:vAlign w:val="center"/>
                </w:tcPr>
                <w:p w14:paraId="1923C19D">
                  <w:pPr>
                    <w:adjustRightInd w:val="0"/>
                    <w:jc w:val="center"/>
                    <w:rPr>
                      <w:color w:val="auto"/>
                      <w:kern w:val="0"/>
                      <w:szCs w:val="21"/>
                    </w:rPr>
                  </w:pPr>
                  <w:r>
                    <w:rPr>
                      <w:color w:val="auto"/>
                      <w:kern w:val="0"/>
                      <w:szCs w:val="21"/>
                    </w:rPr>
                    <w:t>1次/年</w:t>
                  </w:r>
                </w:p>
              </w:tc>
              <w:tc>
                <w:tcPr>
                  <w:tcW w:w="1957" w:type="pct"/>
                  <w:vMerge w:val="restart"/>
                  <w:vAlign w:val="center"/>
                </w:tcPr>
                <w:p w14:paraId="49717468">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r>
                    <w:rPr>
                      <w:sz w:val="21"/>
                      <w:szCs w:val="21"/>
                    </w:rPr>
                    <w:t>《大气污染物综合排放标准》（</w:t>
                  </w:r>
                  <w:r>
                    <w:rPr>
                      <w:rFonts w:hint="eastAsia"/>
                      <w:sz w:val="21"/>
                      <w:szCs w:val="21"/>
                    </w:rPr>
                    <w:t>GB</w:t>
                  </w:r>
                  <w:r>
                    <w:rPr>
                      <w:sz w:val="21"/>
                      <w:szCs w:val="21"/>
                    </w:rPr>
                    <w:t>16297-1996）</w:t>
                  </w:r>
                </w:p>
              </w:tc>
            </w:tr>
            <w:tr w14:paraId="7817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7" w:type="pct"/>
                  <w:vMerge w:val="continue"/>
                  <w:vAlign w:val="center"/>
                </w:tcPr>
                <w:p w14:paraId="2E30B4C5">
                  <w:pPr>
                    <w:adjustRightInd w:val="0"/>
                    <w:jc w:val="center"/>
                    <w:rPr>
                      <w:rFonts w:hint="eastAsia"/>
                      <w:color w:val="auto"/>
                      <w:kern w:val="0"/>
                      <w:szCs w:val="21"/>
                      <w:lang w:eastAsia="zh-CN"/>
                    </w:rPr>
                  </w:pPr>
                </w:p>
              </w:tc>
              <w:tc>
                <w:tcPr>
                  <w:tcW w:w="638" w:type="pct"/>
                  <w:vMerge w:val="continue"/>
                  <w:vAlign w:val="center"/>
                </w:tcPr>
                <w:p w14:paraId="00A95248">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sz w:val="21"/>
                      <w:szCs w:val="21"/>
                    </w:rPr>
                  </w:pPr>
                </w:p>
              </w:tc>
              <w:tc>
                <w:tcPr>
                  <w:tcW w:w="1089" w:type="pct"/>
                  <w:vAlign w:val="center"/>
                </w:tcPr>
                <w:p w14:paraId="7F4CED30">
                  <w:pPr>
                    <w:jc w:val="center"/>
                    <w:rPr>
                      <w:rFonts w:hint="eastAsia"/>
                      <w:color w:val="000000" w:themeColor="text1"/>
                      <w:szCs w:val="21"/>
                      <w:lang w:eastAsia="zh-CN"/>
                      <w14:textFill>
                        <w14:solidFill>
                          <w14:schemeClr w14:val="tx1"/>
                        </w14:solidFill>
                      </w14:textFill>
                    </w:rPr>
                  </w:pPr>
                  <w:r>
                    <w:rPr>
                      <w:rFonts w:hint="eastAsia"/>
                      <w:bCs/>
                      <w:color w:val="auto"/>
                      <w:sz w:val="21"/>
                      <w:szCs w:val="21"/>
                      <w:lang w:val="en-US" w:eastAsia="zh-CN"/>
                    </w:rPr>
                    <w:t>颗粒物</w:t>
                  </w:r>
                </w:p>
              </w:tc>
              <w:tc>
                <w:tcPr>
                  <w:tcW w:w="706" w:type="pct"/>
                  <w:vAlign w:val="center"/>
                </w:tcPr>
                <w:p w14:paraId="57801B5D">
                  <w:pPr>
                    <w:adjustRightInd w:val="0"/>
                    <w:jc w:val="center"/>
                    <w:rPr>
                      <w:color w:val="auto"/>
                      <w:kern w:val="0"/>
                      <w:szCs w:val="21"/>
                    </w:rPr>
                  </w:pPr>
                  <w:r>
                    <w:rPr>
                      <w:color w:val="auto"/>
                      <w:kern w:val="0"/>
                      <w:szCs w:val="21"/>
                    </w:rPr>
                    <w:t>1次/年</w:t>
                  </w:r>
                </w:p>
              </w:tc>
              <w:tc>
                <w:tcPr>
                  <w:tcW w:w="1957" w:type="pct"/>
                  <w:vMerge w:val="continue"/>
                  <w:vAlign w:val="center"/>
                </w:tcPr>
                <w:p w14:paraId="48263900">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p>
              </w:tc>
            </w:tr>
            <w:tr w14:paraId="655A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7" w:type="pct"/>
                  <w:vMerge w:val="continue"/>
                  <w:vAlign w:val="center"/>
                </w:tcPr>
                <w:p w14:paraId="3DD4A6FD">
                  <w:pPr>
                    <w:adjustRightInd w:val="0"/>
                    <w:jc w:val="center"/>
                    <w:rPr>
                      <w:rFonts w:hint="eastAsia"/>
                      <w:color w:val="auto"/>
                      <w:kern w:val="0"/>
                      <w:szCs w:val="21"/>
                      <w:lang w:eastAsia="zh-CN"/>
                    </w:rPr>
                  </w:pPr>
                </w:p>
              </w:tc>
              <w:tc>
                <w:tcPr>
                  <w:tcW w:w="638" w:type="pct"/>
                  <w:vAlign w:val="center"/>
                </w:tcPr>
                <w:p w14:paraId="63F90539">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DA002</w:t>
                  </w:r>
                </w:p>
              </w:tc>
              <w:tc>
                <w:tcPr>
                  <w:tcW w:w="1920" w:type="dxa"/>
                  <w:vAlign w:val="center"/>
                </w:tcPr>
                <w:p w14:paraId="61367D4B">
                  <w:pPr>
                    <w:jc w:val="center"/>
                    <w:rPr>
                      <w:rFonts w:hint="eastAsia"/>
                      <w:bCs/>
                      <w:color w:val="auto"/>
                      <w:sz w:val="21"/>
                      <w:szCs w:val="21"/>
                      <w:lang w:val="en-US" w:eastAsia="zh-CN"/>
                    </w:rPr>
                  </w:pPr>
                  <w:r>
                    <w:rPr>
                      <w:rFonts w:hint="eastAsia"/>
                      <w:bCs/>
                      <w:color w:val="auto"/>
                      <w:sz w:val="21"/>
                      <w:szCs w:val="21"/>
                      <w:lang w:val="en-US" w:eastAsia="zh-CN"/>
                    </w:rPr>
                    <w:t>颗粒物</w:t>
                  </w:r>
                </w:p>
              </w:tc>
              <w:tc>
                <w:tcPr>
                  <w:tcW w:w="1245" w:type="dxa"/>
                  <w:vAlign w:val="center"/>
                </w:tcPr>
                <w:p w14:paraId="5548FEA1">
                  <w:pPr>
                    <w:adjustRightInd w:val="0"/>
                    <w:jc w:val="center"/>
                    <w:rPr>
                      <w:color w:val="auto"/>
                      <w:kern w:val="0"/>
                      <w:szCs w:val="21"/>
                    </w:rPr>
                  </w:pPr>
                  <w:r>
                    <w:rPr>
                      <w:color w:val="auto"/>
                      <w:kern w:val="0"/>
                      <w:szCs w:val="21"/>
                    </w:rPr>
                    <w:t>1次/年</w:t>
                  </w:r>
                </w:p>
              </w:tc>
              <w:tc>
                <w:tcPr>
                  <w:tcW w:w="1957" w:type="pct"/>
                  <w:vAlign w:val="center"/>
                </w:tcPr>
                <w:p w14:paraId="2E4EEA5A">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r>
                    <w:rPr>
                      <w:sz w:val="21"/>
                      <w:szCs w:val="21"/>
                    </w:rPr>
                    <w:t>《大气污染物综合排放标准》（</w:t>
                  </w:r>
                  <w:r>
                    <w:rPr>
                      <w:rFonts w:hint="eastAsia"/>
                      <w:sz w:val="21"/>
                      <w:szCs w:val="21"/>
                    </w:rPr>
                    <w:t>GB</w:t>
                  </w:r>
                  <w:r>
                    <w:rPr>
                      <w:sz w:val="21"/>
                      <w:szCs w:val="21"/>
                    </w:rPr>
                    <w:t>16297-1996）</w:t>
                  </w:r>
                </w:p>
              </w:tc>
            </w:tr>
            <w:tr w14:paraId="732A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7" w:type="pct"/>
                  <w:vMerge w:val="continue"/>
                  <w:vAlign w:val="center"/>
                </w:tcPr>
                <w:p w14:paraId="5D38E1E1">
                  <w:pPr>
                    <w:adjustRightInd w:val="0"/>
                    <w:jc w:val="center"/>
                    <w:rPr>
                      <w:rFonts w:hint="eastAsia"/>
                      <w:color w:val="auto"/>
                      <w:kern w:val="0"/>
                      <w:szCs w:val="21"/>
                      <w:lang w:eastAsia="zh-CN"/>
                    </w:rPr>
                  </w:pPr>
                </w:p>
              </w:tc>
              <w:tc>
                <w:tcPr>
                  <w:tcW w:w="638" w:type="pct"/>
                  <w:vMerge w:val="restart"/>
                  <w:vAlign w:val="center"/>
                </w:tcPr>
                <w:p w14:paraId="451EF16E">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DA003</w:t>
                  </w:r>
                </w:p>
              </w:tc>
              <w:tc>
                <w:tcPr>
                  <w:tcW w:w="1920" w:type="dxa"/>
                  <w:vAlign w:val="center"/>
                </w:tcPr>
                <w:p w14:paraId="39636A6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bCs/>
                      <w:color w:val="auto"/>
                      <w:sz w:val="21"/>
                      <w:szCs w:val="21"/>
                      <w:lang w:val="en-US" w:eastAsia="zh-CN"/>
                    </w:rPr>
                  </w:pPr>
                  <w:r>
                    <w:rPr>
                      <w:rFonts w:hint="default" w:ascii="Times New Roman" w:hAnsi="Times New Roman" w:eastAsia="宋体" w:cs="Times New Roman"/>
                      <w:sz w:val="21"/>
                      <w:szCs w:val="21"/>
                    </w:rPr>
                    <w:t>HCl</w:t>
                  </w:r>
                </w:p>
              </w:tc>
              <w:tc>
                <w:tcPr>
                  <w:tcW w:w="1245" w:type="dxa"/>
                  <w:vAlign w:val="center"/>
                </w:tcPr>
                <w:p w14:paraId="05027C66">
                  <w:pPr>
                    <w:adjustRightInd w:val="0"/>
                    <w:jc w:val="center"/>
                    <w:rPr>
                      <w:color w:val="auto"/>
                      <w:kern w:val="0"/>
                      <w:szCs w:val="21"/>
                    </w:rPr>
                  </w:pPr>
                  <w:r>
                    <w:rPr>
                      <w:color w:val="auto"/>
                      <w:kern w:val="0"/>
                      <w:szCs w:val="21"/>
                    </w:rPr>
                    <w:t>1次/年</w:t>
                  </w:r>
                </w:p>
              </w:tc>
              <w:tc>
                <w:tcPr>
                  <w:tcW w:w="1957" w:type="pct"/>
                  <w:vMerge w:val="restart"/>
                  <w:vAlign w:val="center"/>
                </w:tcPr>
                <w:p w14:paraId="605D2E36">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r>
                    <w:rPr>
                      <w:sz w:val="21"/>
                      <w:szCs w:val="21"/>
                    </w:rPr>
                    <w:t>《大气污染物综合排放标准》（</w:t>
                  </w:r>
                  <w:r>
                    <w:rPr>
                      <w:rFonts w:hint="eastAsia"/>
                      <w:sz w:val="21"/>
                      <w:szCs w:val="21"/>
                    </w:rPr>
                    <w:t>GB</w:t>
                  </w:r>
                  <w:r>
                    <w:rPr>
                      <w:sz w:val="21"/>
                      <w:szCs w:val="21"/>
                    </w:rPr>
                    <w:t>16297-1996）</w:t>
                  </w:r>
                </w:p>
              </w:tc>
            </w:tr>
            <w:tr w14:paraId="5CE3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7" w:type="pct"/>
                  <w:vMerge w:val="continue"/>
                  <w:vAlign w:val="center"/>
                </w:tcPr>
                <w:p w14:paraId="78E8A3C6">
                  <w:pPr>
                    <w:adjustRightInd w:val="0"/>
                    <w:jc w:val="center"/>
                    <w:rPr>
                      <w:rFonts w:hint="eastAsia"/>
                      <w:color w:val="auto"/>
                      <w:kern w:val="0"/>
                      <w:szCs w:val="21"/>
                      <w:lang w:eastAsia="zh-CN"/>
                    </w:rPr>
                  </w:pPr>
                </w:p>
              </w:tc>
              <w:tc>
                <w:tcPr>
                  <w:tcW w:w="638" w:type="pct"/>
                  <w:vMerge w:val="continue"/>
                  <w:vAlign w:val="center"/>
                </w:tcPr>
                <w:p w14:paraId="71FC2FB0">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color w:val="auto"/>
                      <w:sz w:val="21"/>
                      <w:szCs w:val="21"/>
                      <w:lang w:val="en-US" w:eastAsia="zh-CN"/>
                    </w:rPr>
                  </w:pPr>
                </w:p>
              </w:tc>
              <w:tc>
                <w:tcPr>
                  <w:tcW w:w="1920" w:type="dxa"/>
                  <w:vAlign w:val="center"/>
                </w:tcPr>
                <w:p w14:paraId="25F6917F">
                  <w:pPr>
                    <w:jc w:val="center"/>
                    <w:rPr>
                      <w:rFonts w:hint="eastAsia"/>
                      <w:bCs/>
                      <w:color w:val="auto"/>
                      <w:sz w:val="21"/>
                      <w:szCs w:val="21"/>
                      <w:lang w:val="en-US" w:eastAsia="zh-CN"/>
                    </w:rPr>
                  </w:pPr>
                  <w:r>
                    <w:rPr>
                      <w:rFonts w:hint="eastAsia"/>
                      <w:bCs/>
                      <w:color w:val="auto"/>
                      <w:sz w:val="21"/>
                      <w:szCs w:val="21"/>
                      <w:lang w:val="en-US" w:eastAsia="zh-CN"/>
                    </w:rPr>
                    <w:t>颗粒物</w:t>
                  </w:r>
                </w:p>
              </w:tc>
              <w:tc>
                <w:tcPr>
                  <w:tcW w:w="1245" w:type="dxa"/>
                  <w:vAlign w:val="center"/>
                </w:tcPr>
                <w:p w14:paraId="7BF439E9">
                  <w:pPr>
                    <w:adjustRightInd w:val="0"/>
                    <w:jc w:val="center"/>
                    <w:rPr>
                      <w:color w:val="auto"/>
                      <w:kern w:val="0"/>
                      <w:szCs w:val="21"/>
                    </w:rPr>
                  </w:pPr>
                  <w:r>
                    <w:rPr>
                      <w:color w:val="auto"/>
                      <w:kern w:val="0"/>
                      <w:szCs w:val="21"/>
                    </w:rPr>
                    <w:t>1次/年</w:t>
                  </w:r>
                </w:p>
              </w:tc>
              <w:tc>
                <w:tcPr>
                  <w:tcW w:w="1957" w:type="pct"/>
                  <w:vMerge w:val="continue"/>
                  <w:vAlign w:val="center"/>
                </w:tcPr>
                <w:p w14:paraId="79765AAF">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p>
              </w:tc>
            </w:tr>
            <w:tr w14:paraId="4D9F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07" w:type="pct"/>
                  <w:vMerge w:val="continue"/>
                  <w:vAlign w:val="center"/>
                </w:tcPr>
                <w:p w14:paraId="6204C62C">
                  <w:pPr>
                    <w:adjustRightInd w:val="0"/>
                    <w:jc w:val="center"/>
                    <w:rPr>
                      <w:rFonts w:hint="eastAsia"/>
                      <w:color w:val="auto"/>
                      <w:kern w:val="0"/>
                      <w:szCs w:val="21"/>
                      <w:lang w:eastAsia="zh-CN"/>
                    </w:rPr>
                  </w:pPr>
                </w:p>
              </w:tc>
              <w:tc>
                <w:tcPr>
                  <w:tcW w:w="638" w:type="pct"/>
                  <w:vAlign w:val="center"/>
                </w:tcPr>
                <w:p w14:paraId="71F03252">
                  <w:pPr>
                    <w:pStyle w:val="55"/>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DA004</w:t>
                  </w:r>
                </w:p>
              </w:tc>
              <w:tc>
                <w:tcPr>
                  <w:tcW w:w="1920" w:type="dxa"/>
                  <w:vAlign w:val="center"/>
                </w:tcPr>
                <w:p w14:paraId="63FEF4D6">
                  <w:pPr>
                    <w:jc w:val="center"/>
                    <w:rPr>
                      <w:rFonts w:hint="eastAsia"/>
                      <w:bCs/>
                      <w:color w:val="auto"/>
                      <w:sz w:val="21"/>
                      <w:szCs w:val="21"/>
                      <w:lang w:val="en-US" w:eastAsia="zh-CN"/>
                    </w:rPr>
                  </w:pPr>
                  <w:r>
                    <w:rPr>
                      <w:rFonts w:hint="eastAsia"/>
                      <w:bCs/>
                      <w:color w:val="auto"/>
                      <w:sz w:val="21"/>
                      <w:szCs w:val="21"/>
                      <w:lang w:val="en-US" w:eastAsia="zh-CN"/>
                    </w:rPr>
                    <w:t>颗粒物</w:t>
                  </w:r>
                </w:p>
              </w:tc>
              <w:tc>
                <w:tcPr>
                  <w:tcW w:w="1245" w:type="dxa"/>
                  <w:vAlign w:val="center"/>
                </w:tcPr>
                <w:p w14:paraId="6E036F50">
                  <w:pPr>
                    <w:adjustRightInd w:val="0"/>
                    <w:jc w:val="center"/>
                    <w:rPr>
                      <w:color w:val="auto"/>
                      <w:kern w:val="0"/>
                      <w:szCs w:val="21"/>
                    </w:rPr>
                  </w:pPr>
                  <w:r>
                    <w:rPr>
                      <w:color w:val="auto"/>
                      <w:kern w:val="0"/>
                      <w:szCs w:val="21"/>
                    </w:rPr>
                    <w:t>1次/年</w:t>
                  </w:r>
                </w:p>
              </w:tc>
              <w:tc>
                <w:tcPr>
                  <w:tcW w:w="1957" w:type="pct"/>
                  <w:vAlign w:val="center"/>
                </w:tcPr>
                <w:p w14:paraId="74C87819">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r>
                    <w:rPr>
                      <w:sz w:val="21"/>
                      <w:szCs w:val="21"/>
                    </w:rPr>
                    <w:t>《大气污染物综合排放标准》（</w:t>
                  </w:r>
                  <w:r>
                    <w:rPr>
                      <w:rFonts w:hint="eastAsia"/>
                      <w:sz w:val="21"/>
                      <w:szCs w:val="21"/>
                    </w:rPr>
                    <w:t>GB</w:t>
                  </w:r>
                  <w:r>
                    <w:rPr>
                      <w:sz w:val="21"/>
                      <w:szCs w:val="21"/>
                    </w:rPr>
                    <w:t>16297-1996）</w:t>
                  </w:r>
                </w:p>
              </w:tc>
            </w:tr>
            <w:tr w14:paraId="64E8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07" w:type="pct"/>
                  <w:vMerge w:val="continue"/>
                  <w:vAlign w:val="center"/>
                </w:tcPr>
                <w:p w14:paraId="33772CC3">
                  <w:pPr>
                    <w:adjustRightInd w:val="0"/>
                    <w:jc w:val="center"/>
                    <w:rPr>
                      <w:color w:val="auto"/>
                      <w:kern w:val="0"/>
                      <w:szCs w:val="21"/>
                    </w:rPr>
                  </w:pPr>
                </w:p>
              </w:tc>
              <w:tc>
                <w:tcPr>
                  <w:tcW w:w="638" w:type="pct"/>
                  <w:vAlign w:val="center"/>
                </w:tcPr>
                <w:p w14:paraId="2F58908F">
                  <w:pPr>
                    <w:adjustRightInd w:val="0"/>
                    <w:jc w:val="center"/>
                    <w:rPr>
                      <w:rFonts w:hint="eastAsia" w:eastAsia="宋体"/>
                      <w:color w:val="auto"/>
                      <w:kern w:val="0"/>
                      <w:szCs w:val="21"/>
                      <w:lang w:eastAsia="zh-CN"/>
                    </w:rPr>
                  </w:pPr>
                  <w:r>
                    <w:rPr>
                      <w:rFonts w:hint="eastAsia"/>
                      <w:color w:val="auto"/>
                      <w:kern w:val="0"/>
                      <w:szCs w:val="21"/>
                      <w:lang w:eastAsia="zh-CN"/>
                    </w:rPr>
                    <w:t>厂界</w:t>
                  </w:r>
                </w:p>
              </w:tc>
              <w:tc>
                <w:tcPr>
                  <w:tcW w:w="1089" w:type="pct"/>
                  <w:vAlign w:val="center"/>
                </w:tcPr>
                <w:p w14:paraId="1543D11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宋体"/>
                      <w:color w:val="auto"/>
                      <w:kern w:val="0"/>
                      <w:szCs w:val="21"/>
                      <w:vertAlign w:val="baseline"/>
                      <w:lang w:eastAsia="zh-CN"/>
                    </w:rPr>
                  </w:pPr>
                  <w:r>
                    <w:rPr>
                      <w:rFonts w:hint="default" w:ascii="Times New Roman" w:hAnsi="Times New Roman" w:eastAsia="宋体" w:cs="Times New Roman"/>
                      <w:sz w:val="21"/>
                      <w:szCs w:val="21"/>
                    </w:rPr>
                    <w:t>HCl</w:t>
                  </w:r>
                  <w:r>
                    <w:rPr>
                      <w:rFonts w:hint="eastAsia" w:ascii="Times New Roman" w:hAnsi="Times New Roman" w:eastAsia="宋体" w:cs="Times New Roman"/>
                      <w:sz w:val="21"/>
                      <w:szCs w:val="21"/>
                      <w:lang w:eastAsia="zh-CN"/>
                    </w:rPr>
                    <w:t>、</w:t>
                  </w:r>
                  <w:r>
                    <w:rPr>
                      <w:rFonts w:hint="eastAsia"/>
                      <w:bCs/>
                      <w:color w:val="auto"/>
                      <w:sz w:val="21"/>
                      <w:szCs w:val="21"/>
                      <w:lang w:val="en-US" w:eastAsia="zh-CN"/>
                    </w:rPr>
                    <w:t>颗粒物</w:t>
                  </w:r>
                </w:p>
              </w:tc>
              <w:tc>
                <w:tcPr>
                  <w:tcW w:w="706" w:type="pct"/>
                  <w:vAlign w:val="center"/>
                </w:tcPr>
                <w:p w14:paraId="2536B063">
                  <w:pPr>
                    <w:adjustRightInd w:val="0"/>
                    <w:jc w:val="center"/>
                    <w:rPr>
                      <w:color w:val="auto"/>
                      <w:kern w:val="0"/>
                      <w:szCs w:val="21"/>
                    </w:rPr>
                  </w:pPr>
                  <w:r>
                    <w:rPr>
                      <w:color w:val="auto"/>
                      <w:kern w:val="0"/>
                      <w:szCs w:val="21"/>
                    </w:rPr>
                    <w:t>1次/年</w:t>
                  </w:r>
                </w:p>
              </w:tc>
              <w:tc>
                <w:tcPr>
                  <w:tcW w:w="1957" w:type="pct"/>
                  <w:vAlign w:val="center"/>
                </w:tcPr>
                <w:p w14:paraId="31F6FEB4">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sz w:val="21"/>
                      <w:szCs w:val="21"/>
                    </w:rPr>
                  </w:pPr>
                  <w:r>
                    <w:rPr>
                      <w:sz w:val="21"/>
                      <w:szCs w:val="21"/>
                    </w:rPr>
                    <w:t>《大气污染物综合排放标准》（</w:t>
                  </w:r>
                  <w:r>
                    <w:rPr>
                      <w:rFonts w:hint="eastAsia"/>
                      <w:sz w:val="21"/>
                      <w:szCs w:val="21"/>
                    </w:rPr>
                    <w:t>GB</w:t>
                  </w:r>
                  <w:r>
                    <w:rPr>
                      <w:sz w:val="21"/>
                      <w:szCs w:val="21"/>
                    </w:rPr>
                    <w:t>16297-1996）</w:t>
                  </w:r>
                </w:p>
              </w:tc>
            </w:tr>
          </w:tbl>
          <w:p w14:paraId="2D39584D">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2、废水</w:t>
            </w:r>
          </w:p>
          <w:p w14:paraId="3834C426">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2.1废水排放情况</w:t>
            </w:r>
          </w:p>
          <w:p w14:paraId="25F1A0AC">
            <w:pPr>
              <w:spacing w:line="360" w:lineRule="auto"/>
              <w:ind w:firstLine="480" w:firstLineChars="200"/>
              <w:rPr>
                <w:rFonts w:hint="eastAsia" w:eastAsia="宋体"/>
                <w:color w:val="auto"/>
                <w:sz w:val="24"/>
                <w:lang w:eastAsia="zh-CN"/>
              </w:rPr>
            </w:pPr>
            <w:r>
              <w:rPr>
                <w:color w:val="auto"/>
                <w:sz w:val="24"/>
              </w:rPr>
              <w:t>项目</w:t>
            </w:r>
            <w:r>
              <w:rPr>
                <w:rFonts w:hint="eastAsia"/>
                <w:color w:val="auto"/>
                <w:sz w:val="24"/>
                <w:lang w:eastAsia="zh-CN"/>
              </w:rPr>
              <w:t>用水来自市政供水管网，用水主要为职工生活用水、制水蒸气用水、酸洗用水、水洗用水、循环冷却用水、纯水制备用水、反冲洗用水、喷淋用水。废水主要为生活污水、酸性废水中和后废水、循环冷却排水、纯水制备浓水、反冲洗废水、喷淋废水。</w:t>
            </w:r>
          </w:p>
          <w:p w14:paraId="311CBBC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default" w:ascii="Times New Roman" w:hAnsi="Times New Roman" w:eastAsia="宋体" w:cs="Times New Roman"/>
                <w:color w:val="auto"/>
                <w:sz w:val="24"/>
                <w:szCs w:val="24"/>
              </w:rPr>
              <w:t>生活</w:t>
            </w:r>
            <w:r>
              <w:rPr>
                <w:rFonts w:hint="eastAsia" w:cs="Times New Roman"/>
                <w:color w:val="auto"/>
                <w:sz w:val="24"/>
                <w:szCs w:val="24"/>
                <w:lang w:eastAsia="zh-CN"/>
              </w:rPr>
              <w:t>污水</w:t>
            </w:r>
            <w:r>
              <w:rPr>
                <w:rFonts w:hint="default" w:ascii="Times New Roman" w:hAnsi="Times New Roman" w:eastAsia="宋体" w:cs="Times New Roman"/>
                <w:color w:val="auto"/>
                <w:sz w:val="24"/>
                <w:szCs w:val="24"/>
              </w:rPr>
              <w:t>：本项目职工</w:t>
            </w:r>
            <w:r>
              <w:rPr>
                <w:color w:val="auto"/>
                <w:sz w:val="24"/>
              </w:rPr>
              <w:t>人数为</w:t>
            </w:r>
            <w:r>
              <w:rPr>
                <w:rFonts w:hint="eastAsia"/>
                <w:color w:val="auto"/>
                <w:sz w:val="24"/>
                <w:lang w:val="en-US" w:eastAsia="zh-CN"/>
              </w:rPr>
              <w:t>80</w:t>
            </w:r>
            <w:r>
              <w:rPr>
                <w:color w:val="auto"/>
                <w:sz w:val="24"/>
                <w:szCs w:val="24"/>
              </w:rPr>
              <w:t>人，</w:t>
            </w:r>
            <w:r>
              <w:rPr>
                <w:rFonts w:hint="eastAsia"/>
                <w:color w:val="auto"/>
                <w:sz w:val="24"/>
                <w:szCs w:val="24"/>
                <w:lang w:eastAsia="zh-CN"/>
              </w:rPr>
              <w:t>设食宿。</w:t>
            </w:r>
            <w:r>
              <w:rPr>
                <w:color w:val="auto"/>
                <w:sz w:val="24"/>
                <w:szCs w:val="24"/>
              </w:rPr>
              <w:t>根据</w:t>
            </w:r>
            <w:r>
              <w:rPr>
                <w:rFonts w:hint="default" w:ascii="Times New Roman" w:hAnsi="Times New Roman" w:eastAsia="宋体" w:cs="Times New Roman"/>
                <w:color w:val="auto"/>
                <w:kern w:val="0"/>
                <w:sz w:val="24"/>
              </w:rPr>
              <w:t>《安徽省行业用水定额</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（DB34/T 679─201</w:t>
            </w:r>
            <w:r>
              <w:rPr>
                <w:rFonts w:hint="default"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rPr>
              <w:t>）</w:t>
            </w:r>
            <w:r>
              <w:rPr>
                <w:color w:val="auto"/>
                <w:sz w:val="24"/>
                <w:szCs w:val="24"/>
              </w:rPr>
              <w:t>，</w:t>
            </w:r>
            <w:r>
              <w:rPr>
                <w:rFonts w:hint="eastAsia"/>
                <w:color w:val="auto"/>
                <w:sz w:val="24"/>
                <w:lang w:eastAsia="zh-CN"/>
              </w:rPr>
              <w:t>职工</w:t>
            </w:r>
            <w:r>
              <w:rPr>
                <w:rFonts w:hint="default" w:ascii="Times New Roman" w:hAnsi="Times New Roman" w:eastAsia="宋体" w:cs="Times New Roman"/>
                <w:color w:val="auto"/>
                <w:sz w:val="24"/>
              </w:rPr>
              <w:t>生活用水量按</w:t>
            </w:r>
            <w:r>
              <w:rPr>
                <w:rFonts w:hint="eastAsia" w:cs="Times New Roman"/>
                <w:color w:val="auto"/>
                <w:sz w:val="24"/>
                <w:lang w:val="en-US" w:eastAsia="zh-CN"/>
              </w:rPr>
              <w:t>180</w:t>
            </w:r>
            <w:r>
              <w:rPr>
                <w:rFonts w:hint="default" w:ascii="Times New Roman" w:hAnsi="Times New Roman" w:eastAsia="宋体" w:cs="Times New Roman"/>
                <w:color w:val="auto"/>
                <w:sz w:val="24"/>
              </w:rPr>
              <w:t>L/人·d计</w:t>
            </w:r>
            <w:r>
              <w:rPr>
                <w:rFonts w:hint="eastAsia" w:ascii="Times New Roman" w:hAnsi="Times New Roman" w:eastAsia="宋体" w:cs="Times New Roman"/>
                <w:color w:val="auto"/>
                <w:sz w:val="24"/>
                <w:lang w:eastAsia="zh-CN"/>
              </w:rPr>
              <w:t>，</w:t>
            </w:r>
            <w:r>
              <w:rPr>
                <w:color w:val="auto"/>
                <w:sz w:val="24"/>
              </w:rPr>
              <w:t>则生活用水量约为</w:t>
            </w:r>
            <w:r>
              <w:rPr>
                <w:rFonts w:hint="eastAsia"/>
                <w:color w:val="auto"/>
                <w:sz w:val="24"/>
                <w:lang w:val="en-US" w:eastAsia="zh-CN"/>
              </w:rPr>
              <w:t>14.4</w:t>
            </w:r>
            <w:r>
              <w:rPr>
                <w:color w:val="auto"/>
                <w:sz w:val="24"/>
              </w:rPr>
              <w:t>t/d，年用水量约为</w:t>
            </w:r>
            <w:r>
              <w:rPr>
                <w:rFonts w:hint="eastAsia"/>
                <w:color w:val="auto"/>
                <w:sz w:val="24"/>
                <w:lang w:val="en-US" w:eastAsia="zh-CN"/>
              </w:rPr>
              <w:t>4320</w:t>
            </w:r>
            <w:r>
              <w:rPr>
                <w:color w:val="auto"/>
                <w:sz w:val="24"/>
              </w:rPr>
              <w:t>t/a（全年按</w:t>
            </w:r>
            <w:r>
              <w:rPr>
                <w:rFonts w:hint="eastAsia"/>
                <w:color w:val="auto"/>
                <w:sz w:val="24"/>
                <w:lang w:val="en-US" w:eastAsia="zh-CN"/>
              </w:rPr>
              <w:t>300</w:t>
            </w:r>
            <w:r>
              <w:rPr>
                <w:color w:val="auto"/>
                <w:sz w:val="24"/>
              </w:rPr>
              <w:t>天计算）</w:t>
            </w:r>
            <w:r>
              <w:rPr>
                <w:rFonts w:hint="eastAsia"/>
                <w:color w:val="auto"/>
                <w:sz w:val="24"/>
                <w:lang w:eastAsia="zh-CN"/>
              </w:rPr>
              <w:t>。</w:t>
            </w:r>
            <w:r>
              <w:rPr>
                <w:rFonts w:ascii="Times New Roman" w:hAnsi="Times New Roman"/>
                <w:color w:val="auto"/>
                <w:sz w:val="24"/>
              </w:rPr>
              <w:t>排水系数以0.8计，则生活废水量约为</w:t>
            </w:r>
            <w:r>
              <w:rPr>
                <w:rFonts w:hint="eastAsia"/>
                <w:color w:val="auto"/>
                <w:sz w:val="24"/>
                <w:lang w:val="en-US" w:eastAsia="zh-CN"/>
              </w:rPr>
              <w:t>11.52</w:t>
            </w:r>
            <w:r>
              <w:rPr>
                <w:color w:val="auto"/>
                <w:sz w:val="24"/>
              </w:rPr>
              <w:t>t/d</w:t>
            </w:r>
            <w:r>
              <w:rPr>
                <w:rFonts w:hint="eastAsia"/>
                <w:color w:val="auto"/>
                <w:sz w:val="24"/>
              </w:rPr>
              <w:t>（</w:t>
            </w:r>
            <w:r>
              <w:rPr>
                <w:rFonts w:hint="eastAsia"/>
                <w:color w:val="auto"/>
                <w:sz w:val="24"/>
                <w:lang w:val="en-US" w:eastAsia="zh-CN"/>
              </w:rPr>
              <w:t>3456</w:t>
            </w:r>
            <w:r>
              <w:rPr>
                <w:color w:val="auto"/>
                <w:sz w:val="24"/>
              </w:rPr>
              <w:t>t/a</w:t>
            </w:r>
            <w:r>
              <w:rPr>
                <w:rFonts w:hint="eastAsia"/>
                <w:color w:val="auto"/>
                <w:sz w:val="24"/>
              </w:rPr>
              <w:t>）</w:t>
            </w:r>
            <w:r>
              <w:rPr>
                <w:rFonts w:hint="eastAsia"/>
                <w:color w:val="auto"/>
                <w:sz w:val="24"/>
                <w:lang w:eastAsia="zh-CN"/>
              </w:rPr>
              <w:t>。</w:t>
            </w:r>
          </w:p>
          <w:p w14:paraId="76B22F4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FF0000"/>
                <w:sz w:val="24"/>
                <w:lang w:val="en-US" w:eastAsia="zh-CN"/>
              </w:rPr>
            </w:pPr>
            <w:r>
              <w:rPr>
                <w:rFonts w:hint="eastAsia"/>
                <w:color w:val="auto"/>
                <w:sz w:val="24"/>
                <w:lang w:eastAsia="zh-CN"/>
              </w:rPr>
              <w:t>制水蒸气用水：根据企业生产设计，项目每台活化炉水蒸气消耗量为</w:t>
            </w:r>
            <w:r>
              <w:rPr>
                <w:rFonts w:hint="eastAsia"/>
                <w:color w:val="auto"/>
                <w:sz w:val="24"/>
                <w:lang w:val="en-US" w:eastAsia="zh-CN"/>
              </w:rPr>
              <w:t>100kg/h，共15台，年运行7200h，则制水蒸气用纯水量为10800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36</w:t>
            </w:r>
            <w:r>
              <w:rPr>
                <w:color w:val="auto"/>
                <w:sz w:val="24"/>
              </w:rPr>
              <w:t>t/d</w:t>
            </w:r>
            <w:r>
              <w:rPr>
                <w:rFonts w:hint="eastAsia"/>
                <w:color w:val="auto"/>
                <w:sz w:val="24"/>
              </w:rPr>
              <w:t>）</w:t>
            </w:r>
            <w:r>
              <w:rPr>
                <w:rFonts w:hint="eastAsia" w:cs="Times New Roman"/>
                <w:color w:val="auto"/>
                <w:spacing w:val="1"/>
                <w:sz w:val="24"/>
                <w:szCs w:val="24"/>
                <w:vertAlign w:val="baseline"/>
                <w:lang w:val="en-US" w:eastAsia="zh-CN"/>
              </w:rPr>
              <w:t>，全部在活化工</w:t>
            </w:r>
            <w:r>
              <w:rPr>
                <w:rFonts w:hint="eastAsia" w:cs="Times New Roman"/>
                <w:spacing w:val="1"/>
                <w:sz w:val="24"/>
                <w:szCs w:val="24"/>
                <w:vertAlign w:val="baseline"/>
                <w:lang w:val="en-US" w:eastAsia="zh-CN"/>
              </w:rPr>
              <w:t>序蒸发损耗。</w:t>
            </w:r>
          </w:p>
          <w:p w14:paraId="66180F4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eastAsia="zh-CN"/>
              </w:rPr>
              <w:t>酸洗废水：项目酸洗用水为盐酸稀释用水，项目外购</w:t>
            </w:r>
            <w:r>
              <w:rPr>
                <w:rFonts w:hint="eastAsia"/>
                <w:color w:val="auto"/>
                <w:sz w:val="24"/>
                <w:lang w:val="en-US" w:eastAsia="zh-CN"/>
              </w:rPr>
              <w:t>36%盐酸200t/a，使用纯水稀释。</w:t>
            </w:r>
          </w:p>
          <w:p w14:paraId="091BBEA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一次酸洗：其中133t36%盐酸需稀释成4%盐酸进行第一次酸洗，需纯水量为1064t/a，133t36%盐酸带入水量85.12t/a，一次酸洗循环使用，仅补充损耗，不外排，经物料带走损耗按30%计，损耗量全部进入二次酸洗，则一次酸洗补充纯水量319.2t/a</w:t>
            </w:r>
            <w:r>
              <w:rPr>
                <w:rFonts w:hint="eastAsia"/>
                <w:color w:val="auto"/>
                <w:sz w:val="24"/>
              </w:rPr>
              <w:t>（</w:t>
            </w:r>
            <w:r>
              <w:rPr>
                <w:rFonts w:hint="eastAsia"/>
                <w:color w:val="auto"/>
                <w:sz w:val="24"/>
                <w:lang w:val="en-US" w:eastAsia="zh-CN"/>
              </w:rPr>
              <w:t>1.064</w:t>
            </w:r>
            <w:r>
              <w:rPr>
                <w:color w:val="auto"/>
                <w:sz w:val="24"/>
              </w:rPr>
              <w:t>t/d</w:t>
            </w:r>
            <w:r>
              <w:rPr>
                <w:rFonts w:hint="eastAsia"/>
                <w:color w:val="auto"/>
                <w:sz w:val="24"/>
              </w:rPr>
              <w:t>）</w:t>
            </w:r>
            <w:r>
              <w:rPr>
                <w:rFonts w:hint="eastAsia"/>
                <w:color w:val="auto"/>
                <w:sz w:val="24"/>
                <w:lang w:val="en-US" w:eastAsia="zh-CN"/>
              </w:rPr>
              <w:t>；</w:t>
            </w:r>
          </w:p>
          <w:p w14:paraId="2C681F7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eastAsia"/>
                <w:color w:val="auto"/>
                <w:sz w:val="24"/>
                <w:lang w:val="en-US" w:eastAsia="zh-CN"/>
              </w:rPr>
              <w:t>二次酸洗：67t36%盐酸稀释成2%盐酸进行第二次酸洗，需纯水量为1139t/a</w:t>
            </w:r>
            <w:r>
              <w:rPr>
                <w:rFonts w:hint="eastAsia"/>
                <w:color w:val="auto"/>
                <w:sz w:val="24"/>
              </w:rPr>
              <w:t>（</w:t>
            </w:r>
            <w:r>
              <w:rPr>
                <w:rFonts w:hint="eastAsia"/>
                <w:color w:val="auto"/>
                <w:sz w:val="24"/>
                <w:lang w:val="en-US" w:eastAsia="zh-CN"/>
              </w:rPr>
              <w:t>3.797</w:t>
            </w:r>
            <w:r>
              <w:rPr>
                <w:color w:val="auto"/>
                <w:sz w:val="24"/>
              </w:rPr>
              <w:t>t/d</w:t>
            </w:r>
            <w:r>
              <w:rPr>
                <w:rFonts w:hint="eastAsia"/>
                <w:color w:val="auto"/>
                <w:sz w:val="24"/>
              </w:rPr>
              <w:t>）</w:t>
            </w:r>
            <w:r>
              <w:rPr>
                <w:rFonts w:hint="eastAsia"/>
                <w:color w:val="auto"/>
                <w:sz w:val="24"/>
                <w:lang w:val="en-US" w:eastAsia="zh-CN"/>
              </w:rPr>
              <w:t>，另外67t36%盐酸带入水量42.88t/a，一次酸洗带入水量344.7t/a，二次酸洗后进中和罐中和后外排，经物料带走损耗按30%计，则二次酸洗废水为1068.606t/a</w:t>
            </w:r>
            <w:r>
              <w:rPr>
                <w:rFonts w:hint="eastAsia"/>
                <w:color w:val="auto"/>
                <w:sz w:val="24"/>
              </w:rPr>
              <w:t>（</w:t>
            </w:r>
            <w:r>
              <w:rPr>
                <w:rFonts w:hint="eastAsia"/>
                <w:color w:val="auto"/>
                <w:sz w:val="24"/>
                <w:lang w:val="en-US" w:eastAsia="zh-CN"/>
              </w:rPr>
              <w:t>3.562</w:t>
            </w:r>
            <w:r>
              <w:rPr>
                <w:color w:val="auto"/>
                <w:sz w:val="24"/>
              </w:rPr>
              <w:t>t/d</w:t>
            </w:r>
            <w:r>
              <w:rPr>
                <w:rFonts w:hint="eastAsia"/>
                <w:color w:val="auto"/>
                <w:sz w:val="24"/>
              </w:rPr>
              <w:t>）</w:t>
            </w:r>
            <w:r>
              <w:rPr>
                <w:rFonts w:hint="eastAsia"/>
                <w:color w:val="auto"/>
                <w:sz w:val="24"/>
                <w:lang w:val="en-US" w:eastAsia="zh-CN"/>
              </w:rPr>
              <w:t>。</w:t>
            </w:r>
          </w:p>
          <w:p w14:paraId="1C07E1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eastAsia="zh-CN"/>
              </w:rPr>
              <w:t>水洗用水：</w:t>
            </w:r>
            <w:r>
              <w:rPr>
                <w:rFonts w:hint="eastAsia" w:ascii="Times New Roman" w:hAnsi="Times New Roman" w:eastAsia="宋体" w:cs="Times New Roman"/>
                <w:b w:val="0"/>
                <w:bCs/>
                <w:color w:val="auto"/>
                <w:sz w:val="24"/>
                <w:szCs w:val="24"/>
                <w:lang w:val="en-US" w:eastAsia="zh-CN"/>
              </w:rPr>
              <w:t>根据建设单位提供资料，</w:t>
            </w:r>
            <w:r>
              <w:rPr>
                <w:rFonts w:hint="eastAsia" w:cs="Times New Roman"/>
                <w:b w:val="0"/>
                <w:bCs/>
                <w:color w:val="auto"/>
                <w:sz w:val="24"/>
                <w:szCs w:val="24"/>
                <w:lang w:val="en-US" w:eastAsia="zh-CN"/>
              </w:rPr>
              <w:t>年产5000吨超级多孔碳，水洗</w:t>
            </w:r>
            <w:r>
              <w:rPr>
                <w:rFonts w:hint="eastAsia" w:eastAsia="宋体" w:cs="Times New Roman"/>
                <w:color w:val="auto"/>
                <w:spacing w:val="1"/>
                <w:sz w:val="24"/>
                <w:szCs w:val="24"/>
                <w:vertAlign w:val="baseline"/>
                <w:lang w:val="en-US" w:eastAsia="zh-CN"/>
              </w:rPr>
              <w:t>用纯水量</w:t>
            </w:r>
            <w:r>
              <w:rPr>
                <w:rFonts w:hint="eastAsia" w:cs="Times New Roman"/>
                <w:b w:val="0"/>
                <w:bCs/>
                <w:color w:val="auto"/>
                <w:sz w:val="24"/>
                <w:szCs w:val="24"/>
                <w:lang w:val="en-US" w:eastAsia="zh-CN"/>
              </w:rPr>
              <w:t>17万</w:t>
            </w:r>
            <w:r>
              <w:rPr>
                <w:rFonts w:hint="eastAsia" w:cs="Times New Roman"/>
                <w:color w:val="auto"/>
                <w:spacing w:val="1"/>
                <w:sz w:val="24"/>
                <w:szCs w:val="24"/>
                <w:lang w:val="en-US" w:eastAsia="zh-CN"/>
              </w:rPr>
              <w:t>t/a</w:t>
            </w:r>
            <w:r>
              <w:rPr>
                <w:rFonts w:hint="eastAsia"/>
                <w:color w:val="auto"/>
                <w:sz w:val="24"/>
              </w:rPr>
              <w:t>（</w:t>
            </w:r>
            <w:r>
              <w:rPr>
                <w:rFonts w:hint="eastAsia"/>
                <w:color w:val="auto"/>
                <w:sz w:val="24"/>
                <w:lang w:val="en-US" w:eastAsia="zh-CN"/>
              </w:rPr>
              <w:t>566.667</w:t>
            </w:r>
            <w:r>
              <w:rPr>
                <w:color w:val="auto"/>
                <w:sz w:val="24"/>
              </w:rPr>
              <w:t>t/d</w:t>
            </w:r>
            <w:r>
              <w:rPr>
                <w:rFonts w:hint="eastAsia"/>
                <w:color w:val="auto"/>
                <w:sz w:val="24"/>
              </w:rPr>
              <w:t>）</w:t>
            </w:r>
            <w:r>
              <w:rPr>
                <w:rFonts w:hint="eastAsia" w:eastAsia="宋体" w:cs="Times New Roman"/>
                <w:color w:val="auto"/>
                <w:spacing w:val="1"/>
                <w:sz w:val="24"/>
                <w:szCs w:val="24"/>
                <w:vertAlign w:val="baseline"/>
                <w:lang w:val="en-US" w:eastAsia="zh-CN"/>
              </w:rPr>
              <w:t>，</w:t>
            </w:r>
            <w:r>
              <w:rPr>
                <w:rFonts w:hint="eastAsia"/>
                <w:color w:val="auto"/>
                <w:sz w:val="24"/>
                <w:lang w:val="en-US" w:eastAsia="zh-CN"/>
              </w:rPr>
              <w:t>水洗用水经物料带走损耗按30%计，则</w:t>
            </w:r>
            <w:r>
              <w:rPr>
                <w:rFonts w:hint="eastAsia" w:cs="Times New Roman"/>
                <w:color w:val="auto"/>
                <w:spacing w:val="1"/>
                <w:sz w:val="24"/>
                <w:szCs w:val="24"/>
                <w:vertAlign w:val="baseline"/>
                <w:lang w:val="en-US" w:eastAsia="zh-CN"/>
              </w:rPr>
              <w:t>水洗、离心废水</w:t>
            </w:r>
            <w:r>
              <w:rPr>
                <w:rFonts w:hint="eastAsia"/>
                <w:color w:val="auto"/>
                <w:sz w:val="24"/>
                <w:lang w:val="en-US" w:eastAsia="zh-CN"/>
              </w:rPr>
              <w:t>为11.9万t/a</w:t>
            </w:r>
            <w:r>
              <w:rPr>
                <w:rFonts w:hint="eastAsia"/>
                <w:color w:val="auto"/>
                <w:sz w:val="24"/>
              </w:rPr>
              <w:t>（</w:t>
            </w:r>
            <w:r>
              <w:rPr>
                <w:rFonts w:hint="eastAsia"/>
                <w:color w:val="auto"/>
                <w:sz w:val="24"/>
                <w:lang w:val="en-US" w:eastAsia="zh-CN"/>
              </w:rPr>
              <w:t>396.667</w:t>
            </w:r>
            <w:r>
              <w:rPr>
                <w:color w:val="auto"/>
                <w:sz w:val="24"/>
              </w:rPr>
              <w:t>t/d</w:t>
            </w:r>
            <w:r>
              <w:rPr>
                <w:rFonts w:hint="eastAsia"/>
                <w:color w:val="auto"/>
                <w:sz w:val="24"/>
              </w:rPr>
              <w:t>）</w:t>
            </w:r>
            <w:r>
              <w:rPr>
                <w:rFonts w:hint="eastAsia"/>
                <w:color w:val="auto"/>
                <w:sz w:val="24"/>
                <w:lang w:val="en-US" w:eastAsia="zh-CN"/>
              </w:rPr>
              <w:t>。</w:t>
            </w:r>
          </w:p>
          <w:p w14:paraId="0FFC4CB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eastAsia="zh-CN"/>
              </w:rPr>
              <w:t>中和后废水：项目二次酸洗废水为</w:t>
            </w:r>
            <w:r>
              <w:rPr>
                <w:rFonts w:hint="eastAsia"/>
                <w:color w:val="auto"/>
                <w:sz w:val="24"/>
                <w:lang w:val="en-US" w:eastAsia="zh-CN"/>
              </w:rPr>
              <w:t>1068.606t/a</w:t>
            </w:r>
            <w:r>
              <w:rPr>
                <w:rFonts w:hint="eastAsia"/>
                <w:color w:val="auto"/>
                <w:sz w:val="24"/>
              </w:rPr>
              <w:t>（</w:t>
            </w:r>
            <w:r>
              <w:rPr>
                <w:rFonts w:hint="eastAsia"/>
                <w:color w:val="auto"/>
                <w:sz w:val="24"/>
                <w:lang w:val="en-US" w:eastAsia="zh-CN"/>
              </w:rPr>
              <w:t>3.562</w:t>
            </w:r>
            <w:r>
              <w:rPr>
                <w:color w:val="auto"/>
                <w:sz w:val="24"/>
              </w:rPr>
              <w:t>t/d</w:t>
            </w:r>
            <w:r>
              <w:rPr>
                <w:rFonts w:hint="eastAsia"/>
                <w:color w:val="auto"/>
                <w:sz w:val="24"/>
              </w:rPr>
              <w:t>）</w:t>
            </w:r>
            <w:r>
              <w:rPr>
                <w:rFonts w:hint="eastAsia"/>
                <w:color w:val="auto"/>
                <w:sz w:val="24"/>
                <w:lang w:eastAsia="zh-CN"/>
              </w:rPr>
              <w:t>，</w:t>
            </w:r>
            <w:r>
              <w:rPr>
                <w:rFonts w:hint="eastAsia" w:cs="Times New Roman"/>
                <w:color w:val="auto"/>
                <w:spacing w:val="1"/>
                <w:sz w:val="24"/>
                <w:szCs w:val="24"/>
                <w:vertAlign w:val="baseline"/>
                <w:lang w:val="en-US" w:eastAsia="zh-CN"/>
              </w:rPr>
              <w:t>水洗、离心废水</w:t>
            </w:r>
            <w:r>
              <w:rPr>
                <w:rFonts w:hint="eastAsia"/>
                <w:color w:val="auto"/>
                <w:sz w:val="24"/>
                <w:lang w:val="en-US" w:eastAsia="zh-CN"/>
              </w:rPr>
              <w:t>为11.9万t/a</w:t>
            </w:r>
            <w:r>
              <w:rPr>
                <w:rFonts w:hint="eastAsia"/>
                <w:color w:val="auto"/>
                <w:sz w:val="24"/>
              </w:rPr>
              <w:t>（</w:t>
            </w:r>
            <w:r>
              <w:rPr>
                <w:rFonts w:hint="eastAsia"/>
                <w:color w:val="auto"/>
                <w:sz w:val="24"/>
                <w:lang w:val="en-US" w:eastAsia="zh-CN"/>
              </w:rPr>
              <w:t>396.667</w:t>
            </w:r>
            <w:r>
              <w:rPr>
                <w:color w:val="auto"/>
                <w:sz w:val="24"/>
              </w:rPr>
              <w:t>t/d</w:t>
            </w:r>
            <w:r>
              <w:rPr>
                <w:rFonts w:hint="eastAsia"/>
                <w:color w:val="auto"/>
                <w:sz w:val="24"/>
              </w:rPr>
              <w:t>）</w:t>
            </w:r>
            <w:r>
              <w:rPr>
                <w:rFonts w:hint="eastAsia"/>
                <w:color w:val="auto"/>
                <w:sz w:val="24"/>
                <w:lang w:eastAsia="zh-CN"/>
              </w:rPr>
              <w:t>，酸洗、水洗、离心废水</w:t>
            </w:r>
            <w:r>
              <w:rPr>
                <w:rFonts w:hint="eastAsia"/>
                <w:color w:val="auto"/>
                <w:sz w:val="24"/>
                <w:szCs w:val="24"/>
                <w:lang w:eastAsia="zh-CN"/>
              </w:rPr>
              <w:t>采用液碱在中和罐进行中和后外排，项目液碱年用量为</w:t>
            </w:r>
            <w:r>
              <w:rPr>
                <w:rFonts w:hint="eastAsia"/>
                <w:color w:val="auto"/>
                <w:sz w:val="24"/>
                <w:szCs w:val="24"/>
                <w:lang w:val="en-US" w:eastAsia="zh-CN"/>
              </w:rPr>
              <w:t>160t/a，则中和后废水量为</w:t>
            </w:r>
            <w:r>
              <w:rPr>
                <w:rFonts w:hint="eastAsia"/>
                <w:color w:val="auto"/>
                <w:sz w:val="24"/>
                <w:lang w:val="en-US" w:eastAsia="zh-CN"/>
              </w:rPr>
              <w:t>120229t/a</w:t>
            </w:r>
            <w:r>
              <w:rPr>
                <w:rFonts w:hint="eastAsia"/>
                <w:color w:val="auto"/>
                <w:sz w:val="24"/>
              </w:rPr>
              <w:t>（</w:t>
            </w:r>
            <w:r>
              <w:rPr>
                <w:rFonts w:hint="eastAsia"/>
                <w:color w:val="auto"/>
                <w:sz w:val="24"/>
                <w:lang w:val="en-US" w:eastAsia="zh-CN"/>
              </w:rPr>
              <w:t>400.76</w:t>
            </w:r>
            <w:r>
              <w:rPr>
                <w:color w:val="auto"/>
                <w:sz w:val="24"/>
              </w:rPr>
              <w:t>t/d</w:t>
            </w:r>
            <w:r>
              <w:rPr>
                <w:rFonts w:hint="eastAsia"/>
                <w:color w:val="auto"/>
                <w:sz w:val="24"/>
              </w:rPr>
              <w:t>）</w:t>
            </w:r>
            <w:r>
              <w:rPr>
                <w:rFonts w:hint="eastAsia"/>
                <w:color w:val="auto"/>
                <w:sz w:val="24"/>
                <w:lang w:eastAsia="zh-CN"/>
              </w:rPr>
              <w:t>。</w:t>
            </w:r>
          </w:p>
          <w:p w14:paraId="558E8AC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eastAsia="zh-CN"/>
              </w:rPr>
              <w:t>循环冷却废水：</w:t>
            </w:r>
            <w:r>
              <w:rPr>
                <w:rFonts w:hint="eastAsia"/>
                <w:color w:val="auto"/>
                <w:sz w:val="24"/>
                <w:lang w:val="en-US" w:eastAsia="zh-CN"/>
              </w:rPr>
              <w:t>项目活化炉、辊道炉采用间接冷却水进行冷却降温，项目设置5</w:t>
            </w:r>
            <w:r>
              <w:rPr>
                <w:rFonts w:hint="eastAsia"/>
                <w:color w:val="auto"/>
                <w:sz w:val="24"/>
                <w:szCs w:val="24"/>
                <w:lang w:val="en-US" w:eastAsia="zh-CN"/>
              </w:rPr>
              <w:t>座</w:t>
            </w:r>
            <w:r>
              <w:rPr>
                <w:rFonts w:hint="eastAsia" w:cs="Times New Roman"/>
                <w:b w:val="0"/>
                <w:bCs/>
                <w:color w:val="auto"/>
                <w:kern w:val="2"/>
                <w:sz w:val="24"/>
                <w:szCs w:val="24"/>
                <w:highlight w:val="none"/>
                <w:lang w:val="en-US" w:eastAsia="zh-CN" w:bidi="ar-SA"/>
              </w:rPr>
              <w:t>100</w:t>
            </w:r>
            <w:r>
              <w:rPr>
                <w:rFonts w:hint="default" w:ascii="Times New Roman" w:hAnsi="Times New Roman" w:eastAsia="宋体" w:cs="Times New Roman"/>
                <w:spacing w:val="1"/>
                <w:sz w:val="24"/>
                <w:szCs w:val="24"/>
              </w:rPr>
              <w:t>m</w:t>
            </w:r>
            <w:r>
              <w:rPr>
                <w:rFonts w:hint="eastAsia" w:ascii="Times New Roman" w:hAnsi="Times New Roman" w:eastAsia="宋体" w:cs="Times New Roman"/>
                <w:spacing w:val="1"/>
                <w:sz w:val="24"/>
                <w:szCs w:val="24"/>
                <w:vertAlign w:val="superscript"/>
                <w:lang w:val="en-US" w:eastAsia="zh-CN"/>
              </w:rPr>
              <w:t>3</w:t>
            </w:r>
            <w:r>
              <w:rPr>
                <w:rFonts w:hint="eastAsia" w:cs="Times New Roman"/>
                <w:spacing w:val="1"/>
                <w:sz w:val="24"/>
                <w:szCs w:val="24"/>
                <w:vertAlign w:val="baseline"/>
                <w:lang w:val="en-US" w:eastAsia="zh-CN"/>
              </w:rPr>
              <w:t>/h开式冷却塔，</w:t>
            </w:r>
            <w:r>
              <w:rPr>
                <w:rFonts w:hint="eastAsia"/>
                <w:color w:val="auto"/>
                <w:sz w:val="24"/>
                <w:szCs w:val="24"/>
                <w:lang w:val="en-US" w:eastAsia="zh-CN"/>
              </w:rPr>
              <w:t>使用纯</w:t>
            </w:r>
            <w:r>
              <w:rPr>
                <w:rFonts w:hint="eastAsia"/>
                <w:color w:val="auto"/>
                <w:sz w:val="24"/>
                <w:lang w:val="en-US" w:eastAsia="zh-CN"/>
              </w:rPr>
              <w:t>水间接冷却。</w:t>
            </w:r>
            <w:r>
              <w:rPr>
                <w:rFonts w:hint="eastAsia"/>
                <w:color w:val="auto"/>
                <w:sz w:val="24"/>
                <w:lang w:eastAsia="zh-CN"/>
              </w:rPr>
              <w:t>由于循环冷却系统蒸发损耗等，需定期补充，补充水量按照循环水量的</w:t>
            </w:r>
            <w:r>
              <w:rPr>
                <w:rFonts w:hint="eastAsia"/>
                <w:color w:val="auto"/>
                <w:sz w:val="24"/>
                <w:lang w:val="en-US" w:eastAsia="zh-CN"/>
              </w:rPr>
              <w:t>1%计，补充水量为36000</w:t>
            </w:r>
            <w:r>
              <w:rPr>
                <w:color w:val="auto"/>
                <w:sz w:val="24"/>
              </w:rPr>
              <w:t>t/a</w:t>
            </w:r>
            <w:r>
              <w:rPr>
                <w:rFonts w:hint="eastAsia"/>
                <w:color w:val="auto"/>
                <w:sz w:val="24"/>
              </w:rPr>
              <w:t>（</w:t>
            </w:r>
            <w:r>
              <w:rPr>
                <w:rFonts w:hint="eastAsia"/>
                <w:color w:val="auto"/>
                <w:sz w:val="24"/>
                <w:lang w:val="en-US" w:eastAsia="zh-CN"/>
              </w:rPr>
              <w:t>120</w:t>
            </w:r>
            <w:r>
              <w:rPr>
                <w:color w:val="auto"/>
                <w:sz w:val="24"/>
              </w:rPr>
              <w:t>t/d</w:t>
            </w:r>
            <w:r>
              <w:rPr>
                <w:rFonts w:hint="eastAsia"/>
                <w:color w:val="auto"/>
                <w:sz w:val="24"/>
              </w:rPr>
              <w:t>）</w:t>
            </w:r>
            <w:r>
              <w:rPr>
                <w:rFonts w:hint="eastAsia"/>
                <w:color w:val="auto"/>
                <w:sz w:val="24"/>
                <w:lang w:eastAsia="zh-CN"/>
              </w:rPr>
              <w:t>。</w:t>
            </w:r>
            <w:r>
              <w:rPr>
                <w:rFonts w:hint="eastAsia"/>
                <w:color w:val="auto"/>
                <w:sz w:val="24"/>
                <w:szCs w:val="24"/>
                <w:lang w:eastAsia="zh-CN"/>
              </w:rPr>
              <w:t>项目循环冷却水池总容积</w:t>
            </w:r>
            <w:r>
              <w:rPr>
                <w:rFonts w:hint="eastAsia"/>
                <w:sz w:val="24"/>
                <w:szCs w:val="24"/>
                <w:lang w:val="en-US" w:eastAsia="zh-CN"/>
              </w:rPr>
              <w:t>4</w:t>
            </w:r>
            <w:r>
              <w:rPr>
                <w:rFonts w:hint="eastAsia"/>
                <w:b w:val="0"/>
                <w:bCs w:val="0"/>
                <w:color w:val="auto"/>
                <w:sz w:val="24"/>
                <w:szCs w:val="24"/>
                <w:lang w:val="en-US" w:eastAsia="zh-CN"/>
              </w:rPr>
              <w:t>00m</w:t>
            </w:r>
            <w:r>
              <w:rPr>
                <w:rFonts w:hint="eastAsia"/>
                <w:b w:val="0"/>
                <w:bCs w:val="0"/>
                <w:color w:val="auto"/>
                <w:sz w:val="24"/>
                <w:szCs w:val="24"/>
                <w:vertAlign w:val="superscript"/>
                <w:lang w:val="en-US" w:eastAsia="zh-CN"/>
              </w:rPr>
              <w:t>3</w:t>
            </w:r>
            <w:r>
              <w:rPr>
                <w:rFonts w:hint="eastAsia"/>
                <w:b w:val="0"/>
                <w:bCs w:val="0"/>
                <w:color w:val="auto"/>
                <w:sz w:val="24"/>
                <w:szCs w:val="24"/>
                <w:vertAlign w:val="baseline"/>
                <w:lang w:val="en-US" w:eastAsia="zh-CN"/>
              </w:rPr>
              <w:t>，</w:t>
            </w:r>
            <w:r>
              <w:rPr>
                <w:rFonts w:hint="eastAsia"/>
                <w:color w:val="auto"/>
                <w:sz w:val="24"/>
                <w:szCs w:val="24"/>
                <w:lang w:eastAsia="zh-CN"/>
              </w:rPr>
              <w:t>循环冷却水一年更换一次，收集后排入园区管网，则</w:t>
            </w:r>
            <w:r>
              <w:rPr>
                <w:rFonts w:hint="eastAsia"/>
                <w:color w:val="auto"/>
                <w:sz w:val="24"/>
                <w:lang w:eastAsia="zh-CN"/>
              </w:rPr>
              <w:t>间接循环冷却</w:t>
            </w:r>
            <w:r>
              <w:rPr>
                <w:rFonts w:hint="eastAsia"/>
                <w:color w:val="auto"/>
                <w:sz w:val="24"/>
                <w:lang w:val="en-US" w:eastAsia="zh-CN"/>
              </w:rPr>
              <w:t>补充纯水量为36400</w:t>
            </w:r>
            <w:r>
              <w:rPr>
                <w:color w:val="auto"/>
                <w:sz w:val="24"/>
              </w:rPr>
              <w:t>t/a</w:t>
            </w:r>
            <w:r>
              <w:rPr>
                <w:rFonts w:hint="eastAsia"/>
                <w:color w:val="auto"/>
                <w:sz w:val="24"/>
              </w:rPr>
              <w:t>（</w:t>
            </w:r>
            <w:r>
              <w:rPr>
                <w:rFonts w:hint="eastAsia"/>
                <w:color w:val="auto"/>
                <w:sz w:val="24"/>
                <w:lang w:val="en-US" w:eastAsia="zh-CN"/>
              </w:rPr>
              <w:t>121.333</w:t>
            </w:r>
            <w:r>
              <w:rPr>
                <w:color w:val="auto"/>
                <w:sz w:val="24"/>
              </w:rPr>
              <w:t>t/d</w:t>
            </w:r>
            <w:r>
              <w:rPr>
                <w:rFonts w:hint="eastAsia"/>
                <w:color w:val="auto"/>
                <w:sz w:val="24"/>
              </w:rPr>
              <w:t>）</w:t>
            </w:r>
            <w:r>
              <w:rPr>
                <w:rFonts w:hint="eastAsia"/>
                <w:color w:val="auto"/>
                <w:sz w:val="24"/>
                <w:szCs w:val="24"/>
                <w:lang w:eastAsia="zh-CN"/>
              </w:rPr>
              <w:t>。</w:t>
            </w:r>
          </w:p>
          <w:p w14:paraId="58840CF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hd w:val="clear" w:color="auto" w:fill="auto"/>
                <w:vertAlign w:val="baseline"/>
                <w:lang w:val="en-US" w:eastAsia="zh-CN"/>
              </w:rPr>
            </w:pPr>
            <w:r>
              <w:rPr>
                <w:rFonts w:hint="eastAsia"/>
                <w:color w:val="auto"/>
                <w:sz w:val="24"/>
                <w:lang w:eastAsia="zh-CN"/>
              </w:rPr>
              <w:t>纯水制备浓水：项目制水蒸气用</w:t>
            </w:r>
            <w:r>
              <w:rPr>
                <w:rFonts w:hint="eastAsia"/>
                <w:color w:val="auto"/>
                <w:sz w:val="24"/>
                <w:lang w:val="en-US" w:eastAsia="zh-CN"/>
              </w:rPr>
              <w:t>纯水量10800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36</w:t>
            </w:r>
            <w:r>
              <w:rPr>
                <w:color w:val="auto"/>
                <w:sz w:val="24"/>
              </w:rPr>
              <w:t>t/d</w:t>
            </w:r>
            <w:r>
              <w:rPr>
                <w:rFonts w:hint="eastAsia"/>
                <w:color w:val="auto"/>
                <w:sz w:val="24"/>
              </w:rPr>
              <w:t>）</w:t>
            </w:r>
            <w:r>
              <w:rPr>
                <w:rFonts w:hint="eastAsia"/>
                <w:color w:val="auto"/>
                <w:sz w:val="24"/>
                <w:lang w:eastAsia="zh-CN"/>
              </w:rPr>
              <w:t>、</w:t>
            </w:r>
            <w:r>
              <w:rPr>
                <w:rFonts w:hint="eastAsia"/>
                <w:color w:val="auto"/>
                <w:sz w:val="24"/>
                <w:lang w:val="en-US" w:eastAsia="zh-CN"/>
              </w:rPr>
              <w:t>一次酸洗补充纯水量319.2t/a</w:t>
            </w:r>
            <w:r>
              <w:rPr>
                <w:rFonts w:hint="eastAsia"/>
                <w:color w:val="auto"/>
                <w:sz w:val="24"/>
              </w:rPr>
              <w:t>（</w:t>
            </w:r>
            <w:r>
              <w:rPr>
                <w:rFonts w:hint="eastAsia"/>
                <w:color w:val="auto"/>
                <w:sz w:val="24"/>
                <w:lang w:val="en-US" w:eastAsia="zh-CN"/>
              </w:rPr>
              <w:t>1.064</w:t>
            </w:r>
            <w:r>
              <w:rPr>
                <w:color w:val="auto"/>
                <w:sz w:val="24"/>
              </w:rPr>
              <w:t>t/d</w:t>
            </w:r>
            <w:r>
              <w:rPr>
                <w:rFonts w:hint="eastAsia"/>
                <w:color w:val="auto"/>
                <w:sz w:val="24"/>
              </w:rPr>
              <w:t>）</w:t>
            </w:r>
            <w:r>
              <w:rPr>
                <w:rFonts w:hint="eastAsia"/>
                <w:color w:val="auto"/>
                <w:sz w:val="24"/>
                <w:lang w:eastAsia="zh-CN"/>
              </w:rPr>
              <w:t>、</w:t>
            </w:r>
            <w:r>
              <w:rPr>
                <w:rFonts w:hint="eastAsia"/>
                <w:color w:val="auto"/>
                <w:sz w:val="24"/>
                <w:lang w:val="en-US" w:eastAsia="zh-CN"/>
              </w:rPr>
              <w:t>二次酸洗用纯水量1139t/a</w:t>
            </w:r>
            <w:r>
              <w:rPr>
                <w:rFonts w:hint="eastAsia"/>
                <w:color w:val="auto"/>
                <w:sz w:val="24"/>
              </w:rPr>
              <w:t>（</w:t>
            </w:r>
            <w:r>
              <w:rPr>
                <w:rFonts w:hint="eastAsia"/>
                <w:color w:val="auto"/>
                <w:sz w:val="24"/>
                <w:lang w:val="en-US" w:eastAsia="zh-CN"/>
              </w:rPr>
              <w:t>3.797</w:t>
            </w:r>
            <w:r>
              <w:rPr>
                <w:color w:val="auto"/>
                <w:sz w:val="24"/>
              </w:rPr>
              <w:t>t/d</w:t>
            </w:r>
            <w:r>
              <w:rPr>
                <w:rFonts w:hint="eastAsia"/>
                <w:color w:val="auto"/>
                <w:sz w:val="24"/>
              </w:rPr>
              <w:t>）</w:t>
            </w:r>
            <w:r>
              <w:rPr>
                <w:rFonts w:hint="eastAsia"/>
                <w:color w:val="auto"/>
                <w:sz w:val="24"/>
                <w:lang w:eastAsia="zh-CN"/>
              </w:rPr>
              <w:t>、水洗</w:t>
            </w:r>
            <w:r>
              <w:rPr>
                <w:rFonts w:hint="eastAsia" w:eastAsia="宋体" w:cs="Times New Roman"/>
                <w:color w:val="auto"/>
                <w:spacing w:val="1"/>
                <w:sz w:val="24"/>
                <w:szCs w:val="24"/>
                <w:vertAlign w:val="baseline"/>
                <w:lang w:val="en-US" w:eastAsia="zh-CN"/>
              </w:rPr>
              <w:t>用纯水量</w:t>
            </w:r>
            <w:r>
              <w:rPr>
                <w:rFonts w:hint="eastAsia" w:cs="Times New Roman"/>
                <w:b w:val="0"/>
                <w:bCs/>
                <w:color w:val="auto"/>
                <w:sz w:val="24"/>
                <w:szCs w:val="24"/>
                <w:lang w:val="en-US" w:eastAsia="zh-CN"/>
              </w:rPr>
              <w:t>17万</w:t>
            </w:r>
            <w:r>
              <w:rPr>
                <w:rFonts w:hint="eastAsia" w:cs="Times New Roman"/>
                <w:color w:val="auto"/>
                <w:spacing w:val="1"/>
                <w:sz w:val="24"/>
                <w:szCs w:val="24"/>
                <w:lang w:val="en-US" w:eastAsia="zh-CN"/>
              </w:rPr>
              <w:t>t/a</w:t>
            </w:r>
            <w:r>
              <w:rPr>
                <w:rFonts w:hint="eastAsia"/>
                <w:color w:val="auto"/>
                <w:sz w:val="24"/>
              </w:rPr>
              <w:t>（</w:t>
            </w:r>
            <w:r>
              <w:rPr>
                <w:rFonts w:hint="eastAsia"/>
                <w:color w:val="auto"/>
                <w:sz w:val="24"/>
                <w:lang w:val="en-US" w:eastAsia="zh-CN"/>
              </w:rPr>
              <w:t>566.667</w:t>
            </w:r>
            <w:r>
              <w:rPr>
                <w:color w:val="auto"/>
                <w:sz w:val="24"/>
              </w:rPr>
              <w:t>t/d</w:t>
            </w:r>
            <w:r>
              <w:rPr>
                <w:rFonts w:hint="eastAsia"/>
                <w:color w:val="auto"/>
                <w:sz w:val="24"/>
              </w:rPr>
              <w:t>）</w:t>
            </w:r>
            <w:r>
              <w:rPr>
                <w:rFonts w:hint="eastAsia"/>
                <w:color w:val="auto"/>
                <w:sz w:val="24"/>
                <w:lang w:eastAsia="zh-CN"/>
              </w:rPr>
              <w:t>、间接循环冷却</w:t>
            </w:r>
            <w:r>
              <w:rPr>
                <w:rFonts w:hint="eastAsia"/>
                <w:color w:val="auto"/>
                <w:sz w:val="24"/>
                <w:lang w:val="en-US" w:eastAsia="zh-CN"/>
              </w:rPr>
              <w:t>补充纯水量为36400</w:t>
            </w:r>
            <w:r>
              <w:rPr>
                <w:color w:val="auto"/>
                <w:sz w:val="24"/>
              </w:rPr>
              <w:t>t/a</w:t>
            </w:r>
            <w:r>
              <w:rPr>
                <w:rFonts w:hint="eastAsia"/>
                <w:color w:val="auto"/>
                <w:sz w:val="24"/>
              </w:rPr>
              <w:t>（</w:t>
            </w:r>
            <w:r>
              <w:rPr>
                <w:rFonts w:hint="eastAsia"/>
                <w:color w:val="auto"/>
                <w:sz w:val="24"/>
                <w:lang w:val="en-US" w:eastAsia="zh-CN"/>
              </w:rPr>
              <w:t>121.333</w:t>
            </w:r>
            <w:r>
              <w:rPr>
                <w:color w:val="auto"/>
                <w:sz w:val="24"/>
              </w:rPr>
              <w:t>t/d</w:t>
            </w:r>
            <w:r>
              <w:rPr>
                <w:rFonts w:hint="eastAsia"/>
                <w:color w:val="auto"/>
                <w:sz w:val="24"/>
              </w:rPr>
              <w:t>）</w:t>
            </w:r>
            <w:r>
              <w:rPr>
                <w:rFonts w:hint="eastAsia"/>
                <w:color w:val="auto"/>
                <w:sz w:val="24"/>
                <w:lang w:eastAsia="zh-CN"/>
              </w:rPr>
              <w:t>，</w:t>
            </w:r>
            <w:r>
              <w:rPr>
                <w:rFonts w:hint="eastAsia" w:cs="Times New Roman"/>
                <w:color w:val="auto"/>
                <w:spacing w:val="1"/>
                <w:sz w:val="24"/>
                <w:szCs w:val="24"/>
                <w:vertAlign w:val="baseline"/>
                <w:lang w:val="en-US" w:eastAsia="zh-CN"/>
              </w:rPr>
              <w:t>故总</w:t>
            </w:r>
            <w:r>
              <w:rPr>
                <w:rFonts w:hint="eastAsia"/>
                <w:color w:val="auto"/>
                <w:sz w:val="24"/>
                <w:lang w:eastAsia="zh-CN"/>
              </w:rPr>
              <w:t>纯水需水量</w:t>
            </w:r>
            <w:r>
              <w:rPr>
                <w:rFonts w:hint="eastAsia" w:ascii="Times New Roman" w:hAnsi="Times New Roman" w:eastAsia="宋体" w:cs="Times New Roman"/>
                <w:color w:val="auto"/>
                <w:sz w:val="24"/>
                <w:shd w:val="clear" w:color="auto" w:fill="auto"/>
                <w:lang w:eastAsia="zh-CN"/>
              </w:rPr>
              <w:t>为</w:t>
            </w:r>
            <w:r>
              <w:rPr>
                <w:rFonts w:hint="eastAsia"/>
                <w:color w:val="auto"/>
                <w:sz w:val="24"/>
                <w:lang w:val="en-US" w:eastAsia="zh-CN"/>
              </w:rPr>
              <w:t>218658</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w:t>
            </w:r>
            <w:r>
              <w:rPr>
                <w:rFonts w:hint="eastAsia"/>
                <w:color w:val="auto"/>
                <w:sz w:val="24"/>
              </w:rPr>
              <w:t>（</w:t>
            </w:r>
            <w:r>
              <w:rPr>
                <w:rFonts w:hint="eastAsia"/>
                <w:color w:val="auto"/>
                <w:sz w:val="24"/>
                <w:lang w:val="en-US" w:eastAsia="zh-CN"/>
              </w:rPr>
              <w:t>728.86</w:t>
            </w:r>
            <w:r>
              <w:rPr>
                <w:color w:val="auto"/>
                <w:sz w:val="24"/>
              </w:rPr>
              <w:t>t/</w:t>
            </w:r>
            <w:r>
              <w:rPr>
                <w:rFonts w:hint="eastAsia"/>
                <w:color w:val="auto"/>
                <w:sz w:val="24"/>
                <w:lang w:val="en-US" w:eastAsia="zh-CN"/>
              </w:rPr>
              <w:t>d</w:t>
            </w:r>
            <w:r>
              <w:rPr>
                <w:rFonts w:hint="eastAsia"/>
                <w:color w:val="auto"/>
                <w:sz w:val="24"/>
              </w:rPr>
              <w:t>）</w:t>
            </w:r>
            <w:r>
              <w:rPr>
                <w:rFonts w:hint="eastAsia" w:ascii="Times New Roman" w:hAnsi="Times New Roman" w:eastAsia="宋体" w:cs="Times New Roman"/>
                <w:color w:val="auto"/>
                <w:sz w:val="24"/>
                <w:shd w:val="clear" w:color="auto" w:fill="auto"/>
                <w:lang w:val="en-US" w:eastAsia="zh-CN"/>
              </w:rPr>
              <w:t>，，纯水制备</w:t>
            </w:r>
            <w:r>
              <w:rPr>
                <w:rFonts w:hint="eastAsia" w:cs="Times New Roman"/>
                <w:color w:val="auto"/>
                <w:sz w:val="24"/>
                <w:shd w:val="clear" w:color="auto" w:fill="auto"/>
                <w:lang w:val="en-US" w:eastAsia="zh-CN"/>
              </w:rPr>
              <w:t>产水</w:t>
            </w:r>
            <w:r>
              <w:rPr>
                <w:rFonts w:hint="eastAsia" w:ascii="Times New Roman" w:hAnsi="Times New Roman" w:eastAsia="宋体" w:cs="Times New Roman"/>
                <w:color w:val="auto"/>
                <w:sz w:val="24"/>
                <w:shd w:val="clear" w:color="auto" w:fill="auto"/>
                <w:lang w:val="en-US" w:eastAsia="zh-CN"/>
              </w:rPr>
              <w:t>率为75%，则自来水需水量为</w:t>
            </w:r>
            <w:r>
              <w:rPr>
                <w:rFonts w:hint="eastAsia" w:cs="Times New Roman"/>
                <w:color w:val="auto"/>
                <w:sz w:val="24"/>
                <w:shd w:val="clear" w:color="auto" w:fill="auto"/>
                <w:lang w:val="en-US" w:eastAsia="zh-CN"/>
              </w:rPr>
              <w:t>291544</w:t>
            </w:r>
            <w:r>
              <w:rPr>
                <w:rFonts w:hint="eastAsia" w:ascii="Times New Roman" w:hAnsi="Times New Roman" w:eastAsia="宋体" w:cs="Times New Roman"/>
                <w:color w:val="auto"/>
                <w:sz w:val="24"/>
                <w:shd w:val="clear" w:color="auto" w:fill="auto"/>
                <w:lang w:val="en-US" w:eastAsia="zh-CN"/>
              </w:rPr>
              <w:t>t/</w:t>
            </w:r>
            <w:r>
              <w:rPr>
                <w:rFonts w:hint="eastAsia" w:cs="Times New Roman"/>
                <w:color w:val="auto"/>
                <w:sz w:val="24"/>
                <w:shd w:val="clear" w:color="auto" w:fill="auto"/>
                <w:lang w:val="en-US" w:eastAsia="zh-CN"/>
              </w:rPr>
              <w:t>a</w:t>
            </w:r>
            <w:r>
              <w:rPr>
                <w:rFonts w:hint="eastAsia"/>
                <w:color w:val="auto"/>
                <w:sz w:val="24"/>
              </w:rPr>
              <w:t>（</w:t>
            </w:r>
            <w:r>
              <w:rPr>
                <w:rFonts w:hint="eastAsia"/>
                <w:color w:val="auto"/>
                <w:sz w:val="24"/>
                <w:lang w:val="en-US" w:eastAsia="zh-CN"/>
              </w:rPr>
              <w:t>971.813</w:t>
            </w:r>
            <w:r>
              <w:rPr>
                <w:color w:val="auto"/>
                <w:sz w:val="24"/>
              </w:rPr>
              <w:t>t/</w:t>
            </w:r>
            <w:r>
              <w:rPr>
                <w:rFonts w:hint="eastAsia"/>
                <w:color w:val="auto"/>
                <w:sz w:val="24"/>
                <w:lang w:val="en-US" w:eastAsia="zh-CN"/>
              </w:rPr>
              <w:t>d</w:t>
            </w:r>
            <w:r>
              <w:rPr>
                <w:rFonts w:hint="eastAsia"/>
                <w:color w:val="auto"/>
                <w:sz w:val="24"/>
              </w:rPr>
              <w:t>）</w:t>
            </w:r>
            <w:r>
              <w:rPr>
                <w:rFonts w:hint="eastAsia" w:ascii="Times New Roman" w:hAnsi="Times New Roman" w:eastAsia="宋体" w:cs="Times New Roman"/>
                <w:color w:val="auto"/>
                <w:sz w:val="24"/>
                <w:shd w:val="clear" w:color="auto" w:fill="auto"/>
                <w:lang w:val="en-US" w:eastAsia="zh-CN"/>
              </w:rPr>
              <w:t>，</w:t>
            </w:r>
            <w:r>
              <w:rPr>
                <w:rFonts w:hint="eastAsia" w:ascii="Times New Roman" w:hAnsi="Times New Roman" w:eastAsia="宋体" w:cs="Times New Roman"/>
                <w:b w:val="0"/>
                <w:bCs w:val="0"/>
                <w:color w:val="auto"/>
                <w:sz w:val="24"/>
                <w:shd w:val="clear" w:color="auto" w:fill="auto"/>
                <w:lang w:val="en-US" w:eastAsia="zh-CN"/>
              </w:rPr>
              <w:t>浓水产生量为</w:t>
            </w:r>
            <w:r>
              <w:rPr>
                <w:rFonts w:hint="eastAsia"/>
                <w:color w:val="auto"/>
                <w:sz w:val="24"/>
                <w:lang w:val="en-US" w:eastAsia="zh-CN"/>
              </w:rPr>
              <w:t>72886</w:t>
            </w:r>
            <w:r>
              <w:rPr>
                <w:color w:val="auto"/>
                <w:sz w:val="24"/>
              </w:rPr>
              <w:t>t/</w:t>
            </w:r>
            <w:r>
              <w:rPr>
                <w:rFonts w:hint="eastAsia"/>
                <w:color w:val="auto"/>
                <w:sz w:val="24"/>
                <w:lang w:val="en-US" w:eastAsia="zh-CN"/>
              </w:rPr>
              <w:t>a</w:t>
            </w:r>
            <w:r>
              <w:rPr>
                <w:rFonts w:hint="eastAsia"/>
                <w:color w:val="auto"/>
                <w:sz w:val="24"/>
              </w:rPr>
              <w:t>（</w:t>
            </w:r>
            <w:r>
              <w:rPr>
                <w:rFonts w:hint="eastAsia" w:cs="Times New Roman"/>
                <w:b w:val="0"/>
                <w:bCs w:val="0"/>
                <w:color w:val="auto"/>
                <w:sz w:val="24"/>
                <w:shd w:val="clear" w:color="auto" w:fill="auto"/>
                <w:lang w:val="en-US" w:eastAsia="zh-CN"/>
              </w:rPr>
              <w:t>242.953</w:t>
            </w:r>
            <w:r>
              <w:rPr>
                <w:rFonts w:hint="eastAsia" w:ascii="Times New Roman" w:hAnsi="Times New Roman" w:eastAsia="宋体" w:cs="Times New Roman"/>
                <w:b w:val="0"/>
                <w:bCs w:val="0"/>
                <w:color w:val="auto"/>
                <w:sz w:val="24"/>
                <w:shd w:val="clear" w:color="auto" w:fill="auto"/>
                <w:lang w:val="en-US" w:eastAsia="zh-CN"/>
              </w:rPr>
              <w:t>t/d</w:t>
            </w:r>
            <w:r>
              <w:rPr>
                <w:rFonts w:hint="eastAsia"/>
                <w:color w:val="auto"/>
                <w:sz w:val="24"/>
              </w:rPr>
              <w:t>）</w:t>
            </w:r>
            <w:r>
              <w:rPr>
                <w:rFonts w:hint="eastAsia" w:ascii="Times New Roman" w:hAnsi="Times New Roman" w:eastAsia="宋体" w:cs="Times New Roman"/>
                <w:b w:val="0"/>
                <w:bCs w:val="0"/>
                <w:color w:val="auto"/>
                <w:sz w:val="24"/>
                <w:shd w:val="clear" w:color="auto" w:fill="auto"/>
                <w:lang w:val="en-US" w:eastAsia="zh-CN"/>
              </w:rPr>
              <w:t>，浓水排入厂区沉淀池</w:t>
            </w:r>
            <w:r>
              <w:rPr>
                <w:rFonts w:hint="eastAsia" w:ascii="Times New Roman" w:hAnsi="Times New Roman" w:eastAsia="宋体" w:cs="Times New Roman"/>
                <w:b w:val="0"/>
                <w:bCs w:val="0"/>
                <w:color w:val="auto"/>
                <w:sz w:val="24"/>
                <w:shd w:val="clear" w:color="auto" w:fill="auto"/>
                <w:vertAlign w:val="baseline"/>
                <w:lang w:val="en-US" w:eastAsia="zh-CN"/>
              </w:rPr>
              <w:t>进行处理，处理后排入园区管网。</w:t>
            </w:r>
          </w:p>
          <w:p w14:paraId="53CA78B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反冲洗废水：</w:t>
            </w:r>
            <w:r>
              <w:rPr>
                <w:rFonts w:hint="eastAsia"/>
                <w:color w:val="auto"/>
                <w:sz w:val="24"/>
                <w:lang w:eastAsia="zh-CN"/>
              </w:rPr>
              <w:t>项目</w:t>
            </w:r>
            <w:r>
              <w:rPr>
                <w:rFonts w:hint="eastAsia"/>
                <w:color w:val="auto"/>
                <w:sz w:val="24"/>
                <w:lang w:val="en-US" w:eastAsia="zh-CN"/>
              </w:rPr>
              <w:t>5台纯水机</w:t>
            </w:r>
            <w:r>
              <w:rPr>
                <w:rFonts w:hint="eastAsia"/>
                <w:color w:val="auto"/>
                <w:sz w:val="24"/>
                <w:lang w:eastAsia="zh-CN"/>
              </w:rPr>
              <w:t>每次冲洗总用水量为</w:t>
            </w:r>
            <w:r>
              <w:rPr>
                <w:rFonts w:hint="eastAsia"/>
                <w:color w:val="auto"/>
                <w:sz w:val="24"/>
                <w:lang w:val="en-US" w:eastAsia="zh-CN"/>
              </w:rPr>
              <w:t>10m</w:t>
            </w:r>
            <w:r>
              <w:rPr>
                <w:rFonts w:hint="eastAsia"/>
                <w:color w:val="auto"/>
                <w:sz w:val="24"/>
                <w:vertAlign w:val="superscript"/>
                <w:lang w:val="en-US" w:eastAsia="zh-CN"/>
              </w:rPr>
              <w:t>3</w:t>
            </w:r>
            <w:r>
              <w:rPr>
                <w:rFonts w:hint="eastAsia"/>
                <w:color w:val="auto"/>
                <w:sz w:val="24"/>
                <w:vertAlign w:val="baseline"/>
                <w:lang w:val="en-US" w:eastAsia="zh-CN"/>
              </w:rPr>
              <w:t>，一年冲洗三次，则反冲洗废水量为</w:t>
            </w:r>
            <w:r>
              <w:rPr>
                <w:rFonts w:hint="eastAsia"/>
                <w:color w:val="auto"/>
                <w:sz w:val="24"/>
                <w:lang w:val="en-US" w:eastAsia="zh-CN"/>
              </w:rPr>
              <w:t>30m</w:t>
            </w:r>
            <w:r>
              <w:rPr>
                <w:rFonts w:hint="eastAsia"/>
                <w:color w:val="auto"/>
                <w:sz w:val="24"/>
                <w:vertAlign w:val="superscript"/>
                <w:lang w:val="en-US" w:eastAsia="zh-CN"/>
              </w:rPr>
              <w:t>3</w:t>
            </w:r>
            <w:r>
              <w:rPr>
                <w:rFonts w:hint="eastAsia"/>
                <w:color w:val="auto"/>
                <w:sz w:val="24"/>
                <w:vertAlign w:val="baseline"/>
                <w:lang w:val="en-US" w:eastAsia="zh-CN"/>
              </w:rPr>
              <w:t>/a</w:t>
            </w:r>
            <w:r>
              <w:rPr>
                <w:rFonts w:hint="eastAsia"/>
                <w:color w:val="auto"/>
                <w:sz w:val="24"/>
                <w:szCs w:val="24"/>
                <w:lang w:eastAsia="zh-CN"/>
              </w:rPr>
              <w:t>，收集后排入园区管网。</w:t>
            </w:r>
          </w:p>
          <w:p w14:paraId="4039B1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eastAsia"/>
                <w:color w:val="auto"/>
                <w:sz w:val="24"/>
                <w:lang w:val="en-US" w:eastAsia="zh-CN"/>
              </w:rPr>
              <w:t>喷淋废水：本项目拟设置2套二级碱喷淋装置，喷淋塔循环量共50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/h，</w:t>
            </w:r>
            <w:r>
              <w:rPr>
                <w:rFonts w:hint="eastAsia"/>
                <w:color w:val="auto"/>
                <w:sz w:val="24"/>
                <w:lang w:eastAsia="zh-CN"/>
              </w:rPr>
              <w:t>由于循环过程中蒸发损耗等，需定期补充，补充水量按照循环水量的</w:t>
            </w:r>
            <w:r>
              <w:rPr>
                <w:rFonts w:hint="eastAsia"/>
                <w:color w:val="auto"/>
                <w:sz w:val="24"/>
                <w:lang w:val="en-US" w:eastAsia="zh-CN"/>
              </w:rPr>
              <w:t>0.5%计，补充水量为1800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/a</w:t>
            </w:r>
            <w:r>
              <w:rPr>
                <w:rFonts w:hint="eastAsia"/>
                <w:color w:val="auto"/>
                <w:sz w:val="24"/>
              </w:rPr>
              <w:t>（</w:t>
            </w:r>
            <w:r>
              <w:rPr>
                <w:rFonts w:hint="eastAsia"/>
                <w:color w:val="auto"/>
                <w:sz w:val="24"/>
                <w:lang w:val="en-US" w:eastAsia="zh-CN"/>
              </w:rPr>
              <w:t>6</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/d</w:t>
            </w:r>
            <w:r>
              <w:rPr>
                <w:rFonts w:hint="eastAsia"/>
                <w:color w:val="auto"/>
                <w:sz w:val="24"/>
              </w:rPr>
              <w:t>）</w:t>
            </w:r>
            <w:r>
              <w:rPr>
                <w:rFonts w:hint="eastAsia"/>
                <w:color w:val="auto"/>
                <w:sz w:val="24"/>
                <w:lang w:eastAsia="zh-CN"/>
              </w:rPr>
              <w:t>。</w:t>
            </w:r>
            <w:r>
              <w:rPr>
                <w:rFonts w:hint="eastAsia"/>
                <w:color w:val="auto"/>
                <w:sz w:val="24"/>
                <w:lang w:val="en-US" w:eastAsia="zh-CN"/>
              </w:rPr>
              <w:t>喷淋塔中吸收液循环使用，循环次数过多会导致污染物累积，需定期更换，吸收液池储存量共30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eastAsia="宋体" w:cs="Times New Roman"/>
                <w:color w:val="auto"/>
                <w:spacing w:val="1"/>
                <w:sz w:val="24"/>
                <w:szCs w:val="24"/>
                <w:vertAlign w:val="baseline"/>
                <w:lang w:val="en-US" w:eastAsia="zh-CN"/>
              </w:rPr>
              <w:t>，本项目拟10d更换1次吸收液，</w:t>
            </w:r>
            <w:r>
              <w:rPr>
                <w:rFonts w:hint="eastAsia"/>
                <w:color w:val="auto"/>
                <w:sz w:val="24"/>
                <w:lang w:val="en-US" w:eastAsia="zh-CN"/>
              </w:rPr>
              <w:t>2套二级碱喷淋装置</w:t>
            </w:r>
            <w:r>
              <w:rPr>
                <w:rFonts w:hint="eastAsia" w:eastAsia="宋体" w:cs="Times New Roman"/>
                <w:color w:val="auto"/>
                <w:spacing w:val="1"/>
                <w:sz w:val="24"/>
                <w:szCs w:val="24"/>
                <w:vertAlign w:val="baseline"/>
                <w:lang w:val="en-US" w:eastAsia="zh-CN"/>
              </w:rPr>
              <w:t>每次更换量</w:t>
            </w:r>
            <w:r>
              <w:rPr>
                <w:rFonts w:hint="eastAsia" w:cs="Times New Roman"/>
                <w:color w:val="auto"/>
                <w:spacing w:val="1"/>
                <w:sz w:val="24"/>
                <w:szCs w:val="24"/>
                <w:vertAlign w:val="baseline"/>
                <w:lang w:val="en-US" w:eastAsia="zh-CN"/>
              </w:rPr>
              <w:t>共</w:t>
            </w:r>
            <w:r>
              <w:rPr>
                <w:rFonts w:hint="eastAsia"/>
                <w:color w:val="auto"/>
                <w:sz w:val="24"/>
                <w:lang w:val="en-US" w:eastAsia="zh-CN"/>
              </w:rPr>
              <w:t>30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eastAsia="宋体" w:cs="Times New Roman"/>
                <w:color w:val="auto"/>
                <w:spacing w:val="1"/>
                <w:sz w:val="24"/>
                <w:szCs w:val="24"/>
                <w:vertAlign w:val="baseline"/>
                <w:lang w:val="en-US" w:eastAsia="zh-CN"/>
              </w:rPr>
              <w:t>，更换次数为30次，则喷淋废水为900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/a（3</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rFonts w:hint="eastAsia" w:cs="Times New Roman"/>
                <w:color w:val="auto"/>
                <w:spacing w:val="1"/>
                <w:sz w:val="24"/>
                <w:szCs w:val="24"/>
                <w:vertAlign w:val="baseline"/>
                <w:lang w:val="en-US" w:eastAsia="zh-CN"/>
              </w:rPr>
              <w:t>/d），喷淋塔补充水量为9</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w:t>
            </w:r>
            <w:r>
              <w:rPr>
                <w:rFonts w:hint="eastAsia"/>
                <w:color w:val="auto"/>
                <w:sz w:val="24"/>
                <w:lang w:val="en-US" w:eastAsia="zh-CN"/>
              </w:rPr>
              <w:t>d</w:t>
            </w:r>
            <w:r>
              <w:rPr>
                <w:rFonts w:hint="eastAsia"/>
                <w:color w:val="auto"/>
                <w:sz w:val="24"/>
              </w:rPr>
              <w:t>（</w:t>
            </w:r>
            <w:r>
              <w:rPr>
                <w:rFonts w:hint="eastAsia"/>
                <w:color w:val="auto"/>
                <w:sz w:val="24"/>
                <w:lang w:val="en-US" w:eastAsia="zh-CN"/>
              </w:rPr>
              <w:t>2700</w:t>
            </w:r>
            <w:r>
              <w:rPr>
                <w:rFonts w:hint="default" w:ascii="Times New Roman" w:hAnsi="Times New Roman" w:eastAsia="宋体" w:cs="Times New Roman"/>
                <w:color w:val="auto"/>
                <w:spacing w:val="1"/>
                <w:sz w:val="24"/>
                <w:szCs w:val="24"/>
              </w:rPr>
              <w:t>m</w:t>
            </w:r>
            <w:r>
              <w:rPr>
                <w:rFonts w:hint="eastAsia" w:ascii="Times New Roman" w:hAnsi="Times New Roman" w:eastAsia="宋体" w:cs="Times New Roman"/>
                <w:color w:val="auto"/>
                <w:spacing w:val="1"/>
                <w:sz w:val="24"/>
                <w:szCs w:val="24"/>
                <w:vertAlign w:val="superscript"/>
                <w:lang w:val="en-US" w:eastAsia="zh-CN"/>
              </w:rPr>
              <w:t>3</w:t>
            </w:r>
            <w:r>
              <w:rPr>
                <w:color w:val="auto"/>
                <w:sz w:val="24"/>
              </w:rPr>
              <w:t>/</w:t>
            </w:r>
            <w:r>
              <w:rPr>
                <w:rFonts w:hint="eastAsia"/>
                <w:color w:val="auto"/>
                <w:sz w:val="24"/>
                <w:lang w:val="en-US" w:eastAsia="zh-CN"/>
              </w:rPr>
              <w:t>a</w:t>
            </w:r>
            <w:r>
              <w:rPr>
                <w:rFonts w:hint="eastAsia"/>
                <w:color w:val="auto"/>
                <w:sz w:val="24"/>
              </w:rPr>
              <w:t>）</w:t>
            </w:r>
            <w:r>
              <w:rPr>
                <w:rFonts w:hint="eastAsia"/>
                <w:color w:val="auto"/>
                <w:sz w:val="24"/>
                <w:lang w:eastAsia="zh-CN"/>
              </w:rPr>
              <w:t>。</w:t>
            </w:r>
          </w:p>
          <w:p w14:paraId="46CBC12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vertAlign w:val="baseline"/>
                <w:lang w:val="en-US" w:eastAsia="zh-CN"/>
              </w:rPr>
            </w:pPr>
            <w:r>
              <w:rPr>
                <w:rFonts w:hint="eastAsia"/>
                <w:color w:val="auto"/>
                <w:sz w:val="24"/>
                <w:lang w:val="en-US" w:eastAsia="zh-CN"/>
              </w:rPr>
              <w:t>本项目生产废</w:t>
            </w:r>
            <w:r>
              <w:rPr>
                <w:rFonts w:hint="eastAsia"/>
                <w:color w:val="auto"/>
                <w:sz w:val="24"/>
                <w:szCs w:val="24"/>
                <w:lang w:val="en-US" w:eastAsia="zh-CN"/>
              </w:rPr>
              <w:t>水（</w:t>
            </w:r>
            <w:r>
              <w:rPr>
                <w:rFonts w:hint="eastAsia" w:cs="Times New Roman"/>
                <w:b w:val="0"/>
                <w:bCs w:val="0"/>
                <w:color w:val="auto"/>
                <w:sz w:val="24"/>
                <w:szCs w:val="24"/>
                <w:lang w:eastAsia="zh-CN"/>
              </w:rPr>
              <w:t>纯水制备浓水、反冲洗废水、循环冷却废水、</w:t>
            </w:r>
            <w:r>
              <w:rPr>
                <w:rFonts w:hint="eastAsia"/>
                <w:color w:val="auto"/>
                <w:sz w:val="24"/>
                <w:szCs w:val="24"/>
                <w:lang w:val="en-US" w:eastAsia="zh-CN"/>
              </w:rPr>
              <w:t>酸性废水和喷淋废水中和后废水）水质参</w:t>
            </w:r>
            <w:r>
              <w:rPr>
                <w:rFonts w:hint="eastAsia"/>
                <w:color w:val="auto"/>
                <w:sz w:val="24"/>
                <w:lang w:val="en-US" w:eastAsia="zh-CN"/>
              </w:rPr>
              <w:t>照</w:t>
            </w:r>
            <w:r>
              <w:rPr>
                <w:rFonts w:hint="eastAsia" w:cs="Times New Roman"/>
                <w:bCs/>
                <w:color w:val="auto"/>
                <w:sz w:val="24"/>
                <w:szCs w:val="20"/>
                <w:lang w:val="en-US" w:eastAsia="zh-CN"/>
              </w:rPr>
              <w:t>常州创明超电材料科技有限公司年产500吨超级电容器电极材料项目验收监测报告表废水检测</w:t>
            </w:r>
            <w:r>
              <w:rPr>
                <w:rFonts w:hint="default" w:ascii="Times New Roman" w:hAnsi="Times New Roman" w:eastAsia="宋体" w:cs="Times New Roman"/>
                <w:color w:val="auto"/>
                <w:kern w:val="0"/>
                <w:sz w:val="24"/>
                <w:szCs w:val="24"/>
                <w:lang w:eastAsia="zh-CN"/>
              </w:rPr>
              <w:t>浓度，</w:t>
            </w:r>
            <w:r>
              <w:rPr>
                <w:rFonts w:hint="eastAsia" w:cs="Times New Roman"/>
                <w:bCs/>
                <w:color w:val="auto"/>
                <w:sz w:val="24"/>
                <w:szCs w:val="20"/>
                <w:lang w:val="en-US" w:eastAsia="zh-CN"/>
              </w:rPr>
              <w:t>常州创明超电材料科技有限公司年产500吨超级电容器电极材料项目生产工艺、原辅料、生产设备等与本项目相似，其水质具有可类比性。</w:t>
            </w:r>
            <w:r>
              <w:rPr>
                <w:rFonts w:hint="eastAsia"/>
                <w:color w:val="auto"/>
                <w:sz w:val="24"/>
                <w:lang w:val="en-US" w:eastAsia="zh-CN"/>
              </w:rPr>
              <w:t>酸性废水和喷淋废水中和后废水污染因子</w:t>
            </w:r>
            <w:r>
              <w:rPr>
                <w:rFonts w:hint="default" w:ascii="Times New Roman" w:hAnsi="Times New Roman" w:eastAsia="宋体" w:cs="Times New Roman"/>
                <w:color w:val="auto"/>
                <w:sz w:val="24"/>
                <w:szCs w:val="24"/>
              </w:rPr>
              <w:t>pH</w:t>
            </w:r>
            <w:r>
              <w:rPr>
                <w:rFonts w:hint="default" w:ascii="Times New Roman" w:hAnsi="Times New Roman" w:eastAsia="宋体" w:cs="Times New Roman"/>
                <w:color w:val="auto"/>
                <w:spacing w:val="6"/>
                <w:sz w:val="24"/>
                <w:szCs w:val="24"/>
              </w:rPr>
              <w:t>、</w:t>
            </w: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pacing w:val="6"/>
                <w:sz w:val="24"/>
                <w:szCs w:val="24"/>
              </w:rPr>
              <w:t>、</w:t>
            </w:r>
            <w:r>
              <w:rPr>
                <w:rFonts w:hint="default" w:ascii="Times New Roman" w:hAnsi="Times New Roman" w:eastAsia="宋体" w:cs="Times New Roman"/>
                <w:color w:val="auto"/>
                <w:sz w:val="24"/>
                <w:szCs w:val="24"/>
              </w:rPr>
              <w:t>SS</w:t>
            </w:r>
            <w:r>
              <w:rPr>
                <w:rFonts w:hint="default" w:ascii="Times New Roman" w:hAnsi="Times New Roman" w:eastAsia="宋体" w:cs="Times New Roman"/>
                <w:color w:val="auto"/>
                <w:spacing w:val="6"/>
                <w:sz w:val="24"/>
                <w:szCs w:val="24"/>
              </w:rPr>
              <w:t>、</w:t>
            </w:r>
            <w:r>
              <w:rPr>
                <w:rFonts w:hint="eastAsia" w:cs="Times New Roman"/>
                <w:color w:val="auto"/>
                <w:spacing w:val="6"/>
                <w:sz w:val="24"/>
                <w:szCs w:val="24"/>
                <w:lang w:eastAsia="zh-CN"/>
              </w:rPr>
              <w:t>氨氮、总磷、总氮、</w:t>
            </w:r>
            <w:r>
              <w:rPr>
                <w:rFonts w:hint="default" w:ascii="Times New Roman" w:hAnsi="Times New Roman" w:eastAsia="宋体" w:cs="Times New Roman"/>
                <w:color w:val="auto"/>
                <w:spacing w:val="5"/>
                <w:sz w:val="24"/>
                <w:szCs w:val="24"/>
              </w:rPr>
              <w:t>氯化物</w:t>
            </w:r>
            <w:r>
              <w:rPr>
                <w:rFonts w:hint="eastAsia" w:cs="Times New Roman"/>
                <w:color w:val="auto"/>
                <w:spacing w:val="5"/>
                <w:sz w:val="24"/>
                <w:szCs w:val="24"/>
                <w:lang w:eastAsia="zh-CN"/>
              </w:rPr>
              <w:t>、溶解性总固体</w:t>
            </w:r>
            <w:r>
              <w:rPr>
                <w:rFonts w:hint="default" w:ascii="Times New Roman" w:hAnsi="Times New Roman" w:eastAsia="宋体" w:cs="Times New Roman"/>
                <w:color w:val="auto"/>
                <w:spacing w:val="5"/>
                <w:sz w:val="24"/>
                <w:szCs w:val="24"/>
              </w:rPr>
              <w:t>浓度分别为</w:t>
            </w:r>
            <w:r>
              <w:rPr>
                <w:rFonts w:hint="eastAsia" w:cs="Times New Roman"/>
                <w:color w:val="auto"/>
                <w:spacing w:val="5"/>
                <w:sz w:val="24"/>
                <w:szCs w:val="24"/>
                <w:lang w:val="en-US" w:eastAsia="zh-CN"/>
              </w:rPr>
              <w:t>7.3-7.4</w:t>
            </w:r>
            <w:r>
              <w:rPr>
                <w:rFonts w:hint="default" w:ascii="Times New Roman" w:hAnsi="Times New Roman" w:eastAsia="宋体" w:cs="Times New Roman"/>
                <w:color w:val="auto"/>
                <w:spacing w:val="5"/>
                <w:sz w:val="24"/>
                <w:szCs w:val="24"/>
              </w:rPr>
              <w:t>、</w:t>
            </w:r>
            <w:r>
              <w:rPr>
                <w:rFonts w:hint="eastAsia" w:cs="Times New Roman"/>
                <w:color w:val="auto"/>
                <w:spacing w:val="5"/>
                <w:sz w:val="24"/>
                <w:szCs w:val="24"/>
                <w:lang w:val="en-US" w:eastAsia="zh-CN"/>
              </w:rPr>
              <w:t>53</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val="en-US" w:eastAsia="zh-CN"/>
              </w:rPr>
              <w:t>14</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val="en-US" w:eastAsia="zh-CN"/>
              </w:rPr>
              <w:t>0.06</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eastAsia="zh-CN"/>
              </w:rPr>
              <w:t>、</w:t>
            </w:r>
            <w:r>
              <w:rPr>
                <w:rFonts w:hint="eastAsia" w:cs="Times New Roman"/>
                <w:color w:val="auto"/>
                <w:spacing w:val="5"/>
                <w:sz w:val="24"/>
                <w:szCs w:val="24"/>
                <w:lang w:val="en-US" w:eastAsia="zh-CN"/>
              </w:rPr>
              <w:t>2.22</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val="en-US" w:eastAsia="zh-CN"/>
              </w:rPr>
              <w:t>0.94</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val="en-US" w:eastAsia="zh-CN"/>
              </w:rPr>
              <w:t>237</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r>
              <w:rPr>
                <w:rFonts w:hint="eastAsia" w:cs="Times New Roman"/>
                <w:color w:val="auto"/>
                <w:spacing w:val="5"/>
                <w:sz w:val="24"/>
                <w:szCs w:val="24"/>
                <w:lang w:val="en-US" w:eastAsia="zh-CN"/>
              </w:rPr>
              <w:t>561</w:t>
            </w:r>
            <w:r>
              <w:rPr>
                <w:rFonts w:hint="default" w:ascii="Times New Roman" w:hAnsi="Times New Roman" w:eastAsia="宋体" w:cs="Times New Roman"/>
                <w:color w:val="auto"/>
                <w:sz w:val="24"/>
                <w:szCs w:val="24"/>
              </w:rPr>
              <w:t>mg</w:t>
            </w:r>
            <w:r>
              <w:rPr>
                <w:rFonts w:hint="default" w:ascii="Times New Roman" w:hAnsi="Times New Roman" w:eastAsia="宋体" w:cs="Times New Roman"/>
                <w:color w:val="auto"/>
                <w:spacing w:val="5"/>
                <w:sz w:val="24"/>
                <w:szCs w:val="24"/>
              </w:rPr>
              <w:t>/L。</w:t>
            </w:r>
          </w:p>
          <w:p w14:paraId="4C8E650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olor w:val="auto"/>
                <w:sz w:val="24"/>
                <w:lang w:val="en-US" w:eastAsia="zh-CN"/>
              </w:rPr>
              <w:t>初期雨水：</w:t>
            </w:r>
            <w:r>
              <w:rPr>
                <w:rFonts w:hint="default" w:ascii="Times New Roman" w:hAnsi="Times New Roman" w:eastAsia="宋体" w:cs="Times New Roman"/>
                <w:color w:val="auto"/>
                <w:kern w:val="0"/>
                <w:sz w:val="24"/>
                <w:szCs w:val="24"/>
                <w:lang w:val="en-US" w:eastAsia="zh-CN" w:bidi="ar"/>
              </w:rPr>
              <w:t>根据</w:t>
            </w:r>
            <w:r>
              <w:rPr>
                <w:rFonts w:hint="default" w:ascii="Times New Roman" w:hAnsi="Times New Roman" w:eastAsia="宋体" w:cs="Times New Roman"/>
                <w:color w:val="000000"/>
                <w:kern w:val="0"/>
                <w:sz w:val="24"/>
                <w:szCs w:val="24"/>
                <w:lang w:val="en-US" w:eastAsia="zh-CN" w:bidi="ar"/>
              </w:rPr>
              <w:t>《关于发布蚌埠市暴雨强度修订公式的通知》设计暴雨强度q计算公式：q=2957.275（1+0.399lgP）/（t+12.892）</w:t>
            </w:r>
            <w:r>
              <w:rPr>
                <w:rFonts w:hint="default" w:ascii="Times New Roman" w:hAnsi="Times New Roman" w:eastAsia="宋体" w:cs="Times New Roman"/>
                <w:color w:val="000000"/>
                <w:kern w:val="0"/>
                <w:sz w:val="24"/>
                <w:szCs w:val="24"/>
                <w:vertAlign w:val="superscript"/>
                <w:lang w:val="en-US" w:eastAsia="zh-CN" w:bidi="ar"/>
              </w:rPr>
              <w:t>0.747</w:t>
            </w:r>
          </w:p>
          <w:p w14:paraId="64F272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color w:val="auto"/>
                <w:kern w:val="0"/>
                <w:sz w:val="24"/>
                <w:szCs w:val="24"/>
                <w:lang w:val="en-US" w:eastAsia="zh-CN" w:bidi="ar"/>
              </w:rPr>
              <w:t>q－设计暴雨强度[L/(s·hm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 )]；t－降雨历时（min），取</w:t>
            </w:r>
            <w:r>
              <w:rPr>
                <w:rFonts w:hint="eastAsia" w:ascii="Times New Roman" w:hAnsi="Times New Roman" w:eastAsia="宋体"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min；</w:t>
            </w:r>
          </w:p>
          <w:p w14:paraId="3EF2ED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P－设计重现期（a），本项目取</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a；</w:t>
            </w:r>
          </w:p>
          <w:p w14:paraId="0113D3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经计算 q=</w:t>
            </w:r>
            <w:r>
              <w:rPr>
                <w:rFonts w:hint="eastAsia" w:ascii="Times New Roman" w:hAnsi="Times New Roman" w:eastAsia="宋体" w:cs="Times New Roman"/>
                <w:color w:val="auto"/>
                <w:kern w:val="0"/>
                <w:sz w:val="24"/>
                <w:szCs w:val="24"/>
                <w:lang w:val="en-US" w:eastAsia="zh-CN" w:bidi="ar"/>
              </w:rPr>
              <w:t>142.939</w:t>
            </w:r>
            <w:r>
              <w:rPr>
                <w:rFonts w:hint="default" w:ascii="Times New Roman" w:hAnsi="Times New Roman" w:eastAsia="宋体" w:cs="Times New Roman"/>
                <w:color w:val="auto"/>
                <w:kern w:val="0"/>
                <w:sz w:val="24"/>
                <w:szCs w:val="24"/>
                <w:lang w:val="en-US" w:eastAsia="zh-CN" w:bidi="ar"/>
              </w:rPr>
              <w:t>L/(s·hm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w:t>
            </w:r>
          </w:p>
          <w:p w14:paraId="026B28A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kern w:val="0"/>
                <w:sz w:val="24"/>
                <w:szCs w:val="24"/>
                <w:lang w:val="en-US" w:eastAsia="zh-CN" w:bidi="ar"/>
              </w:rPr>
              <w:t>根据《室外排水设计</w:t>
            </w:r>
            <w:r>
              <w:rPr>
                <w:rFonts w:hint="eastAsia" w:cs="Times New Roman"/>
                <w:color w:val="auto"/>
                <w:kern w:val="0"/>
                <w:sz w:val="24"/>
                <w:szCs w:val="24"/>
                <w:lang w:val="en-US" w:eastAsia="zh-CN" w:bidi="ar"/>
              </w:rPr>
              <w:t>标准</w:t>
            </w:r>
            <w:r>
              <w:rPr>
                <w:rFonts w:hint="default" w:ascii="Times New Roman" w:hAnsi="Times New Roman" w:eastAsia="宋体" w:cs="Times New Roman"/>
                <w:color w:val="000000"/>
                <w:kern w:val="0"/>
                <w:sz w:val="24"/>
                <w:szCs w:val="24"/>
                <w:lang w:val="en-US" w:eastAsia="zh-CN" w:bidi="ar"/>
              </w:rPr>
              <w:t>》（GB50014-20</w:t>
            </w:r>
            <w:r>
              <w:rPr>
                <w:rFonts w:hint="eastAsia" w:cs="Times New Roman"/>
                <w:color w:val="000000"/>
                <w:kern w:val="0"/>
                <w:sz w:val="24"/>
                <w:szCs w:val="24"/>
                <w:lang w:val="en-US" w:eastAsia="zh-CN" w:bidi="ar"/>
              </w:rPr>
              <w:t>21</w:t>
            </w:r>
            <w:r>
              <w:rPr>
                <w:rFonts w:hint="default" w:ascii="Times New Roman" w:hAnsi="Times New Roman" w:eastAsia="宋体" w:cs="Times New Roman"/>
                <w:color w:val="000000"/>
                <w:kern w:val="0"/>
                <w:sz w:val="24"/>
                <w:szCs w:val="24"/>
                <w:lang w:val="en-US" w:eastAsia="zh-CN" w:bidi="ar"/>
              </w:rPr>
              <w:t>）可知，厂区初期雨水收集量应按下列公式计算：Q=qΨFt</w:t>
            </w:r>
          </w:p>
          <w:p w14:paraId="37F9A60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式中：Q－雨水</w:t>
            </w:r>
            <w:r>
              <w:rPr>
                <w:rFonts w:hint="eastAsia" w:eastAsia="宋体" w:cs="Times New Roman"/>
                <w:color w:val="000000"/>
                <w:kern w:val="0"/>
                <w:sz w:val="24"/>
                <w:szCs w:val="24"/>
                <w:lang w:val="en-US" w:eastAsia="zh-CN" w:bidi="ar"/>
              </w:rPr>
              <w:t>收集</w:t>
            </w:r>
            <w:r>
              <w:rPr>
                <w:rFonts w:hint="default" w:ascii="Times New Roman" w:hAnsi="Times New Roman" w:eastAsia="宋体" w:cs="Times New Roman"/>
                <w:color w:val="000000"/>
                <w:kern w:val="0"/>
                <w:sz w:val="24"/>
                <w:szCs w:val="24"/>
                <w:lang w:val="en-US" w:eastAsia="zh-CN" w:bidi="ar"/>
              </w:rPr>
              <w:t>量（L）；</w:t>
            </w:r>
          </w:p>
          <w:p w14:paraId="624D8B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q－设计暴雨强度[L/(s·hm</w:t>
            </w:r>
            <w:r>
              <w:rPr>
                <w:rFonts w:hint="default" w:ascii="Times New Roman" w:hAnsi="Times New Roman" w:eastAsia="宋体" w:cs="Times New Roman"/>
                <w:color w:val="000000"/>
                <w:kern w:val="0"/>
                <w:sz w:val="24"/>
                <w:szCs w:val="24"/>
                <w:vertAlign w:val="superscript"/>
                <w:lang w:val="en-US" w:eastAsia="zh-CN" w:bidi="ar"/>
              </w:rPr>
              <w:t xml:space="preserve">2 </w:t>
            </w:r>
            <w:r>
              <w:rPr>
                <w:rFonts w:hint="default" w:ascii="Times New Roman" w:hAnsi="Times New Roman" w:eastAsia="宋体" w:cs="Times New Roman"/>
                <w:color w:val="000000"/>
                <w:kern w:val="0"/>
                <w:sz w:val="24"/>
                <w:szCs w:val="24"/>
                <w:lang w:val="en-US" w:eastAsia="zh-CN" w:bidi="ar"/>
              </w:rPr>
              <w:t>)]；</w:t>
            </w:r>
          </w:p>
          <w:p w14:paraId="08A7F5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Ψ</w:t>
            </w:r>
            <w:r>
              <w:rPr>
                <w:rFonts w:hint="default" w:ascii="Times New Roman" w:hAnsi="Times New Roman" w:eastAsia="宋体" w:cs="Times New Roman"/>
                <w:color w:val="auto"/>
                <w:kern w:val="0"/>
                <w:sz w:val="24"/>
                <w:szCs w:val="24"/>
                <w:lang w:val="en-US" w:eastAsia="zh-CN" w:bidi="ar"/>
              </w:rPr>
              <w:t>－径流系数，</w:t>
            </w:r>
            <w:r>
              <w:rPr>
                <w:rFonts w:hint="eastAsia" w:cs="Times New Roman"/>
                <w:color w:val="auto"/>
                <w:kern w:val="0"/>
                <w:sz w:val="24"/>
                <w:szCs w:val="24"/>
                <w:lang w:val="en-US" w:eastAsia="zh-CN" w:bidi="ar"/>
              </w:rPr>
              <w:t>根据综合径流系数表，</w:t>
            </w:r>
            <w:r>
              <w:rPr>
                <w:rFonts w:hint="default" w:ascii="Times New Roman" w:hAnsi="Times New Roman" w:eastAsia="宋体" w:cs="Times New Roman"/>
                <w:color w:val="auto"/>
                <w:kern w:val="0"/>
                <w:sz w:val="24"/>
                <w:szCs w:val="24"/>
                <w:lang w:val="en-US" w:eastAsia="zh-CN" w:bidi="ar"/>
              </w:rPr>
              <w:t>蚌埠地区</w:t>
            </w:r>
            <w:r>
              <w:rPr>
                <w:rFonts w:hint="eastAsia" w:cs="Times New Roman"/>
                <w:color w:val="auto"/>
                <w:kern w:val="0"/>
                <w:sz w:val="24"/>
                <w:szCs w:val="24"/>
                <w:lang w:val="en-US" w:eastAsia="zh-CN" w:bidi="ar"/>
              </w:rPr>
              <w:t>属于城镇建筑密集区，综合径流系数为</w:t>
            </w:r>
            <w:r>
              <w:rPr>
                <w:rFonts w:hint="default" w:ascii="Times New Roman" w:hAnsi="Times New Roman" w:cs="Times New Roman"/>
                <w:color w:val="auto"/>
                <w:kern w:val="0"/>
                <w:sz w:val="24"/>
                <w:szCs w:val="24"/>
                <w:lang w:val="en-US" w:eastAsia="zh-CN" w:bidi="ar"/>
              </w:rPr>
              <w:t>0.60~0.70，</w:t>
            </w:r>
            <w:r>
              <w:rPr>
                <w:rFonts w:hint="eastAsia" w:cs="Times New Roman"/>
                <w:color w:val="auto"/>
                <w:kern w:val="0"/>
                <w:sz w:val="24"/>
                <w:szCs w:val="24"/>
                <w:lang w:val="en-US" w:eastAsia="zh-CN" w:bidi="ar"/>
              </w:rPr>
              <w:t>本项目取</w:t>
            </w:r>
            <w:r>
              <w:rPr>
                <w:rFonts w:hint="default" w:ascii="Times New Roman" w:hAnsi="Times New Roman" w:eastAsia="宋体" w:cs="Times New Roman"/>
                <w:color w:val="auto"/>
                <w:kern w:val="0"/>
                <w:sz w:val="24"/>
                <w:szCs w:val="24"/>
                <w:lang w:val="en-US" w:eastAsia="zh-CN" w:bidi="ar"/>
              </w:rPr>
              <w:t>0.</w:t>
            </w:r>
            <w:r>
              <w:rPr>
                <w:rFonts w:hint="eastAsia" w:cs="Times New Roman"/>
                <w:color w:val="auto"/>
                <w:kern w:val="0"/>
                <w:sz w:val="24"/>
                <w:szCs w:val="24"/>
                <w:lang w:val="en-US" w:eastAsia="zh-CN" w:bidi="ar"/>
              </w:rPr>
              <w:t>60</w:t>
            </w:r>
            <w:r>
              <w:rPr>
                <w:rFonts w:hint="default" w:ascii="Times New Roman" w:hAnsi="Times New Roman" w:eastAsia="宋体" w:cs="Times New Roman"/>
                <w:color w:val="auto"/>
                <w:kern w:val="0"/>
                <w:sz w:val="24"/>
                <w:szCs w:val="24"/>
                <w:lang w:val="en-US" w:eastAsia="zh-CN" w:bidi="ar"/>
              </w:rPr>
              <w:t>；</w:t>
            </w:r>
          </w:p>
          <w:p w14:paraId="120D81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F－汇水面积（hm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取生产车间面积2.982</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w:t>
            </w:r>
          </w:p>
          <w:p w14:paraId="023ACD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t—降雨历时（s），取15min=900s；</w:t>
            </w:r>
          </w:p>
          <w:p w14:paraId="5C061A8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FF0000"/>
                <w:sz w:val="24"/>
                <w:vertAlign w:val="baseline"/>
                <w:lang w:val="en-US" w:eastAsia="zh-CN"/>
              </w:rPr>
            </w:pPr>
            <w:r>
              <w:rPr>
                <w:rFonts w:hint="eastAsia" w:eastAsia="宋体" w:cs="Times New Roman"/>
                <w:color w:val="auto"/>
                <w:kern w:val="0"/>
                <w:sz w:val="24"/>
                <w:szCs w:val="24"/>
                <w:lang w:val="en-US" w:eastAsia="zh-CN" w:bidi="ar"/>
              </w:rPr>
              <w:t>经计算，项目初期雨水量</w:t>
            </w:r>
            <w:r>
              <w:rPr>
                <w:rFonts w:hint="eastAsia" w:cs="Times New Roman"/>
                <w:color w:val="auto"/>
                <w:kern w:val="0"/>
                <w:sz w:val="24"/>
                <w:szCs w:val="24"/>
                <w:lang w:val="en-US" w:eastAsia="zh-CN" w:bidi="ar"/>
              </w:rPr>
              <w:t>230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vertAlign w:val="baseline"/>
                <w:lang w:val="en-US" w:eastAsia="zh-CN" w:bidi="ar"/>
              </w:rPr>
              <w:t>/次</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本项目拟设置一座</w:t>
            </w:r>
            <w:r>
              <w:rPr>
                <w:rFonts w:hint="eastAsia"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的</w:t>
            </w:r>
            <w:r>
              <w:rPr>
                <w:rFonts w:hint="eastAsia" w:cs="Times New Roman"/>
                <w:color w:val="auto"/>
                <w:kern w:val="0"/>
                <w:sz w:val="24"/>
                <w:szCs w:val="24"/>
                <w:lang w:val="en-US" w:eastAsia="zh-CN" w:bidi="ar"/>
              </w:rPr>
              <w:t>事故应急</w:t>
            </w:r>
            <w:r>
              <w:rPr>
                <w:rFonts w:hint="default" w:ascii="Times New Roman" w:hAnsi="Times New Roman" w:eastAsia="宋体" w:cs="Times New Roman"/>
                <w:color w:val="auto"/>
                <w:kern w:val="0"/>
                <w:sz w:val="24"/>
                <w:szCs w:val="24"/>
                <w:lang w:val="en-US" w:eastAsia="zh-CN" w:bidi="ar"/>
              </w:rPr>
              <w:t>池</w:t>
            </w: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项目事故应急池兼做初期雨水池，可</w:t>
            </w:r>
            <w:r>
              <w:rPr>
                <w:rFonts w:hint="eastAsia" w:ascii="Times New Roman" w:hAnsi="Times New Roman" w:eastAsia="宋体" w:cs="Times New Roman"/>
                <w:color w:val="auto"/>
                <w:kern w:val="0"/>
                <w:sz w:val="24"/>
                <w:szCs w:val="24"/>
                <w:lang w:val="en-US" w:eastAsia="zh-CN" w:bidi="ar"/>
              </w:rPr>
              <w:t>收纳初期雨水满足需求。</w:t>
            </w:r>
            <w:r>
              <w:rPr>
                <w:rFonts w:hint="eastAsia" w:cs="Times New Roman"/>
                <w:color w:val="auto"/>
                <w:kern w:val="0"/>
                <w:sz w:val="24"/>
                <w:szCs w:val="24"/>
                <w:lang w:val="en-US" w:eastAsia="zh-CN" w:bidi="ar"/>
              </w:rPr>
              <w:t>降雨</w:t>
            </w:r>
            <w:r>
              <w:rPr>
                <w:rFonts w:hint="default" w:ascii="Times New Roman" w:hAnsi="Times New Roman" w:eastAsia="宋体" w:cs="Times New Roman"/>
                <w:color w:val="auto"/>
                <w:kern w:val="0"/>
                <w:sz w:val="24"/>
                <w:szCs w:val="24"/>
                <w:lang w:val="en-US" w:eastAsia="zh-CN" w:bidi="ar"/>
              </w:rPr>
              <w:t>次数按一年15次计，则初期雨水产生量约</w:t>
            </w:r>
            <w:r>
              <w:rPr>
                <w:rFonts w:hint="eastAsia" w:ascii="Times New Roman" w:hAnsi="Times New Roman" w:eastAsia="宋体" w:cs="Times New Roman"/>
                <w:color w:val="auto"/>
                <w:kern w:val="0"/>
                <w:sz w:val="24"/>
                <w:szCs w:val="24"/>
                <w:lang w:val="en-US" w:eastAsia="zh-CN" w:bidi="ar"/>
              </w:rPr>
              <w:t>为</w:t>
            </w:r>
            <w:r>
              <w:rPr>
                <w:rFonts w:hint="eastAsia" w:cs="Times New Roman"/>
                <w:color w:val="auto"/>
                <w:kern w:val="0"/>
                <w:sz w:val="24"/>
                <w:szCs w:val="24"/>
                <w:lang w:val="en-US" w:eastAsia="zh-CN" w:bidi="ar"/>
              </w:rPr>
              <w:t>3450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eastAsia="宋体" w:cs="Times New Roman"/>
                <w:color w:val="auto"/>
                <w:kern w:val="0"/>
                <w:sz w:val="24"/>
                <w:szCs w:val="24"/>
                <w:lang w:val="en-US" w:eastAsia="zh-CN" w:bidi="ar"/>
              </w:rPr>
              <w:t>，厂区初期雨水经</w:t>
            </w:r>
            <w:r>
              <w:rPr>
                <w:rFonts w:hint="eastAsia" w:cs="Times New Roman"/>
                <w:color w:val="auto"/>
                <w:kern w:val="0"/>
                <w:sz w:val="24"/>
                <w:szCs w:val="24"/>
                <w:lang w:val="en-US" w:eastAsia="zh-CN" w:bidi="ar"/>
              </w:rPr>
              <w:t>收集后排入固镇经济开发区污水处理厂</w:t>
            </w:r>
            <w:r>
              <w:rPr>
                <w:rFonts w:hint="eastAsia"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b w:val="0"/>
                <w:bCs w:val="0"/>
                <w:color w:val="FF0000"/>
                <w:sz w:val="24"/>
                <w:shd w:val="clear" w:color="auto" w:fill="auto"/>
                <w:vertAlign w:val="baseline"/>
                <w:lang w:val="en-US" w:eastAsia="zh-CN"/>
              </w:rPr>
              <w:t xml:space="preserve"> </w:t>
            </w:r>
            <w:r>
              <w:rPr>
                <w:rFonts w:hint="eastAsia" w:cs="Times New Roman"/>
                <w:b w:val="0"/>
                <w:bCs w:val="0"/>
                <w:color w:val="FF0000"/>
                <w:sz w:val="24"/>
                <w:shd w:val="clear" w:color="auto" w:fill="auto"/>
                <w:vertAlign w:val="baseline"/>
                <w:lang w:val="en-US" w:eastAsia="zh-CN"/>
              </w:rPr>
              <w:t xml:space="preserve"> </w:t>
            </w:r>
          </w:p>
          <w:p w14:paraId="399F4F4E">
            <w:pPr>
              <w:spacing w:line="240" w:lineRule="auto"/>
              <w:ind w:firstLine="78" w:firstLineChars="37"/>
              <w:jc w:val="center"/>
              <w:rPr>
                <w:b/>
                <w:bCs/>
                <w:color w:val="auto"/>
                <w:sz w:val="21"/>
                <w:szCs w:val="21"/>
              </w:rPr>
            </w:pPr>
            <w:r>
              <w:rPr>
                <w:b/>
                <w:bCs/>
                <w:color w:val="auto"/>
                <w:sz w:val="21"/>
                <w:szCs w:val="21"/>
              </w:rPr>
              <w:t>表</w:t>
            </w:r>
            <w:r>
              <w:rPr>
                <w:rFonts w:hint="eastAsia"/>
                <w:b/>
                <w:bCs/>
                <w:color w:val="auto"/>
                <w:sz w:val="21"/>
                <w:szCs w:val="21"/>
                <w:lang w:val="en-US" w:eastAsia="zh-CN"/>
              </w:rPr>
              <w:t>4</w:t>
            </w:r>
            <w:r>
              <w:rPr>
                <w:b/>
                <w:bCs/>
                <w:color w:val="auto"/>
                <w:sz w:val="21"/>
                <w:szCs w:val="21"/>
              </w:rPr>
              <w:t>-</w:t>
            </w:r>
            <w:r>
              <w:rPr>
                <w:rFonts w:hint="eastAsia"/>
                <w:b/>
                <w:bCs/>
                <w:color w:val="auto"/>
                <w:sz w:val="21"/>
                <w:szCs w:val="21"/>
                <w:lang w:val="en-US" w:eastAsia="zh-CN"/>
              </w:rPr>
              <w:t xml:space="preserve">9 </w:t>
            </w:r>
            <w:r>
              <w:rPr>
                <w:b/>
                <w:bCs/>
                <w:color w:val="auto"/>
                <w:sz w:val="21"/>
                <w:szCs w:val="21"/>
              </w:rPr>
              <w:t>项目用</w:t>
            </w:r>
            <w:r>
              <w:rPr>
                <w:rFonts w:hint="eastAsia"/>
                <w:b/>
                <w:bCs/>
                <w:color w:val="auto"/>
                <w:sz w:val="21"/>
                <w:szCs w:val="21"/>
                <w:lang w:eastAsia="zh-CN"/>
              </w:rPr>
              <w:t>水</w:t>
            </w:r>
            <w:r>
              <w:rPr>
                <w:b/>
                <w:bCs/>
                <w:color w:val="auto"/>
                <w:sz w:val="21"/>
                <w:szCs w:val="21"/>
              </w:rPr>
              <w:t>及排水量</w:t>
            </w:r>
            <w:r>
              <w:rPr>
                <w:rFonts w:hint="eastAsia"/>
                <w:b/>
                <w:bCs/>
                <w:color w:val="auto"/>
                <w:sz w:val="21"/>
                <w:szCs w:val="21"/>
                <w:lang w:eastAsia="zh-CN"/>
              </w:rPr>
              <w:t>一览</w:t>
            </w:r>
            <w:r>
              <w:rPr>
                <w:b/>
                <w:bCs/>
                <w:color w:val="auto"/>
                <w:sz w:val="21"/>
                <w:szCs w:val="21"/>
              </w:rPr>
              <w:t>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163"/>
              <w:gridCol w:w="1745"/>
              <w:gridCol w:w="974"/>
              <w:gridCol w:w="941"/>
              <w:gridCol w:w="1527"/>
              <w:gridCol w:w="948"/>
              <w:gridCol w:w="1017"/>
            </w:tblGrid>
            <w:tr w14:paraId="6D48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79" w:type="pct"/>
                  <w:vMerge w:val="restart"/>
                  <w:noWrap w:val="0"/>
                  <w:vAlign w:val="center"/>
                </w:tcPr>
                <w:p w14:paraId="0B778404">
                  <w:pPr>
                    <w:spacing w:line="240" w:lineRule="auto"/>
                    <w:jc w:val="center"/>
                    <w:rPr>
                      <w:color w:val="auto"/>
                      <w:sz w:val="21"/>
                      <w:szCs w:val="21"/>
                    </w:rPr>
                  </w:pPr>
                  <w:r>
                    <w:rPr>
                      <w:color w:val="auto"/>
                      <w:sz w:val="21"/>
                      <w:szCs w:val="21"/>
                    </w:rPr>
                    <w:t>序号</w:t>
                  </w:r>
                </w:p>
              </w:tc>
              <w:tc>
                <w:tcPr>
                  <w:tcW w:w="660" w:type="pct"/>
                  <w:vMerge w:val="restart"/>
                  <w:noWrap w:val="0"/>
                  <w:vAlign w:val="center"/>
                </w:tcPr>
                <w:p w14:paraId="7A73DCC7">
                  <w:pPr>
                    <w:spacing w:line="240" w:lineRule="auto"/>
                    <w:jc w:val="center"/>
                    <w:rPr>
                      <w:color w:val="auto"/>
                      <w:sz w:val="21"/>
                      <w:szCs w:val="21"/>
                    </w:rPr>
                  </w:pPr>
                  <w:r>
                    <w:rPr>
                      <w:color w:val="auto"/>
                      <w:sz w:val="21"/>
                      <w:szCs w:val="21"/>
                    </w:rPr>
                    <w:t>名称</w:t>
                  </w:r>
                </w:p>
              </w:tc>
              <w:tc>
                <w:tcPr>
                  <w:tcW w:w="2077" w:type="pct"/>
                  <w:gridSpan w:val="3"/>
                  <w:noWrap w:val="0"/>
                  <w:vAlign w:val="center"/>
                </w:tcPr>
                <w:p w14:paraId="22149ABF">
                  <w:pPr>
                    <w:spacing w:line="240" w:lineRule="auto"/>
                    <w:jc w:val="center"/>
                    <w:rPr>
                      <w:color w:val="auto"/>
                      <w:sz w:val="21"/>
                      <w:szCs w:val="21"/>
                    </w:rPr>
                  </w:pPr>
                  <w:r>
                    <w:rPr>
                      <w:color w:val="auto"/>
                      <w:sz w:val="21"/>
                      <w:szCs w:val="21"/>
                    </w:rPr>
                    <w:t>用水量（t）</w:t>
                  </w:r>
                </w:p>
              </w:tc>
              <w:tc>
                <w:tcPr>
                  <w:tcW w:w="1982" w:type="pct"/>
                  <w:gridSpan w:val="3"/>
                  <w:noWrap w:val="0"/>
                  <w:vAlign w:val="center"/>
                </w:tcPr>
                <w:p w14:paraId="2C4B657C">
                  <w:pPr>
                    <w:spacing w:line="240" w:lineRule="auto"/>
                    <w:jc w:val="center"/>
                    <w:rPr>
                      <w:color w:val="auto"/>
                      <w:sz w:val="21"/>
                      <w:szCs w:val="21"/>
                    </w:rPr>
                  </w:pPr>
                  <w:r>
                    <w:rPr>
                      <w:color w:val="auto"/>
                      <w:sz w:val="21"/>
                      <w:szCs w:val="21"/>
                    </w:rPr>
                    <w:t>排水量（t）</w:t>
                  </w:r>
                </w:p>
              </w:tc>
            </w:tr>
            <w:tr w14:paraId="1F43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279" w:type="pct"/>
                  <w:vMerge w:val="continue"/>
                  <w:noWrap w:val="0"/>
                  <w:vAlign w:val="center"/>
                </w:tcPr>
                <w:p w14:paraId="339C53A4">
                  <w:pPr>
                    <w:spacing w:line="240" w:lineRule="auto"/>
                    <w:jc w:val="center"/>
                    <w:rPr>
                      <w:sz w:val="21"/>
                      <w:szCs w:val="21"/>
                    </w:rPr>
                  </w:pPr>
                </w:p>
              </w:tc>
              <w:tc>
                <w:tcPr>
                  <w:tcW w:w="660" w:type="pct"/>
                  <w:vMerge w:val="continue"/>
                  <w:noWrap w:val="0"/>
                  <w:vAlign w:val="center"/>
                </w:tcPr>
                <w:p w14:paraId="66BF8196">
                  <w:pPr>
                    <w:spacing w:line="240" w:lineRule="auto"/>
                    <w:jc w:val="center"/>
                    <w:rPr>
                      <w:sz w:val="21"/>
                      <w:szCs w:val="21"/>
                    </w:rPr>
                  </w:pPr>
                </w:p>
              </w:tc>
              <w:tc>
                <w:tcPr>
                  <w:tcW w:w="1543" w:type="pct"/>
                  <w:gridSpan w:val="2"/>
                  <w:noWrap w:val="0"/>
                  <w:vAlign w:val="center"/>
                </w:tcPr>
                <w:p w14:paraId="264898B0">
                  <w:pPr>
                    <w:spacing w:line="240" w:lineRule="auto"/>
                    <w:jc w:val="center"/>
                    <w:rPr>
                      <w:sz w:val="21"/>
                      <w:szCs w:val="21"/>
                    </w:rPr>
                  </w:pPr>
                  <w:r>
                    <w:rPr>
                      <w:sz w:val="21"/>
                      <w:szCs w:val="21"/>
                    </w:rPr>
                    <w:t>日用水</w:t>
                  </w:r>
                </w:p>
              </w:tc>
              <w:tc>
                <w:tcPr>
                  <w:tcW w:w="534" w:type="pct"/>
                  <w:noWrap w:val="0"/>
                  <w:vAlign w:val="center"/>
                </w:tcPr>
                <w:p w14:paraId="269BF9C4">
                  <w:pPr>
                    <w:spacing w:line="240" w:lineRule="auto"/>
                    <w:jc w:val="center"/>
                    <w:rPr>
                      <w:sz w:val="21"/>
                      <w:szCs w:val="21"/>
                    </w:rPr>
                  </w:pPr>
                  <w:r>
                    <w:rPr>
                      <w:sz w:val="21"/>
                      <w:szCs w:val="21"/>
                    </w:rPr>
                    <w:t>年用水</w:t>
                  </w:r>
                </w:p>
              </w:tc>
              <w:tc>
                <w:tcPr>
                  <w:tcW w:w="1405" w:type="pct"/>
                  <w:gridSpan w:val="2"/>
                  <w:noWrap w:val="0"/>
                  <w:vAlign w:val="center"/>
                </w:tcPr>
                <w:p w14:paraId="68C0C8C0">
                  <w:pPr>
                    <w:spacing w:line="240" w:lineRule="auto"/>
                    <w:jc w:val="center"/>
                    <w:rPr>
                      <w:sz w:val="21"/>
                      <w:szCs w:val="21"/>
                    </w:rPr>
                  </w:pPr>
                  <w:r>
                    <w:rPr>
                      <w:sz w:val="21"/>
                      <w:szCs w:val="21"/>
                    </w:rPr>
                    <w:t>日排水</w:t>
                  </w:r>
                </w:p>
              </w:tc>
              <w:tc>
                <w:tcPr>
                  <w:tcW w:w="577" w:type="pct"/>
                  <w:noWrap w:val="0"/>
                  <w:vAlign w:val="center"/>
                </w:tcPr>
                <w:p w14:paraId="4B4ECD67">
                  <w:pPr>
                    <w:spacing w:line="240" w:lineRule="auto"/>
                    <w:jc w:val="center"/>
                    <w:rPr>
                      <w:sz w:val="21"/>
                      <w:szCs w:val="21"/>
                    </w:rPr>
                  </w:pPr>
                  <w:r>
                    <w:rPr>
                      <w:sz w:val="21"/>
                      <w:szCs w:val="21"/>
                    </w:rPr>
                    <w:t>年排水</w:t>
                  </w:r>
                </w:p>
              </w:tc>
            </w:tr>
            <w:tr w14:paraId="5138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496CEC21">
                  <w:pPr>
                    <w:spacing w:line="240" w:lineRule="auto"/>
                    <w:jc w:val="center"/>
                    <w:rPr>
                      <w:sz w:val="21"/>
                      <w:szCs w:val="21"/>
                    </w:rPr>
                  </w:pPr>
                  <w:r>
                    <w:rPr>
                      <w:sz w:val="21"/>
                      <w:szCs w:val="21"/>
                    </w:rPr>
                    <w:t>1</w:t>
                  </w:r>
                </w:p>
              </w:tc>
              <w:tc>
                <w:tcPr>
                  <w:tcW w:w="660" w:type="pct"/>
                  <w:noWrap w:val="0"/>
                  <w:vAlign w:val="center"/>
                </w:tcPr>
                <w:p w14:paraId="41EEDD2C">
                  <w:pPr>
                    <w:spacing w:line="240" w:lineRule="auto"/>
                    <w:jc w:val="center"/>
                    <w:rPr>
                      <w:rFonts w:hint="eastAsia" w:eastAsia="宋体"/>
                      <w:sz w:val="21"/>
                      <w:szCs w:val="21"/>
                      <w:lang w:eastAsia="zh-CN"/>
                    </w:rPr>
                  </w:pPr>
                  <w:r>
                    <w:rPr>
                      <w:sz w:val="21"/>
                      <w:szCs w:val="21"/>
                    </w:rPr>
                    <w:t>生活</w:t>
                  </w:r>
                  <w:r>
                    <w:rPr>
                      <w:rFonts w:hint="eastAsia"/>
                      <w:sz w:val="21"/>
                      <w:szCs w:val="21"/>
                      <w:lang w:eastAsia="zh-CN"/>
                    </w:rPr>
                    <w:t>污水</w:t>
                  </w:r>
                </w:p>
              </w:tc>
              <w:tc>
                <w:tcPr>
                  <w:tcW w:w="2719" w:type="dxa"/>
                  <w:gridSpan w:val="2"/>
                  <w:noWrap w:val="0"/>
                  <w:vAlign w:val="center"/>
                </w:tcPr>
                <w:p w14:paraId="365BD80E">
                  <w:pPr>
                    <w:spacing w:line="240" w:lineRule="auto"/>
                    <w:jc w:val="center"/>
                    <w:rPr>
                      <w:rFonts w:hint="default" w:eastAsia="宋体"/>
                      <w:sz w:val="21"/>
                      <w:szCs w:val="21"/>
                      <w:lang w:val="en-US" w:eastAsia="zh-CN"/>
                    </w:rPr>
                  </w:pPr>
                  <w:r>
                    <w:rPr>
                      <w:rFonts w:hint="eastAsia"/>
                      <w:sz w:val="21"/>
                      <w:szCs w:val="21"/>
                      <w:lang w:val="en-US" w:eastAsia="zh-CN"/>
                    </w:rPr>
                    <w:t>14.4</w:t>
                  </w:r>
                </w:p>
              </w:tc>
              <w:tc>
                <w:tcPr>
                  <w:tcW w:w="941" w:type="dxa"/>
                  <w:noWrap w:val="0"/>
                  <w:vAlign w:val="center"/>
                </w:tcPr>
                <w:p w14:paraId="086C72D4">
                  <w:pPr>
                    <w:spacing w:line="240" w:lineRule="auto"/>
                    <w:jc w:val="center"/>
                    <w:rPr>
                      <w:rFonts w:hint="default" w:eastAsia="宋体"/>
                      <w:sz w:val="21"/>
                      <w:szCs w:val="21"/>
                      <w:lang w:val="en-US" w:eastAsia="zh-CN"/>
                    </w:rPr>
                  </w:pPr>
                  <w:r>
                    <w:rPr>
                      <w:rFonts w:hint="eastAsia"/>
                      <w:sz w:val="21"/>
                      <w:szCs w:val="21"/>
                      <w:lang w:val="en-US" w:eastAsia="zh-CN"/>
                    </w:rPr>
                    <w:t>4320</w:t>
                  </w:r>
                </w:p>
              </w:tc>
              <w:tc>
                <w:tcPr>
                  <w:tcW w:w="1405" w:type="pct"/>
                  <w:gridSpan w:val="2"/>
                  <w:noWrap w:val="0"/>
                  <w:vAlign w:val="center"/>
                </w:tcPr>
                <w:p w14:paraId="774BDC43">
                  <w:pPr>
                    <w:spacing w:line="240" w:lineRule="auto"/>
                    <w:jc w:val="center"/>
                    <w:rPr>
                      <w:rFonts w:hint="default" w:eastAsia="宋体"/>
                      <w:sz w:val="21"/>
                      <w:szCs w:val="21"/>
                      <w:lang w:val="en-US" w:eastAsia="zh-CN"/>
                    </w:rPr>
                  </w:pPr>
                  <w:r>
                    <w:rPr>
                      <w:rFonts w:hint="eastAsia"/>
                      <w:sz w:val="21"/>
                      <w:szCs w:val="21"/>
                      <w:lang w:val="en-US" w:eastAsia="zh-CN"/>
                    </w:rPr>
                    <w:t>11.52</w:t>
                  </w:r>
                </w:p>
              </w:tc>
              <w:tc>
                <w:tcPr>
                  <w:tcW w:w="577" w:type="pct"/>
                  <w:noWrap w:val="0"/>
                  <w:vAlign w:val="center"/>
                </w:tcPr>
                <w:p w14:paraId="23CA9562">
                  <w:pPr>
                    <w:spacing w:line="240" w:lineRule="auto"/>
                    <w:jc w:val="center"/>
                    <w:rPr>
                      <w:rFonts w:hint="default" w:eastAsia="宋体"/>
                      <w:sz w:val="21"/>
                      <w:szCs w:val="21"/>
                      <w:lang w:val="en-US" w:eastAsia="zh-CN"/>
                    </w:rPr>
                  </w:pPr>
                  <w:r>
                    <w:rPr>
                      <w:rFonts w:hint="eastAsia"/>
                      <w:sz w:val="21"/>
                      <w:szCs w:val="21"/>
                      <w:lang w:val="en-US" w:eastAsia="zh-CN"/>
                    </w:rPr>
                    <w:t>3456</w:t>
                  </w:r>
                </w:p>
              </w:tc>
            </w:tr>
            <w:tr w14:paraId="38DB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29F0236">
                  <w:pPr>
                    <w:spacing w:line="240" w:lineRule="auto"/>
                    <w:jc w:val="center"/>
                    <w:rPr>
                      <w:sz w:val="21"/>
                      <w:szCs w:val="21"/>
                    </w:rPr>
                  </w:pPr>
                  <w:r>
                    <w:rPr>
                      <w:rFonts w:hint="eastAsia"/>
                      <w:sz w:val="21"/>
                      <w:szCs w:val="21"/>
                      <w:lang w:val="en-US" w:eastAsia="zh-CN"/>
                    </w:rPr>
                    <w:t>2</w:t>
                  </w:r>
                </w:p>
              </w:tc>
              <w:tc>
                <w:tcPr>
                  <w:tcW w:w="660" w:type="pct"/>
                  <w:vMerge w:val="restart"/>
                  <w:noWrap w:val="0"/>
                  <w:vAlign w:val="center"/>
                </w:tcPr>
                <w:p w14:paraId="68D8A80A">
                  <w:pPr>
                    <w:spacing w:line="240" w:lineRule="auto"/>
                    <w:jc w:val="center"/>
                    <w:rPr>
                      <w:rFonts w:hint="eastAsia"/>
                      <w:sz w:val="21"/>
                      <w:szCs w:val="21"/>
                      <w:lang w:eastAsia="zh-CN"/>
                    </w:rPr>
                  </w:pPr>
                  <w:r>
                    <w:rPr>
                      <w:rFonts w:hint="eastAsia"/>
                      <w:sz w:val="21"/>
                      <w:szCs w:val="21"/>
                      <w:lang w:eastAsia="zh-CN"/>
                    </w:rPr>
                    <w:t>纯水制备用水</w:t>
                  </w:r>
                </w:p>
              </w:tc>
              <w:tc>
                <w:tcPr>
                  <w:tcW w:w="2719" w:type="dxa"/>
                  <w:gridSpan w:val="2"/>
                  <w:noWrap w:val="0"/>
                  <w:vAlign w:val="center"/>
                </w:tcPr>
                <w:p w14:paraId="5D3B75F1">
                  <w:pPr>
                    <w:spacing w:line="240" w:lineRule="auto"/>
                    <w:jc w:val="center"/>
                    <w:rPr>
                      <w:rFonts w:hint="default"/>
                      <w:sz w:val="21"/>
                      <w:szCs w:val="21"/>
                      <w:lang w:val="en-US" w:eastAsia="zh-CN"/>
                    </w:rPr>
                  </w:pPr>
                  <w:r>
                    <w:rPr>
                      <w:rFonts w:hint="eastAsia"/>
                      <w:color w:val="auto"/>
                      <w:sz w:val="21"/>
                      <w:szCs w:val="21"/>
                      <w:lang w:val="en-US" w:eastAsia="zh-CN"/>
                    </w:rPr>
                    <w:t>971.813</w:t>
                  </w:r>
                </w:p>
              </w:tc>
              <w:tc>
                <w:tcPr>
                  <w:tcW w:w="941" w:type="dxa"/>
                  <w:noWrap w:val="0"/>
                  <w:vAlign w:val="center"/>
                </w:tcPr>
                <w:p w14:paraId="0687A1BE">
                  <w:pPr>
                    <w:spacing w:line="240" w:lineRule="auto"/>
                    <w:jc w:val="center"/>
                    <w:rPr>
                      <w:rFonts w:hint="default" w:eastAsia="宋体"/>
                      <w:sz w:val="21"/>
                      <w:szCs w:val="21"/>
                      <w:lang w:val="en-US" w:eastAsia="zh-CN"/>
                    </w:rPr>
                  </w:pPr>
                  <w:r>
                    <w:rPr>
                      <w:rFonts w:hint="eastAsia"/>
                      <w:color w:val="auto"/>
                      <w:sz w:val="21"/>
                      <w:szCs w:val="21"/>
                      <w:lang w:val="en-US" w:eastAsia="zh-CN"/>
                    </w:rPr>
                    <w:t>291544</w:t>
                  </w:r>
                </w:p>
              </w:tc>
              <w:tc>
                <w:tcPr>
                  <w:tcW w:w="1527" w:type="dxa"/>
                  <w:noWrap w:val="0"/>
                  <w:vAlign w:val="center"/>
                </w:tcPr>
                <w:p w14:paraId="666E5A27">
                  <w:pPr>
                    <w:spacing w:line="240" w:lineRule="auto"/>
                    <w:jc w:val="center"/>
                    <w:rPr>
                      <w:rFonts w:hint="default" w:eastAsia="宋体"/>
                      <w:sz w:val="21"/>
                      <w:szCs w:val="21"/>
                      <w:lang w:val="en-US" w:eastAsia="zh-CN"/>
                    </w:rPr>
                  </w:pPr>
                  <w:r>
                    <w:rPr>
                      <w:rFonts w:hint="eastAsia"/>
                      <w:sz w:val="21"/>
                      <w:szCs w:val="21"/>
                      <w:lang w:val="en-US" w:eastAsia="zh-CN"/>
                    </w:rPr>
                    <w:t>纯水制备浓水</w:t>
                  </w:r>
                </w:p>
              </w:tc>
              <w:tc>
                <w:tcPr>
                  <w:tcW w:w="948" w:type="dxa"/>
                  <w:noWrap w:val="0"/>
                  <w:vAlign w:val="center"/>
                </w:tcPr>
                <w:p w14:paraId="4DC16BB3">
                  <w:pPr>
                    <w:spacing w:line="240" w:lineRule="auto"/>
                    <w:jc w:val="center"/>
                    <w:rPr>
                      <w:rFonts w:hint="default"/>
                      <w:sz w:val="21"/>
                      <w:szCs w:val="21"/>
                      <w:lang w:val="en-US" w:eastAsia="zh-CN"/>
                    </w:rPr>
                  </w:pPr>
                  <w:r>
                    <w:rPr>
                      <w:rFonts w:hint="eastAsia"/>
                      <w:color w:val="auto"/>
                      <w:sz w:val="21"/>
                      <w:szCs w:val="21"/>
                      <w:lang w:val="en-US" w:eastAsia="zh-CN"/>
                    </w:rPr>
                    <w:t>242.953</w:t>
                  </w:r>
                </w:p>
              </w:tc>
              <w:tc>
                <w:tcPr>
                  <w:tcW w:w="1017" w:type="dxa"/>
                  <w:noWrap w:val="0"/>
                  <w:vAlign w:val="center"/>
                </w:tcPr>
                <w:p w14:paraId="5C4EBD85">
                  <w:pPr>
                    <w:spacing w:line="240" w:lineRule="auto"/>
                    <w:jc w:val="center"/>
                    <w:rPr>
                      <w:rFonts w:hint="default" w:eastAsia="宋体"/>
                      <w:sz w:val="21"/>
                      <w:szCs w:val="21"/>
                      <w:lang w:val="en-US" w:eastAsia="zh-CN"/>
                    </w:rPr>
                  </w:pPr>
                  <w:r>
                    <w:rPr>
                      <w:rFonts w:hint="eastAsia"/>
                      <w:color w:val="auto"/>
                      <w:sz w:val="21"/>
                      <w:szCs w:val="21"/>
                      <w:lang w:val="en-US" w:eastAsia="zh-CN"/>
                    </w:rPr>
                    <w:t>72886</w:t>
                  </w:r>
                </w:p>
              </w:tc>
            </w:tr>
            <w:tr w14:paraId="3E0F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4BC0B726">
                  <w:pPr>
                    <w:spacing w:line="240" w:lineRule="auto"/>
                    <w:jc w:val="center"/>
                    <w:rPr>
                      <w:rFonts w:hint="eastAsia" w:eastAsia="宋体"/>
                      <w:sz w:val="21"/>
                      <w:szCs w:val="21"/>
                      <w:lang w:val="en-US" w:eastAsia="zh-CN"/>
                    </w:rPr>
                  </w:pPr>
                  <w:r>
                    <w:rPr>
                      <w:rFonts w:hint="eastAsia"/>
                      <w:lang w:val="en-US" w:eastAsia="zh-CN"/>
                    </w:rPr>
                    <w:t>3</w:t>
                  </w:r>
                </w:p>
              </w:tc>
              <w:tc>
                <w:tcPr>
                  <w:tcW w:w="660" w:type="pct"/>
                  <w:vMerge w:val="continue"/>
                  <w:noWrap w:val="0"/>
                  <w:vAlign w:val="center"/>
                </w:tcPr>
                <w:p w14:paraId="0009184F">
                  <w:pPr>
                    <w:spacing w:line="240" w:lineRule="auto"/>
                    <w:jc w:val="center"/>
                    <w:rPr>
                      <w:rFonts w:hint="eastAsia"/>
                      <w:sz w:val="21"/>
                      <w:szCs w:val="21"/>
                      <w:lang w:eastAsia="zh-CN"/>
                    </w:rPr>
                  </w:pPr>
                </w:p>
              </w:tc>
              <w:tc>
                <w:tcPr>
                  <w:tcW w:w="1745" w:type="dxa"/>
                  <w:noWrap w:val="0"/>
                  <w:vAlign w:val="center"/>
                </w:tcPr>
                <w:p w14:paraId="2026BCD8">
                  <w:pPr>
                    <w:spacing w:line="240" w:lineRule="auto"/>
                    <w:jc w:val="center"/>
                    <w:rPr>
                      <w:rFonts w:hint="default"/>
                      <w:sz w:val="21"/>
                      <w:szCs w:val="21"/>
                      <w:lang w:val="en-US" w:eastAsia="zh-CN"/>
                    </w:rPr>
                  </w:pPr>
                  <w:r>
                    <w:rPr>
                      <w:rFonts w:hint="eastAsia"/>
                      <w:color w:val="auto"/>
                      <w:sz w:val="21"/>
                      <w:szCs w:val="21"/>
                      <w:lang w:val="en-US" w:eastAsia="zh-CN"/>
                    </w:rPr>
                    <w:t>制水蒸气用纯水</w:t>
                  </w:r>
                </w:p>
              </w:tc>
              <w:tc>
                <w:tcPr>
                  <w:tcW w:w="974" w:type="dxa"/>
                  <w:noWrap w:val="0"/>
                  <w:vAlign w:val="center"/>
                </w:tcPr>
                <w:p w14:paraId="0FEA3F21">
                  <w:pPr>
                    <w:spacing w:line="240" w:lineRule="auto"/>
                    <w:jc w:val="center"/>
                    <w:rPr>
                      <w:rFonts w:hint="eastAsia"/>
                      <w:sz w:val="21"/>
                      <w:szCs w:val="21"/>
                      <w:lang w:val="en-US" w:eastAsia="zh-CN"/>
                    </w:rPr>
                  </w:pPr>
                  <w:r>
                    <w:rPr>
                      <w:rFonts w:hint="eastAsia"/>
                      <w:color w:val="auto"/>
                      <w:sz w:val="21"/>
                      <w:szCs w:val="21"/>
                      <w:lang w:val="en-US" w:eastAsia="zh-CN"/>
                    </w:rPr>
                    <w:t>36</w:t>
                  </w:r>
                </w:p>
              </w:tc>
              <w:tc>
                <w:tcPr>
                  <w:tcW w:w="941" w:type="dxa"/>
                  <w:noWrap w:val="0"/>
                  <w:vAlign w:val="center"/>
                </w:tcPr>
                <w:p w14:paraId="276431CE">
                  <w:pPr>
                    <w:spacing w:line="240" w:lineRule="auto"/>
                    <w:jc w:val="center"/>
                    <w:rPr>
                      <w:rFonts w:hint="default"/>
                      <w:sz w:val="21"/>
                      <w:szCs w:val="21"/>
                      <w:lang w:val="en-US" w:eastAsia="zh-CN"/>
                    </w:rPr>
                  </w:pPr>
                  <w:r>
                    <w:rPr>
                      <w:rFonts w:hint="eastAsia"/>
                      <w:color w:val="auto"/>
                      <w:sz w:val="21"/>
                      <w:szCs w:val="21"/>
                      <w:lang w:val="en-US" w:eastAsia="zh-CN"/>
                    </w:rPr>
                    <w:t>10800</w:t>
                  </w:r>
                </w:p>
              </w:tc>
              <w:tc>
                <w:tcPr>
                  <w:tcW w:w="1527" w:type="dxa"/>
                  <w:noWrap w:val="0"/>
                  <w:vAlign w:val="center"/>
                </w:tcPr>
                <w:p w14:paraId="566D5C94">
                  <w:pPr>
                    <w:spacing w:line="240" w:lineRule="auto"/>
                    <w:jc w:val="center"/>
                    <w:rPr>
                      <w:rFonts w:hint="default"/>
                      <w:sz w:val="21"/>
                      <w:szCs w:val="21"/>
                      <w:lang w:val="en-US" w:eastAsia="zh-CN"/>
                    </w:rPr>
                  </w:pPr>
                  <w:r>
                    <w:rPr>
                      <w:rFonts w:hint="eastAsia"/>
                      <w:sz w:val="21"/>
                      <w:szCs w:val="21"/>
                      <w:lang w:val="en-US" w:eastAsia="zh-CN"/>
                    </w:rPr>
                    <w:t>制水蒸气废水</w:t>
                  </w:r>
                </w:p>
              </w:tc>
              <w:tc>
                <w:tcPr>
                  <w:tcW w:w="948" w:type="dxa"/>
                  <w:noWrap w:val="0"/>
                  <w:vAlign w:val="center"/>
                </w:tcPr>
                <w:p w14:paraId="50BCE990">
                  <w:pPr>
                    <w:spacing w:line="240" w:lineRule="auto"/>
                    <w:jc w:val="center"/>
                    <w:rPr>
                      <w:rFonts w:hint="default"/>
                      <w:sz w:val="21"/>
                      <w:szCs w:val="21"/>
                      <w:lang w:val="en-US" w:eastAsia="zh-CN"/>
                    </w:rPr>
                  </w:pPr>
                  <w:r>
                    <w:rPr>
                      <w:rFonts w:hint="eastAsia"/>
                      <w:sz w:val="21"/>
                      <w:szCs w:val="21"/>
                      <w:lang w:val="en-US" w:eastAsia="zh-CN"/>
                    </w:rPr>
                    <w:t>/</w:t>
                  </w:r>
                </w:p>
              </w:tc>
              <w:tc>
                <w:tcPr>
                  <w:tcW w:w="1017" w:type="dxa"/>
                  <w:noWrap w:val="0"/>
                  <w:vAlign w:val="center"/>
                </w:tcPr>
                <w:p w14:paraId="40064C87">
                  <w:pPr>
                    <w:spacing w:line="240" w:lineRule="auto"/>
                    <w:jc w:val="center"/>
                    <w:rPr>
                      <w:rFonts w:hint="default"/>
                      <w:sz w:val="21"/>
                      <w:szCs w:val="21"/>
                      <w:lang w:val="en-US" w:eastAsia="zh-CN"/>
                    </w:rPr>
                  </w:pPr>
                  <w:r>
                    <w:rPr>
                      <w:rFonts w:hint="eastAsia"/>
                      <w:sz w:val="21"/>
                      <w:szCs w:val="21"/>
                      <w:lang w:val="en-US" w:eastAsia="zh-CN"/>
                    </w:rPr>
                    <w:t>/</w:t>
                  </w:r>
                </w:p>
              </w:tc>
            </w:tr>
            <w:tr w14:paraId="4A70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E16D0D0">
                  <w:pPr>
                    <w:spacing w:line="240" w:lineRule="auto"/>
                    <w:jc w:val="center"/>
                    <w:rPr>
                      <w:rFonts w:hint="default"/>
                      <w:sz w:val="21"/>
                      <w:szCs w:val="21"/>
                      <w:lang w:val="en-US" w:eastAsia="zh-CN"/>
                    </w:rPr>
                  </w:pPr>
                  <w:r>
                    <w:rPr>
                      <w:rFonts w:hint="eastAsia"/>
                      <w:sz w:val="21"/>
                      <w:szCs w:val="21"/>
                      <w:lang w:val="en-US" w:eastAsia="zh-CN"/>
                    </w:rPr>
                    <w:t>4</w:t>
                  </w:r>
                </w:p>
              </w:tc>
              <w:tc>
                <w:tcPr>
                  <w:tcW w:w="660" w:type="pct"/>
                  <w:vMerge w:val="continue"/>
                  <w:noWrap w:val="0"/>
                  <w:vAlign w:val="center"/>
                </w:tcPr>
                <w:p w14:paraId="5F0B6203">
                  <w:pPr>
                    <w:spacing w:line="240" w:lineRule="auto"/>
                    <w:jc w:val="center"/>
                    <w:rPr>
                      <w:rFonts w:hint="eastAsia"/>
                      <w:sz w:val="21"/>
                      <w:szCs w:val="21"/>
                      <w:lang w:eastAsia="zh-CN"/>
                    </w:rPr>
                  </w:pPr>
                </w:p>
              </w:tc>
              <w:tc>
                <w:tcPr>
                  <w:tcW w:w="1745" w:type="dxa"/>
                  <w:noWrap w:val="0"/>
                  <w:vAlign w:val="center"/>
                </w:tcPr>
                <w:p w14:paraId="699157BF">
                  <w:pPr>
                    <w:spacing w:line="240" w:lineRule="auto"/>
                    <w:jc w:val="center"/>
                    <w:rPr>
                      <w:rFonts w:hint="default"/>
                      <w:sz w:val="21"/>
                      <w:szCs w:val="21"/>
                      <w:lang w:val="en-US" w:eastAsia="zh-CN"/>
                    </w:rPr>
                  </w:pPr>
                  <w:r>
                    <w:rPr>
                      <w:rFonts w:hint="eastAsia"/>
                      <w:color w:val="auto"/>
                      <w:sz w:val="21"/>
                      <w:szCs w:val="21"/>
                      <w:lang w:val="en-US" w:eastAsia="zh-CN"/>
                    </w:rPr>
                    <w:t>一次酸洗用纯水</w:t>
                  </w:r>
                </w:p>
              </w:tc>
              <w:tc>
                <w:tcPr>
                  <w:tcW w:w="974" w:type="dxa"/>
                  <w:noWrap w:val="0"/>
                  <w:vAlign w:val="center"/>
                </w:tcPr>
                <w:p w14:paraId="6B412BCB">
                  <w:pPr>
                    <w:spacing w:line="240" w:lineRule="auto"/>
                    <w:jc w:val="center"/>
                    <w:rPr>
                      <w:rFonts w:hint="default"/>
                      <w:sz w:val="21"/>
                      <w:szCs w:val="21"/>
                      <w:lang w:val="en-US" w:eastAsia="zh-CN"/>
                    </w:rPr>
                  </w:pPr>
                  <w:r>
                    <w:rPr>
                      <w:rFonts w:hint="eastAsia"/>
                      <w:color w:val="auto"/>
                      <w:sz w:val="21"/>
                      <w:szCs w:val="21"/>
                      <w:lang w:val="en-US" w:eastAsia="zh-CN"/>
                    </w:rPr>
                    <w:t>1.064</w:t>
                  </w:r>
                </w:p>
              </w:tc>
              <w:tc>
                <w:tcPr>
                  <w:tcW w:w="941" w:type="dxa"/>
                  <w:noWrap w:val="0"/>
                  <w:vAlign w:val="center"/>
                </w:tcPr>
                <w:p w14:paraId="7E563FF6">
                  <w:pPr>
                    <w:spacing w:line="240" w:lineRule="auto"/>
                    <w:jc w:val="center"/>
                    <w:rPr>
                      <w:rFonts w:hint="default"/>
                      <w:sz w:val="21"/>
                      <w:szCs w:val="21"/>
                      <w:lang w:val="en-US" w:eastAsia="zh-CN"/>
                    </w:rPr>
                  </w:pPr>
                  <w:r>
                    <w:rPr>
                      <w:rFonts w:hint="eastAsia"/>
                      <w:color w:val="auto"/>
                      <w:sz w:val="21"/>
                      <w:szCs w:val="21"/>
                      <w:lang w:val="en-US" w:eastAsia="zh-CN"/>
                    </w:rPr>
                    <w:t>319.2</w:t>
                  </w:r>
                </w:p>
              </w:tc>
              <w:tc>
                <w:tcPr>
                  <w:tcW w:w="1527" w:type="dxa"/>
                  <w:noWrap w:val="0"/>
                  <w:vAlign w:val="center"/>
                </w:tcPr>
                <w:p w14:paraId="4A00C335">
                  <w:pPr>
                    <w:spacing w:line="240" w:lineRule="auto"/>
                    <w:jc w:val="center"/>
                    <w:rPr>
                      <w:rFonts w:hint="default"/>
                      <w:sz w:val="21"/>
                      <w:szCs w:val="21"/>
                      <w:lang w:val="en-US" w:eastAsia="zh-CN"/>
                    </w:rPr>
                  </w:pPr>
                  <w:r>
                    <w:rPr>
                      <w:rFonts w:hint="eastAsia"/>
                      <w:sz w:val="21"/>
                      <w:szCs w:val="21"/>
                      <w:lang w:val="en-US" w:eastAsia="zh-CN"/>
                    </w:rPr>
                    <w:t>一次酸洗废水</w:t>
                  </w:r>
                </w:p>
              </w:tc>
              <w:tc>
                <w:tcPr>
                  <w:tcW w:w="948" w:type="dxa"/>
                  <w:noWrap w:val="0"/>
                  <w:vAlign w:val="center"/>
                </w:tcPr>
                <w:p w14:paraId="29AE4A4C">
                  <w:pPr>
                    <w:spacing w:line="240" w:lineRule="auto"/>
                    <w:jc w:val="center"/>
                    <w:rPr>
                      <w:rFonts w:hint="default"/>
                      <w:sz w:val="21"/>
                      <w:szCs w:val="21"/>
                      <w:lang w:val="en-US" w:eastAsia="zh-CN"/>
                    </w:rPr>
                  </w:pPr>
                  <w:r>
                    <w:rPr>
                      <w:rFonts w:hint="eastAsia"/>
                      <w:sz w:val="21"/>
                      <w:szCs w:val="21"/>
                      <w:lang w:val="en-US" w:eastAsia="zh-CN"/>
                    </w:rPr>
                    <w:t>/</w:t>
                  </w:r>
                </w:p>
              </w:tc>
              <w:tc>
                <w:tcPr>
                  <w:tcW w:w="1017" w:type="dxa"/>
                  <w:noWrap w:val="0"/>
                  <w:vAlign w:val="center"/>
                </w:tcPr>
                <w:p w14:paraId="20AB00DA">
                  <w:pPr>
                    <w:spacing w:line="240" w:lineRule="auto"/>
                    <w:jc w:val="center"/>
                    <w:rPr>
                      <w:rFonts w:hint="default"/>
                      <w:sz w:val="21"/>
                      <w:szCs w:val="21"/>
                      <w:lang w:val="en-US" w:eastAsia="zh-CN"/>
                    </w:rPr>
                  </w:pPr>
                  <w:r>
                    <w:rPr>
                      <w:rFonts w:hint="eastAsia"/>
                      <w:sz w:val="21"/>
                      <w:szCs w:val="21"/>
                      <w:lang w:val="en-US" w:eastAsia="zh-CN"/>
                    </w:rPr>
                    <w:t>/</w:t>
                  </w:r>
                </w:p>
              </w:tc>
            </w:tr>
            <w:tr w14:paraId="15CC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5A7A376F">
                  <w:pPr>
                    <w:spacing w:line="240" w:lineRule="auto"/>
                    <w:jc w:val="center"/>
                    <w:rPr>
                      <w:rFonts w:hint="default"/>
                      <w:sz w:val="21"/>
                      <w:szCs w:val="21"/>
                      <w:lang w:val="en-US" w:eastAsia="zh-CN"/>
                    </w:rPr>
                  </w:pPr>
                  <w:r>
                    <w:rPr>
                      <w:rFonts w:hint="eastAsia"/>
                      <w:sz w:val="21"/>
                      <w:szCs w:val="21"/>
                      <w:lang w:val="en-US" w:eastAsia="zh-CN"/>
                    </w:rPr>
                    <w:t>5</w:t>
                  </w:r>
                </w:p>
              </w:tc>
              <w:tc>
                <w:tcPr>
                  <w:tcW w:w="660" w:type="pct"/>
                  <w:vMerge w:val="continue"/>
                  <w:noWrap w:val="0"/>
                  <w:vAlign w:val="center"/>
                </w:tcPr>
                <w:p w14:paraId="2617AF69">
                  <w:pPr>
                    <w:spacing w:line="240" w:lineRule="auto"/>
                    <w:jc w:val="center"/>
                    <w:rPr>
                      <w:rFonts w:hint="eastAsia"/>
                      <w:sz w:val="21"/>
                      <w:szCs w:val="21"/>
                      <w:lang w:eastAsia="zh-CN"/>
                    </w:rPr>
                  </w:pPr>
                </w:p>
              </w:tc>
              <w:tc>
                <w:tcPr>
                  <w:tcW w:w="1745" w:type="dxa"/>
                  <w:noWrap w:val="0"/>
                  <w:vAlign w:val="center"/>
                </w:tcPr>
                <w:p w14:paraId="1A92677D">
                  <w:pPr>
                    <w:spacing w:line="240" w:lineRule="auto"/>
                    <w:jc w:val="center"/>
                    <w:rPr>
                      <w:rFonts w:hint="default"/>
                      <w:sz w:val="21"/>
                      <w:szCs w:val="21"/>
                      <w:lang w:val="en-US" w:eastAsia="zh-CN"/>
                    </w:rPr>
                  </w:pPr>
                  <w:r>
                    <w:rPr>
                      <w:rFonts w:hint="eastAsia"/>
                      <w:color w:val="auto"/>
                      <w:sz w:val="21"/>
                      <w:szCs w:val="21"/>
                      <w:lang w:val="en-US" w:eastAsia="zh-CN"/>
                    </w:rPr>
                    <w:t>二次酸洗用纯水</w:t>
                  </w:r>
                </w:p>
              </w:tc>
              <w:tc>
                <w:tcPr>
                  <w:tcW w:w="974" w:type="dxa"/>
                  <w:noWrap w:val="0"/>
                  <w:vAlign w:val="center"/>
                </w:tcPr>
                <w:p w14:paraId="6A74A36D">
                  <w:pPr>
                    <w:spacing w:line="240" w:lineRule="auto"/>
                    <w:jc w:val="center"/>
                    <w:rPr>
                      <w:rFonts w:hint="default"/>
                      <w:sz w:val="21"/>
                      <w:szCs w:val="21"/>
                      <w:lang w:val="en-US" w:eastAsia="zh-CN"/>
                    </w:rPr>
                  </w:pPr>
                  <w:r>
                    <w:rPr>
                      <w:rFonts w:hint="eastAsia"/>
                      <w:color w:val="auto"/>
                      <w:sz w:val="21"/>
                      <w:szCs w:val="21"/>
                      <w:lang w:val="en-US" w:eastAsia="zh-CN"/>
                    </w:rPr>
                    <w:t>3.797</w:t>
                  </w:r>
                </w:p>
              </w:tc>
              <w:tc>
                <w:tcPr>
                  <w:tcW w:w="941" w:type="dxa"/>
                  <w:noWrap w:val="0"/>
                  <w:vAlign w:val="center"/>
                </w:tcPr>
                <w:p w14:paraId="263BC51C">
                  <w:pPr>
                    <w:spacing w:line="240" w:lineRule="auto"/>
                    <w:jc w:val="center"/>
                    <w:rPr>
                      <w:rFonts w:hint="default"/>
                      <w:sz w:val="21"/>
                      <w:szCs w:val="21"/>
                      <w:lang w:val="en-US" w:eastAsia="zh-CN"/>
                    </w:rPr>
                  </w:pPr>
                  <w:r>
                    <w:rPr>
                      <w:rFonts w:hint="eastAsia"/>
                      <w:color w:val="auto"/>
                      <w:sz w:val="21"/>
                      <w:szCs w:val="21"/>
                      <w:lang w:val="en-US" w:eastAsia="zh-CN"/>
                    </w:rPr>
                    <w:t>1139</w:t>
                  </w:r>
                </w:p>
              </w:tc>
              <w:tc>
                <w:tcPr>
                  <w:tcW w:w="1527" w:type="dxa"/>
                  <w:vMerge w:val="restart"/>
                  <w:noWrap w:val="0"/>
                  <w:vAlign w:val="center"/>
                </w:tcPr>
                <w:p w14:paraId="5BCAB2A1">
                  <w:pPr>
                    <w:spacing w:line="240" w:lineRule="auto"/>
                    <w:jc w:val="center"/>
                    <w:rPr>
                      <w:rFonts w:hint="default"/>
                      <w:sz w:val="21"/>
                      <w:szCs w:val="21"/>
                      <w:lang w:val="en-US" w:eastAsia="zh-CN"/>
                    </w:rPr>
                  </w:pPr>
                  <w:r>
                    <w:rPr>
                      <w:rFonts w:hint="eastAsia"/>
                      <w:sz w:val="21"/>
                      <w:szCs w:val="21"/>
                      <w:lang w:val="en-US" w:eastAsia="zh-CN"/>
                    </w:rPr>
                    <w:t>酸性废水中和后废水</w:t>
                  </w:r>
                </w:p>
              </w:tc>
              <w:tc>
                <w:tcPr>
                  <w:tcW w:w="948" w:type="dxa"/>
                  <w:vMerge w:val="restart"/>
                  <w:noWrap w:val="0"/>
                  <w:vAlign w:val="center"/>
                </w:tcPr>
                <w:p w14:paraId="4823F3F9">
                  <w:pPr>
                    <w:spacing w:line="240" w:lineRule="auto"/>
                    <w:jc w:val="center"/>
                    <w:rPr>
                      <w:rFonts w:hint="default"/>
                      <w:sz w:val="21"/>
                      <w:szCs w:val="21"/>
                      <w:lang w:val="en-US" w:eastAsia="zh-CN"/>
                    </w:rPr>
                  </w:pPr>
                  <w:r>
                    <w:rPr>
                      <w:rFonts w:hint="eastAsia"/>
                      <w:color w:val="auto"/>
                      <w:sz w:val="21"/>
                      <w:szCs w:val="21"/>
                      <w:lang w:val="en-US" w:eastAsia="zh-CN"/>
                    </w:rPr>
                    <w:t>400.76</w:t>
                  </w:r>
                </w:p>
              </w:tc>
              <w:tc>
                <w:tcPr>
                  <w:tcW w:w="1017" w:type="dxa"/>
                  <w:vMerge w:val="restart"/>
                  <w:noWrap w:val="0"/>
                  <w:vAlign w:val="center"/>
                </w:tcPr>
                <w:p w14:paraId="3B736204">
                  <w:pPr>
                    <w:spacing w:line="240" w:lineRule="auto"/>
                    <w:jc w:val="center"/>
                    <w:rPr>
                      <w:rFonts w:hint="default"/>
                      <w:sz w:val="21"/>
                      <w:szCs w:val="21"/>
                      <w:lang w:val="en-US" w:eastAsia="zh-CN"/>
                    </w:rPr>
                  </w:pPr>
                  <w:r>
                    <w:rPr>
                      <w:rFonts w:hint="eastAsia"/>
                      <w:color w:val="auto"/>
                      <w:sz w:val="21"/>
                      <w:szCs w:val="21"/>
                      <w:lang w:val="en-US" w:eastAsia="zh-CN"/>
                    </w:rPr>
                    <w:t>120229</w:t>
                  </w:r>
                </w:p>
              </w:tc>
            </w:tr>
            <w:tr w14:paraId="3ABB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5D13CE31">
                  <w:pPr>
                    <w:spacing w:line="240" w:lineRule="auto"/>
                    <w:jc w:val="center"/>
                    <w:rPr>
                      <w:rFonts w:hint="default"/>
                      <w:sz w:val="21"/>
                      <w:szCs w:val="21"/>
                      <w:lang w:val="en-US" w:eastAsia="zh-CN"/>
                    </w:rPr>
                  </w:pPr>
                  <w:r>
                    <w:rPr>
                      <w:rFonts w:hint="eastAsia"/>
                      <w:sz w:val="21"/>
                      <w:szCs w:val="21"/>
                      <w:lang w:val="en-US" w:eastAsia="zh-CN"/>
                    </w:rPr>
                    <w:t>6</w:t>
                  </w:r>
                </w:p>
              </w:tc>
              <w:tc>
                <w:tcPr>
                  <w:tcW w:w="660" w:type="pct"/>
                  <w:vMerge w:val="continue"/>
                  <w:noWrap w:val="0"/>
                  <w:vAlign w:val="center"/>
                </w:tcPr>
                <w:p w14:paraId="28F62A07">
                  <w:pPr>
                    <w:spacing w:line="240" w:lineRule="auto"/>
                    <w:jc w:val="center"/>
                    <w:rPr>
                      <w:rFonts w:hint="eastAsia"/>
                      <w:sz w:val="21"/>
                      <w:szCs w:val="21"/>
                      <w:lang w:eastAsia="zh-CN"/>
                    </w:rPr>
                  </w:pPr>
                </w:p>
              </w:tc>
              <w:tc>
                <w:tcPr>
                  <w:tcW w:w="1745" w:type="dxa"/>
                  <w:noWrap w:val="0"/>
                  <w:vAlign w:val="center"/>
                </w:tcPr>
                <w:p w14:paraId="75432539">
                  <w:pPr>
                    <w:spacing w:line="240" w:lineRule="auto"/>
                    <w:jc w:val="center"/>
                    <w:rPr>
                      <w:rFonts w:hint="default"/>
                      <w:sz w:val="21"/>
                      <w:szCs w:val="21"/>
                      <w:lang w:val="en-US" w:eastAsia="zh-CN"/>
                    </w:rPr>
                  </w:pPr>
                  <w:r>
                    <w:rPr>
                      <w:rFonts w:hint="eastAsia"/>
                      <w:color w:val="auto"/>
                      <w:sz w:val="21"/>
                      <w:szCs w:val="21"/>
                      <w:lang w:val="en-US" w:eastAsia="zh-CN"/>
                    </w:rPr>
                    <w:t>水洗用纯水</w:t>
                  </w:r>
                </w:p>
              </w:tc>
              <w:tc>
                <w:tcPr>
                  <w:tcW w:w="974" w:type="dxa"/>
                  <w:noWrap w:val="0"/>
                  <w:vAlign w:val="center"/>
                </w:tcPr>
                <w:p w14:paraId="655D7D0B">
                  <w:pPr>
                    <w:spacing w:line="240" w:lineRule="auto"/>
                    <w:jc w:val="center"/>
                    <w:rPr>
                      <w:rFonts w:hint="default"/>
                      <w:sz w:val="21"/>
                      <w:szCs w:val="21"/>
                      <w:lang w:val="en-US" w:eastAsia="zh-CN"/>
                    </w:rPr>
                  </w:pPr>
                  <w:r>
                    <w:rPr>
                      <w:rFonts w:hint="eastAsia"/>
                      <w:color w:val="auto"/>
                      <w:sz w:val="21"/>
                      <w:szCs w:val="21"/>
                      <w:lang w:val="en-US" w:eastAsia="zh-CN"/>
                    </w:rPr>
                    <w:t>566.667</w:t>
                  </w:r>
                </w:p>
              </w:tc>
              <w:tc>
                <w:tcPr>
                  <w:tcW w:w="941" w:type="dxa"/>
                  <w:noWrap w:val="0"/>
                  <w:vAlign w:val="center"/>
                </w:tcPr>
                <w:p w14:paraId="56EA8134">
                  <w:pPr>
                    <w:spacing w:line="240" w:lineRule="auto"/>
                    <w:jc w:val="center"/>
                    <w:rPr>
                      <w:rFonts w:hint="default"/>
                      <w:sz w:val="21"/>
                      <w:szCs w:val="21"/>
                      <w:lang w:val="en-US" w:eastAsia="zh-CN"/>
                    </w:rPr>
                  </w:pPr>
                  <w:r>
                    <w:rPr>
                      <w:rFonts w:hint="eastAsia"/>
                      <w:color w:val="auto"/>
                      <w:sz w:val="21"/>
                      <w:szCs w:val="21"/>
                      <w:lang w:val="en-US" w:eastAsia="zh-CN"/>
                    </w:rPr>
                    <w:t>170000</w:t>
                  </w:r>
                </w:p>
              </w:tc>
              <w:tc>
                <w:tcPr>
                  <w:tcW w:w="866" w:type="pct"/>
                  <w:vMerge w:val="continue"/>
                  <w:noWrap w:val="0"/>
                  <w:vAlign w:val="center"/>
                </w:tcPr>
                <w:p w14:paraId="06275772">
                  <w:pPr>
                    <w:spacing w:line="240" w:lineRule="auto"/>
                    <w:jc w:val="center"/>
                    <w:rPr>
                      <w:rFonts w:hint="default"/>
                      <w:sz w:val="21"/>
                      <w:szCs w:val="21"/>
                      <w:lang w:val="en-US" w:eastAsia="zh-CN"/>
                    </w:rPr>
                  </w:pPr>
                </w:p>
              </w:tc>
              <w:tc>
                <w:tcPr>
                  <w:tcW w:w="538" w:type="pct"/>
                  <w:vMerge w:val="continue"/>
                  <w:noWrap w:val="0"/>
                  <w:vAlign w:val="center"/>
                </w:tcPr>
                <w:p w14:paraId="797D0ACE">
                  <w:pPr>
                    <w:spacing w:line="240" w:lineRule="auto"/>
                    <w:jc w:val="center"/>
                    <w:rPr>
                      <w:rFonts w:hint="eastAsia"/>
                      <w:sz w:val="21"/>
                      <w:szCs w:val="21"/>
                      <w:lang w:val="en-US" w:eastAsia="zh-CN"/>
                    </w:rPr>
                  </w:pPr>
                </w:p>
              </w:tc>
              <w:tc>
                <w:tcPr>
                  <w:tcW w:w="577" w:type="pct"/>
                  <w:vMerge w:val="continue"/>
                  <w:noWrap w:val="0"/>
                  <w:vAlign w:val="center"/>
                </w:tcPr>
                <w:p w14:paraId="1D1A2DD4">
                  <w:pPr>
                    <w:spacing w:line="240" w:lineRule="auto"/>
                    <w:jc w:val="center"/>
                    <w:rPr>
                      <w:rFonts w:hint="default"/>
                      <w:sz w:val="21"/>
                      <w:szCs w:val="21"/>
                      <w:lang w:val="en-US" w:eastAsia="zh-CN"/>
                    </w:rPr>
                  </w:pPr>
                </w:p>
              </w:tc>
            </w:tr>
            <w:tr w14:paraId="26B2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1593192">
                  <w:pPr>
                    <w:spacing w:line="240" w:lineRule="auto"/>
                    <w:jc w:val="center"/>
                    <w:rPr>
                      <w:rFonts w:hint="default"/>
                      <w:sz w:val="21"/>
                      <w:szCs w:val="21"/>
                      <w:lang w:val="en-US" w:eastAsia="zh-CN"/>
                    </w:rPr>
                  </w:pPr>
                  <w:r>
                    <w:rPr>
                      <w:rFonts w:hint="eastAsia"/>
                      <w:sz w:val="21"/>
                      <w:szCs w:val="21"/>
                      <w:lang w:val="en-US" w:eastAsia="zh-CN"/>
                    </w:rPr>
                    <w:t>7</w:t>
                  </w:r>
                </w:p>
              </w:tc>
              <w:tc>
                <w:tcPr>
                  <w:tcW w:w="660" w:type="pct"/>
                  <w:vMerge w:val="continue"/>
                  <w:noWrap w:val="0"/>
                  <w:vAlign w:val="center"/>
                </w:tcPr>
                <w:p w14:paraId="18B02D98">
                  <w:pPr>
                    <w:spacing w:line="240" w:lineRule="auto"/>
                    <w:jc w:val="center"/>
                    <w:rPr>
                      <w:rFonts w:hint="eastAsia"/>
                      <w:sz w:val="21"/>
                      <w:szCs w:val="21"/>
                      <w:lang w:eastAsia="zh-CN"/>
                    </w:rPr>
                  </w:pPr>
                </w:p>
              </w:tc>
              <w:tc>
                <w:tcPr>
                  <w:tcW w:w="1745" w:type="dxa"/>
                  <w:noWrap w:val="0"/>
                  <w:vAlign w:val="center"/>
                </w:tcPr>
                <w:p w14:paraId="5D628763">
                  <w:pPr>
                    <w:spacing w:line="240" w:lineRule="auto"/>
                    <w:jc w:val="center"/>
                    <w:rPr>
                      <w:rFonts w:hint="default"/>
                      <w:sz w:val="21"/>
                      <w:szCs w:val="21"/>
                      <w:lang w:val="en-US" w:eastAsia="zh-CN"/>
                    </w:rPr>
                  </w:pPr>
                  <w:r>
                    <w:rPr>
                      <w:rFonts w:hint="eastAsia"/>
                      <w:sz w:val="21"/>
                      <w:szCs w:val="21"/>
                      <w:lang w:val="en-US" w:eastAsia="zh-CN"/>
                    </w:rPr>
                    <w:t>循环冷却用纯水</w:t>
                  </w:r>
                </w:p>
              </w:tc>
              <w:tc>
                <w:tcPr>
                  <w:tcW w:w="974" w:type="dxa"/>
                  <w:noWrap w:val="0"/>
                  <w:vAlign w:val="center"/>
                </w:tcPr>
                <w:p w14:paraId="62859A42">
                  <w:pPr>
                    <w:spacing w:line="240" w:lineRule="auto"/>
                    <w:jc w:val="center"/>
                    <w:rPr>
                      <w:rFonts w:hint="default"/>
                      <w:sz w:val="21"/>
                      <w:szCs w:val="21"/>
                      <w:lang w:val="en-US" w:eastAsia="zh-CN"/>
                    </w:rPr>
                  </w:pPr>
                  <w:r>
                    <w:rPr>
                      <w:rFonts w:hint="eastAsia"/>
                      <w:sz w:val="21"/>
                      <w:szCs w:val="21"/>
                      <w:lang w:val="en-US" w:eastAsia="zh-CN"/>
                    </w:rPr>
                    <w:t>121.333</w:t>
                  </w:r>
                </w:p>
              </w:tc>
              <w:tc>
                <w:tcPr>
                  <w:tcW w:w="941" w:type="dxa"/>
                  <w:noWrap w:val="0"/>
                  <w:vAlign w:val="center"/>
                </w:tcPr>
                <w:p w14:paraId="3830D981">
                  <w:pPr>
                    <w:spacing w:line="240" w:lineRule="auto"/>
                    <w:jc w:val="center"/>
                    <w:rPr>
                      <w:rFonts w:hint="default"/>
                      <w:sz w:val="21"/>
                      <w:szCs w:val="21"/>
                      <w:lang w:val="en-US" w:eastAsia="zh-CN"/>
                    </w:rPr>
                  </w:pPr>
                  <w:r>
                    <w:rPr>
                      <w:rFonts w:hint="eastAsia"/>
                      <w:sz w:val="21"/>
                      <w:szCs w:val="21"/>
                      <w:lang w:val="en-US" w:eastAsia="zh-CN"/>
                    </w:rPr>
                    <w:t>36400</w:t>
                  </w:r>
                </w:p>
              </w:tc>
              <w:tc>
                <w:tcPr>
                  <w:tcW w:w="1527" w:type="dxa"/>
                  <w:noWrap w:val="0"/>
                  <w:vAlign w:val="center"/>
                </w:tcPr>
                <w:p w14:paraId="6BBDA197">
                  <w:pPr>
                    <w:spacing w:line="240" w:lineRule="auto"/>
                    <w:jc w:val="center"/>
                    <w:rPr>
                      <w:rFonts w:hint="default"/>
                      <w:sz w:val="21"/>
                      <w:szCs w:val="21"/>
                      <w:lang w:val="en-US" w:eastAsia="zh-CN"/>
                    </w:rPr>
                  </w:pPr>
                  <w:r>
                    <w:rPr>
                      <w:rFonts w:hint="eastAsia"/>
                      <w:sz w:val="21"/>
                      <w:szCs w:val="21"/>
                      <w:lang w:val="en-US" w:eastAsia="zh-CN"/>
                    </w:rPr>
                    <w:t>循环冷却排水</w:t>
                  </w:r>
                </w:p>
              </w:tc>
              <w:tc>
                <w:tcPr>
                  <w:tcW w:w="948" w:type="dxa"/>
                  <w:noWrap w:val="0"/>
                  <w:vAlign w:val="center"/>
                </w:tcPr>
                <w:p w14:paraId="1576C9E5">
                  <w:pPr>
                    <w:spacing w:line="240" w:lineRule="auto"/>
                    <w:jc w:val="center"/>
                    <w:rPr>
                      <w:rFonts w:hint="default"/>
                      <w:sz w:val="21"/>
                      <w:szCs w:val="21"/>
                      <w:lang w:val="en-US" w:eastAsia="zh-CN"/>
                    </w:rPr>
                  </w:pPr>
                  <w:r>
                    <w:rPr>
                      <w:rFonts w:hint="eastAsia"/>
                      <w:sz w:val="21"/>
                      <w:szCs w:val="21"/>
                      <w:lang w:val="en-US" w:eastAsia="zh-CN"/>
                    </w:rPr>
                    <w:t>1.333</w:t>
                  </w:r>
                </w:p>
              </w:tc>
              <w:tc>
                <w:tcPr>
                  <w:tcW w:w="1017" w:type="dxa"/>
                  <w:noWrap w:val="0"/>
                  <w:vAlign w:val="center"/>
                </w:tcPr>
                <w:p w14:paraId="01784B69">
                  <w:pPr>
                    <w:spacing w:line="240" w:lineRule="auto"/>
                    <w:jc w:val="center"/>
                    <w:rPr>
                      <w:rFonts w:hint="default"/>
                      <w:sz w:val="21"/>
                      <w:szCs w:val="21"/>
                      <w:lang w:val="en-US" w:eastAsia="zh-CN"/>
                    </w:rPr>
                  </w:pPr>
                  <w:r>
                    <w:rPr>
                      <w:rFonts w:hint="eastAsia"/>
                      <w:sz w:val="21"/>
                      <w:szCs w:val="21"/>
                      <w:lang w:val="en-US" w:eastAsia="zh-CN"/>
                    </w:rPr>
                    <w:t>400</w:t>
                  </w:r>
                </w:p>
              </w:tc>
            </w:tr>
            <w:tr w14:paraId="0352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6CA1AAB1">
                  <w:pPr>
                    <w:spacing w:line="240" w:lineRule="auto"/>
                    <w:jc w:val="center"/>
                    <w:rPr>
                      <w:rFonts w:hint="default"/>
                      <w:sz w:val="21"/>
                      <w:szCs w:val="21"/>
                      <w:lang w:val="en-US" w:eastAsia="zh-CN"/>
                    </w:rPr>
                  </w:pPr>
                  <w:r>
                    <w:rPr>
                      <w:rFonts w:hint="eastAsia"/>
                      <w:sz w:val="21"/>
                      <w:szCs w:val="21"/>
                      <w:lang w:val="en-US" w:eastAsia="zh-CN"/>
                    </w:rPr>
                    <w:t>8</w:t>
                  </w:r>
                </w:p>
              </w:tc>
              <w:tc>
                <w:tcPr>
                  <w:tcW w:w="660" w:type="pct"/>
                  <w:noWrap w:val="0"/>
                  <w:vAlign w:val="center"/>
                </w:tcPr>
                <w:p w14:paraId="4815B2B0">
                  <w:pPr>
                    <w:spacing w:line="240" w:lineRule="auto"/>
                    <w:jc w:val="center"/>
                    <w:rPr>
                      <w:rFonts w:hint="eastAsia"/>
                      <w:sz w:val="21"/>
                      <w:szCs w:val="21"/>
                      <w:lang w:eastAsia="zh-CN"/>
                    </w:rPr>
                  </w:pPr>
                  <w:r>
                    <w:rPr>
                      <w:rFonts w:hint="eastAsia"/>
                      <w:sz w:val="21"/>
                      <w:szCs w:val="21"/>
                      <w:lang w:eastAsia="zh-CN"/>
                    </w:rPr>
                    <w:t>反冲洗废水</w:t>
                  </w:r>
                </w:p>
              </w:tc>
              <w:tc>
                <w:tcPr>
                  <w:tcW w:w="2719" w:type="dxa"/>
                  <w:gridSpan w:val="2"/>
                  <w:noWrap w:val="0"/>
                  <w:vAlign w:val="center"/>
                </w:tcPr>
                <w:p w14:paraId="4D574DA7">
                  <w:pPr>
                    <w:spacing w:line="240" w:lineRule="auto"/>
                    <w:jc w:val="center"/>
                    <w:rPr>
                      <w:rFonts w:hint="default"/>
                      <w:sz w:val="21"/>
                      <w:szCs w:val="21"/>
                      <w:lang w:val="en-US" w:eastAsia="zh-CN"/>
                    </w:rPr>
                  </w:pPr>
                  <w:r>
                    <w:rPr>
                      <w:rFonts w:hint="eastAsia"/>
                      <w:sz w:val="21"/>
                      <w:szCs w:val="21"/>
                      <w:lang w:val="en-US" w:eastAsia="zh-CN"/>
                    </w:rPr>
                    <w:t>0.1</w:t>
                  </w:r>
                </w:p>
              </w:tc>
              <w:tc>
                <w:tcPr>
                  <w:tcW w:w="941" w:type="dxa"/>
                  <w:noWrap w:val="0"/>
                  <w:vAlign w:val="center"/>
                </w:tcPr>
                <w:p w14:paraId="4706B7CE">
                  <w:pPr>
                    <w:spacing w:line="240" w:lineRule="auto"/>
                    <w:jc w:val="center"/>
                    <w:rPr>
                      <w:rFonts w:hint="default"/>
                      <w:sz w:val="21"/>
                      <w:szCs w:val="21"/>
                      <w:lang w:val="en-US" w:eastAsia="zh-CN"/>
                    </w:rPr>
                  </w:pPr>
                  <w:r>
                    <w:rPr>
                      <w:rFonts w:hint="eastAsia"/>
                      <w:sz w:val="21"/>
                      <w:szCs w:val="21"/>
                      <w:lang w:val="en-US" w:eastAsia="zh-CN"/>
                    </w:rPr>
                    <w:t>30</w:t>
                  </w:r>
                </w:p>
              </w:tc>
              <w:tc>
                <w:tcPr>
                  <w:tcW w:w="1405" w:type="pct"/>
                  <w:gridSpan w:val="2"/>
                  <w:noWrap w:val="0"/>
                  <w:vAlign w:val="center"/>
                </w:tcPr>
                <w:p w14:paraId="39ACE0D2">
                  <w:pPr>
                    <w:spacing w:line="240" w:lineRule="auto"/>
                    <w:jc w:val="center"/>
                    <w:rPr>
                      <w:rFonts w:hint="default"/>
                      <w:sz w:val="21"/>
                      <w:szCs w:val="21"/>
                      <w:lang w:val="en-US" w:eastAsia="zh-CN"/>
                    </w:rPr>
                  </w:pPr>
                  <w:r>
                    <w:rPr>
                      <w:rFonts w:hint="eastAsia"/>
                      <w:sz w:val="21"/>
                      <w:szCs w:val="21"/>
                      <w:lang w:val="en-US" w:eastAsia="zh-CN"/>
                    </w:rPr>
                    <w:t>0.1</w:t>
                  </w:r>
                </w:p>
              </w:tc>
              <w:tc>
                <w:tcPr>
                  <w:tcW w:w="577" w:type="pct"/>
                  <w:noWrap w:val="0"/>
                  <w:vAlign w:val="center"/>
                </w:tcPr>
                <w:p w14:paraId="0E76AE07">
                  <w:pPr>
                    <w:spacing w:line="240" w:lineRule="auto"/>
                    <w:jc w:val="center"/>
                    <w:rPr>
                      <w:rFonts w:hint="default"/>
                      <w:sz w:val="21"/>
                      <w:szCs w:val="21"/>
                      <w:lang w:val="en-US" w:eastAsia="zh-CN"/>
                    </w:rPr>
                  </w:pPr>
                  <w:r>
                    <w:rPr>
                      <w:rFonts w:hint="eastAsia"/>
                      <w:sz w:val="21"/>
                      <w:szCs w:val="21"/>
                      <w:lang w:val="en-US" w:eastAsia="zh-CN"/>
                    </w:rPr>
                    <w:t>30</w:t>
                  </w:r>
                </w:p>
              </w:tc>
            </w:tr>
            <w:tr w14:paraId="3711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08C88A4A">
                  <w:pPr>
                    <w:spacing w:line="240" w:lineRule="auto"/>
                    <w:jc w:val="center"/>
                    <w:rPr>
                      <w:rFonts w:hint="default"/>
                      <w:sz w:val="21"/>
                      <w:szCs w:val="21"/>
                      <w:lang w:val="en-US" w:eastAsia="zh-CN"/>
                    </w:rPr>
                  </w:pPr>
                  <w:r>
                    <w:rPr>
                      <w:rFonts w:hint="eastAsia"/>
                      <w:sz w:val="21"/>
                      <w:szCs w:val="21"/>
                      <w:lang w:val="en-US" w:eastAsia="zh-CN"/>
                    </w:rPr>
                    <w:t>9</w:t>
                  </w:r>
                </w:p>
              </w:tc>
              <w:tc>
                <w:tcPr>
                  <w:tcW w:w="660" w:type="pct"/>
                  <w:noWrap w:val="0"/>
                  <w:vAlign w:val="center"/>
                </w:tcPr>
                <w:p w14:paraId="6ED6F09A">
                  <w:pPr>
                    <w:spacing w:line="240" w:lineRule="auto"/>
                    <w:jc w:val="center"/>
                    <w:rPr>
                      <w:rFonts w:hint="eastAsia"/>
                      <w:sz w:val="21"/>
                      <w:szCs w:val="21"/>
                      <w:lang w:eastAsia="zh-CN"/>
                    </w:rPr>
                  </w:pPr>
                  <w:r>
                    <w:rPr>
                      <w:rFonts w:hint="eastAsia"/>
                      <w:sz w:val="21"/>
                      <w:szCs w:val="21"/>
                      <w:lang w:eastAsia="zh-CN"/>
                    </w:rPr>
                    <w:t>喷淋废水</w:t>
                  </w:r>
                </w:p>
              </w:tc>
              <w:tc>
                <w:tcPr>
                  <w:tcW w:w="2719" w:type="dxa"/>
                  <w:gridSpan w:val="2"/>
                  <w:noWrap w:val="0"/>
                  <w:vAlign w:val="center"/>
                </w:tcPr>
                <w:p w14:paraId="6FDD3889">
                  <w:pPr>
                    <w:spacing w:line="240" w:lineRule="auto"/>
                    <w:jc w:val="center"/>
                    <w:rPr>
                      <w:rFonts w:hint="default"/>
                      <w:sz w:val="21"/>
                      <w:szCs w:val="21"/>
                      <w:lang w:val="en-US" w:eastAsia="zh-CN"/>
                    </w:rPr>
                  </w:pPr>
                  <w:r>
                    <w:rPr>
                      <w:rFonts w:hint="eastAsia"/>
                      <w:sz w:val="21"/>
                      <w:szCs w:val="21"/>
                      <w:lang w:val="en-US" w:eastAsia="zh-CN"/>
                    </w:rPr>
                    <w:t>9</w:t>
                  </w:r>
                </w:p>
              </w:tc>
              <w:tc>
                <w:tcPr>
                  <w:tcW w:w="941" w:type="dxa"/>
                  <w:noWrap w:val="0"/>
                  <w:vAlign w:val="center"/>
                </w:tcPr>
                <w:p w14:paraId="368663D1">
                  <w:pPr>
                    <w:spacing w:line="240" w:lineRule="auto"/>
                    <w:jc w:val="center"/>
                    <w:rPr>
                      <w:rFonts w:hint="default"/>
                      <w:sz w:val="21"/>
                      <w:szCs w:val="21"/>
                      <w:lang w:val="en-US" w:eastAsia="zh-CN"/>
                    </w:rPr>
                  </w:pPr>
                  <w:r>
                    <w:rPr>
                      <w:rFonts w:hint="eastAsia"/>
                      <w:sz w:val="21"/>
                      <w:szCs w:val="21"/>
                      <w:lang w:val="en-US" w:eastAsia="zh-CN"/>
                    </w:rPr>
                    <w:t>2700</w:t>
                  </w:r>
                </w:p>
              </w:tc>
              <w:tc>
                <w:tcPr>
                  <w:tcW w:w="1405" w:type="pct"/>
                  <w:gridSpan w:val="2"/>
                  <w:noWrap w:val="0"/>
                  <w:vAlign w:val="center"/>
                </w:tcPr>
                <w:p w14:paraId="1BB51006">
                  <w:pPr>
                    <w:spacing w:line="240" w:lineRule="auto"/>
                    <w:jc w:val="center"/>
                    <w:rPr>
                      <w:rFonts w:hint="default"/>
                      <w:sz w:val="21"/>
                      <w:szCs w:val="21"/>
                      <w:lang w:val="en-US" w:eastAsia="zh-CN"/>
                    </w:rPr>
                  </w:pPr>
                  <w:r>
                    <w:rPr>
                      <w:rFonts w:hint="eastAsia"/>
                      <w:sz w:val="21"/>
                      <w:szCs w:val="21"/>
                      <w:lang w:val="en-US" w:eastAsia="zh-CN"/>
                    </w:rPr>
                    <w:t>3</w:t>
                  </w:r>
                </w:p>
              </w:tc>
              <w:tc>
                <w:tcPr>
                  <w:tcW w:w="577" w:type="pct"/>
                  <w:noWrap w:val="0"/>
                  <w:vAlign w:val="center"/>
                </w:tcPr>
                <w:p w14:paraId="0BAF2F60">
                  <w:pPr>
                    <w:spacing w:line="240" w:lineRule="auto"/>
                    <w:jc w:val="center"/>
                    <w:rPr>
                      <w:rFonts w:hint="default"/>
                      <w:sz w:val="21"/>
                      <w:szCs w:val="21"/>
                      <w:lang w:val="en-US" w:eastAsia="zh-CN"/>
                    </w:rPr>
                  </w:pPr>
                  <w:r>
                    <w:rPr>
                      <w:rFonts w:hint="eastAsia"/>
                      <w:sz w:val="21"/>
                      <w:szCs w:val="21"/>
                      <w:lang w:val="en-US" w:eastAsia="zh-CN"/>
                    </w:rPr>
                    <w:t>900</w:t>
                  </w:r>
                </w:p>
              </w:tc>
            </w:tr>
            <w:tr w14:paraId="5D80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79" w:type="pct"/>
                  <w:noWrap w:val="0"/>
                  <w:vAlign w:val="center"/>
                </w:tcPr>
                <w:p w14:paraId="630B9405">
                  <w:pPr>
                    <w:spacing w:line="240" w:lineRule="auto"/>
                    <w:jc w:val="center"/>
                    <w:rPr>
                      <w:rFonts w:hint="default"/>
                      <w:sz w:val="21"/>
                      <w:szCs w:val="21"/>
                      <w:lang w:val="en-US" w:eastAsia="zh-CN"/>
                    </w:rPr>
                  </w:pPr>
                  <w:r>
                    <w:rPr>
                      <w:rFonts w:hint="eastAsia"/>
                      <w:sz w:val="21"/>
                      <w:szCs w:val="21"/>
                      <w:lang w:val="en-US" w:eastAsia="zh-CN"/>
                    </w:rPr>
                    <w:t>10</w:t>
                  </w:r>
                </w:p>
              </w:tc>
              <w:tc>
                <w:tcPr>
                  <w:tcW w:w="660" w:type="pct"/>
                  <w:noWrap w:val="0"/>
                  <w:vAlign w:val="center"/>
                </w:tcPr>
                <w:p w14:paraId="7608E79A">
                  <w:pPr>
                    <w:spacing w:line="240" w:lineRule="auto"/>
                    <w:jc w:val="center"/>
                    <w:rPr>
                      <w:rFonts w:hint="eastAsia"/>
                      <w:sz w:val="21"/>
                      <w:szCs w:val="21"/>
                      <w:lang w:eastAsia="zh-CN"/>
                    </w:rPr>
                  </w:pPr>
                  <w:r>
                    <w:rPr>
                      <w:rFonts w:hint="eastAsia"/>
                      <w:sz w:val="21"/>
                      <w:szCs w:val="21"/>
                      <w:lang w:eastAsia="zh-CN"/>
                    </w:rPr>
                    <w:t>初期雨水</w:t>
                  </w:r>
                </w:p>
              </w:tc>
              <w:tc>
                <w:tcPr>
                  <w:tcW w:w="2719" w:type="dxa"/>
                  <w:gridSpan w:val="2"/>
                  <w:noWrap w:val="0"/>
                  <w:vAlign w:val="center"/>
                </w:tcPr>
                <w:p w14:paraId="6E3BB2FD">
                  <w:pPr>
                    <w:spacing w:line="240" w:lineRule="auto"/>
                    <w:jc w:val="center"/>
                    <w:rPr>
                      <w:rFonts w:hint="default"/>
                      <w:sz w:val="21"/>
                      <w:szCs w:val="21"/>
                      <w:lang w:val="en-US" w:eastAsia="zh-CN"/>
                    </w:rPr>
                  </w:pPr>
                  <w:r>
                    <w:rPr>
                      <w:rFonts w:hint="eastAsia"/>
                      <w:sz w:val="21"/>
                      <w:szCs w:val="21"/>
                      <w:lang w:val="en-US" w:eastAsia="zh-CN"/>
                    </w:rPr>
                    <w:t>/</w:t>
                  </w:r>
                </w:p>
              </w:tc>
              <w:tc>
                <w:tcPr>
                  <w:tcW w:w="941" w:type="dxa"/>
                  <w:noWrap w:val="0"/>
                  <w:vAlign w:val="center"/>
                </w:tcPr>
                <w:p w14:paraId="3780F8D1">
                  <w:pPr>
                    <w:spacing w:line="240" w:lineRule="auto"/>
                    <w:jc w:val="center"/>
                    <w:rPr>
                      <w:rFonts w:hint="default"/>
                      <w:sz w:val="21"/>
                      <w:szCs w:val="21"/>
                      <w:lang w:val="en-US" w:eastAsia="zh-CN"/>
                    </w:rPr>
                  </w:pPr>
                  <w:r>
                    <w:rPr>
                      <w:rFonts w:hint="eastAsia"/>
                      <w:sz w:val="21"/>
                      <w:szCs w:val="21"/>
                      <w:lang w:val="en-US" w:eastAsia="zh-CN"/>
                    </w:rPr>
                    <w:t>/</w:t>
                  </w:r>
                </w:p>
              </w:tc>
              <w:tc>
                <w:tcPr>
                  <w:tcW w:w="1405" w:type="pct"/>
                  <w:gridSpan w:val="2"/>
                  <w:noWrap w:val="0"/>
                  <w:vAlign w:val="center"/>
                </w:tcPr>
                <w:p w14:paraId="20C290E4">
                  <w:pPr>
                    <w:spacing w:line="240" w:lineRule="auto"/>
                    <w:jc w:val="center"/>
                    <w:rPr>
                      <w:rFonts w:hint="default"/>
                      <w:sz w:val="21"/>
                      <w:szCs w:val="21"/>
                      <w:lang w:val="en-US" w:eastAsia="zh-CN"/>
                    </w:rPr>
                  </w:pPr>
                  <w:r>
                    <w:rPr>
                      <w:rFonts w:hint="eastAsia"/>
                      <w:sz w:val="21"/>
                      <w:szCs w:val="21"/>
                      <w:lang w:val="en-US" w:eastAsia="zh-CN"/>
                    </w:rPr>
                    <w:t>11.5</w:t>
                  </w:r>
                </w:p>
              </w:tc>
              <w:tc>
                <w:tcPr>
                  <w:tcW w:w="577" w:type="pct"/>
                  <w:noWrap w:val="0"/>
                  <w:vAlign w:val="center"/>
                </w:tcPr>
                <w:p w14:paraId="4CBF1598">
                  <w:pPr>
                    <w:spacing w:line="240" w:lineRule="auto"/>
                    <w:jc w:val="center"/>
                    <w:rPr>
                      <w:rFonts w:hint="default"/>
                      <w:sz w:val="21"/>
                      <w:szCs w:val="21"/>
                      <w:lang w:val="en-US" w:eastAsia="zh-CN"/>
                    </w:rPr>
                  </w:pPr>
                  <w:r>
                    <w:rPr>
                      <w:rFonts w:hint="eastAsia"/>
                      <w:sz w:val="21"/>
                      <w:szCs w:val="21"/>
                      <w:lang w:val="en-US" w:eastAsia="zh-CN"/>
                    </w:rPr>
                    <w:t>3450</w:t>
                  </w:r>
                </w:p>
              </w:tc>
            </w:tr>
            <w:tr w14:paraId="0498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39" w:type="pct"/>
                  <w:gridSpan w:val="2"/>
                  <w:noWrap w:val="0"/>
                  <w:vAlign w:val="center"/>
                </w:tcPr>
                <w:p w14:paraId="0CFA850F">
                  <w:pPr>
                    <w:spacing w:line="240" w:lineRule="auto"/>
                    <w:jc w:val="center"/>
                    <w:rPr>
                      <w:sz w:val="21"/>
                      <w:szCs w:val="21"/>
                    </w:rPr>
                  </w:pPr>
                  <w:r>
                    <w:rPr>
                      <w:sz w:val="21"/>
                      <w:szCs w:val="21"/>
                    </w:rPr>
                    <w:t>合计</w:t>
                  </w:r>
                </w:p>
              </w:tc>
              <w:tc>
                <w:tcPr>
                  <w:tcW w:w="2719" w:type="dxa"/>
                  <w:gridSpan w:val="2"/>
                  <w:noWrap w:val="0"/>
                  <w:vAlign w:val="center"/>
                </w:tcPr>
                <w:p w14:paraId="5BD7BDFE">
                  <w:pPr>
                    <w:spacing w:line="240" w:lineRule="auto"/>
                    <w:jc w:val="center"/>
                    <w:rPr>
                      <w:rFonts w:hint="default" w:eastAsia="宋体"/>
                      <w:sz w:val="21"/>
                      <w:szCs w:val="21"/>
                      <w:lang w:val="en-US" w:eastAsia="zh-CN"/>
                    </w:rPr>
                  </w:pPr>
                  <w:r>
                    <w:rPr>
                      <w:rFonts w:hint="eastAsia"/>
                      <w:color w:val="auto"/>
                      <w:sz w:val="21"/>
                      <w:szCs w:val="21"/>
                      <w:lang w:val="en-US" w:eastAsia="zh-CN"/>
                    </w:rPr>
                    <w:t>995.313</w:t>
                  </w:r>
                </w:p>
              </w:tc>
              <w:tc>
                <w:tcPr>
                  <w:tcW w:w="941" w:type="dxa"/>
                  <w:noWrap w:val="0"/>
                  <w:vAlign w:val="center"/>
                </w:tcPr>
                <w:p w14:paraId="34D2DF7A">
                  <w:pPr>
                    <w:spacing w:line="240" w:lineRule="auto"/>
                    <w:jc w:val="center"/>
                    <w:rPr>
                      <w:rFonts w:hint="default" w:eastAsia="宋体"/>
                      <w:sz w:val="21"/>
                      <w:szCs w:val="21"/>
                      <w:lang w:val="en-US" w:eastAsia="zh-CN"/>
                    </w:rPr>
                  </w:pPr>
                  <w:r>
                    <w:rPr>
                      <w:rFonts w:hint="eastAsia"/>
                      <w:color w:val="auto"/>
                      <w:sz w:val="21"/>
                      <w:szCs w:val="21"/>
                      <w:lang w:val="en-US" w:eastAsia="zh-CN"/>
                    </w:rPr>
                    <w:t>298594</w:t>
                  </w:r>
                </w:p>
              </w:tc>
              <w:tc>
                <w:tcPr>
                  <w:tcW w:w="2475" w:type="dxa"/>
                  <w:gridSpan w:val="2"/>
                  <w:noWrap w:val="0"/>
                  <w:vAlign w:val="center"/>
                </w:tcPr>
                <w:p w14:paraId="4FE2ED1E">
                  <w:pPr>
                    <w:spacing w:line="240" w:lineRule="auto"/>
                    <w:jc w:val="center"/>
                    <w:rPr>
                      <w:rFonts w:hint="default" w:eastAsia="宋体"/>
                      <w:sz w:val="21"/>
                      <w:szCs w:val="21"/>
                      <w:lang w:val="en-US" w:eastAsia="zh-CN"/>
                    </w:rPr>
                  </w:pPr>
                  <w:r>
                    <w:rPr>
                      <w:rFonts w:hint="eastAsia"/>
                      <w:color w:val="auto"/>
                      <w:sz w:val="21"/>
                      <w:szCs w:val="21"/>
                      <w:lang w:val="en-US" w:eastAsia="zh-CN"/>
                    </w:rPr>
                    <w:t>671.17</w:t>
                  </w:r>
                </w:p>
              </w:tc>
              <w:tc>
                <w:tcPr>
                  <w:tcW w:w="1017" w:type="dxa"/>
                  <w:noWrap w:val="0"/>
                  <w:vAlign w:val="center"/>
                </w:tcPr>
                <w:p w14:paraId="26C05895">
                  <w:pPr>
                    <w:spacing w:line="240" w:lineRule="auto"/>
                    <w:jc w:val="center"/>
                    <w:rPr>
                      <w:rFonts w:hint="default" w:eastAsia="宋体"/>
                      <w:sz w:val="21"/>
                      <w:szCs w:val="21"/>
                      <w:lang w:val="en-US" w:eastAsia="zh-CN"/>
                    </w:rPr>
                  </w:pPr>
                  <w:r>
                    <w:rPr>
                      <w:rFonts w:hint="eastAsia"/>
                      <w:color w:val="auto"/>
                      <w:sz w:val="21"/>
                      <w:szCs w:val="21"/>
                      <w:lang w:val="en-US" w:eastAsia="zh-CN"/>
                    </w:rPr>
                    <w:t>201351</w:t>
                  </w:r>
                </w:p>
              </w:tc>
            </w:tr>
          </w:tbl>
          <w:p w14:paraId="2B4D01E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eastAsia="宋体"/>
                <w:sz w:val="24"/>
                <w:lang w:val="en-US" w:eastAsia="zh-CN"/>
              </w:rPr>
            </w:pPr>
            <w:r>
              <w:rPr>
                <w:sz w:val="24"/>
              </w:rPr>
              <w:t>本项目水平衡如下图所示：</w:t>
            </w:r>
            <w:r>
              <w:rPr>
                <w:rFonts w:hint="eastAsia"/>
                <w:sz w:val="24"/>
                <w:lang w:val="en-US" w:eastAsia="zh-CN"/>
              </w:rPr>
              <w:t xml:space="preserve"> </w:t>
            </w:r>
          </w:p>
          <w:p w14:paraId="18251F5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bCs/>
                <w:color w:val="auto"/>
                <w:kern w:val="0"/>
                <w:sz w:val="21"/>
                <w:szCs w:val="21"/>
              </w:rPr>
            </w:pPr>
            <w:r>
              <w:rPr>
                <w:rFonts w:hint="default" w:eastAsia="宋体"/>
                <w:sz w:val="24"/>
                <w:lang w:val="en-US" w:eastAsia="zh-CN"/>
              </w:rPr>
              <w:object>
                <v:shape id="_x0000_i1028" o:spt="75" type="#_x0000_t75" style="height:509.85pt;width:441.75pt;" o:ole="t" filled="f" o:preferrelative="t" stroked="f" coordsize="21600,21600">
                  <v:path/>
                  <v:fill on="f" focussize="0,0"/>
                  <v:stroke on="f"/>
                  <v:imagedata r:id="rId9" o:title=""/>
                  <o:lock v:ext="edit" aspectratio="t"/>
                  <w10:wrap type="none"/>
                  <w10:anchorlock/>
                </v:shape>
                <o:OLEObject Type="Embed" ProgID="Visio.Drawing.11" ShapeID="_x0000_i1028" DrawAspect="Content" ObjectID="_1468075728" r:id="rId16">
                  <o:LockedField>false</o:LockedField>
                </o:OLEObject>
              </w:object>
            </w:r>
          </w:p>
          <w:p w14:paraId="125B6CE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bCs/>
                <w:color w:val="FF0000"/>
                <w:kern w:val="0"/>
                <w:sz w:val="24"/>
                <w:szCs w:val="24"/>
              </w:rPr>
            </w:pPr>
            <w:r>
              <w:rPr>
                <w:b/>
                <w:bCs/>
                <w:color w:val="auto"/>
                <w:kern w:val="0"/>
                <w:sz w:val="21"/>
                <w:szCs w:val="21"/>
              </w:rPr>
              <w:t>图</w:t>
            </w:r>
            <w:r>
              <w:rPr>
                <w:rFonts w:hint="eastAsia"/>
                <w:b/>
                <w:bCs/>
                <w:color w:val="auto"/>
                <w:kern w:val="0"/>
                <w:sz w:val="21"/>
                <w:szCs w:val="21"/>
                <w:lang w:val="en-US" w:eastAsia="zh-CN"/>
              </w:rPr>
              <w:t>4</w:t>
            </w:r>
            <w:r>
              <w:rPr>
                <w:rFonts w:hint="eastAsia"/>
                <w:b/>
                <w:bCs/>
                <w:color w:val="auto"/>
                <w:kern w:val="0"/>
                <w:sz w:val="21"/>
                <w:szCs w:val="21"/>
              </w:rPr>
              <w:t>-1</w:t>
            </w:r>
            <w:r>
              <w:rPr>
                <w:b/>
                <w:bCs/>
                <w:color w:val="auto"/>
                <w:kern w:val="0"/>
                <w:sz w:val="21"/>
                <w:szCs w:val="21"/>
              </w:rPr>
              <w:t xml:space="preserve"> 本项目水平衡图（单位：</w:t>
            </w:r>
            <w:r>
              <w:rPr>
                <w:b/>
                <w:color w:val="auto"/>
                <w:sz w:val="21"/>
                <w:szCs w:val="21"/>
              </w:rPr>
              <w:t>m</w:t>
            </w:r>
            <w:r>
              <w:rPr>
                <w:b/>
                <w:color w:val="auto"/>
                <w:sz w:val="21"/>
                <w:szCs w:val="21"/>
                <w:vertAlign w:val="superscript"/>
              </w:rPr>
              <w:t>3</w:t>
            </w:r>
            <w:r>
              <w:rPr>
                <w:b/>
                <w:bCs/>
                <w:color w:val="auto"/>
                <w:kern w:val="0"/>
                <w:sz w:val="21"/>
                <w:szCs w:val="21"/>
              </w:rPr>
              <w:t>/</w:t>
            </w:r>
            <w:r>
              <w:rPr>
                <w:rFonts w:hint="eastAsia"/>
                <w:b/>
                <w:bCs/>
                <w:color w:val="auto"/>
                <w:kern w:val="0"/>
                <w:sz w:val="21"/>
                <w:szCs w:val="21"/>
                <w:lang w:val="en-US" w:eastAsia="zh-CN"/>
              </w:rPr>
              <w:t>d</w:t>
            </w:r>
            <w:r>
              <w:rPr>
                <w:b/>
                <w:bCs/>
                <w:color w:val="auto"/>
                <w:kern w:val="0"/>
                <w:sz w:val="21"/>
                <w:szCs w:val="21"/>
              </w:rPr>
              <w:t>）</w:t>
            </w:r>
          </w:p>
          <w:p w14:paraId="56DF71C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lang w:eastAsia="zh-CN"/>
              </w:rPr>
            </w:pPr>
            <w:r>
              <w:rPr>
                <w:rFonts w:hint="eastAsia"/>
                <w:color w:val="auto"/>
                <w:sz w:val="24"/>
                <w:lang w:eastAsia="zh-CN"/>
              </w:rPr>
              <w:t>本项目废水产排情况如下：</w:t>
            </w:r>
          </w:p>
          <w:p w14:paraId="7760D212">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10</w:t>
            </w:r>
            <w:r>
              <w:rPr>
                <w:rFonts w:hint="default" w:ascii="Times New Roman" w:hAnsi="Times New Roman" w:cs="Times New Roman"/>
                <w:b/>
                <w:bCs/>
                <w:color w:val="auto"/>
                <w:sz w:val="21"/>
                <w:szCs w:val="21"/>
              </w:rPr>
              <w:t xml:space="preserve"> 项目废水产生及排放情况表</w:t>
            </w:r>
          </w:p>
          <w:tbl>
            <w:tblPr>
              <w:tblStyle w:val="25"/>
              <w:tblW w:w="8718"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5" w:type="dxa"/>
                <w:left w:w="15" w:type="dxa"/>
                <w:bottom w:w="15" w:type="dxa"/>
                <w:right w:w="15" w:type="dxa"/>
              </w:tblCellMar>
            </w:tblPr>
            <w:tblGrid>
              <w:gridCol w:w="817"/>
              <w:gridCol w:w="856"/>
              <w:gridCol w:w="616"/>
              <w:gridCol w:w="591"/>
              <w:gridCol w:w="616"/>
              <w:gridCol w:w="604"/>
              <w:gridCol w:w="604"/>
              <w:gridCol w:w="629"/>
              <w:gridCol w:w="667"/>
              <w:gridCol w:w="654"/>
              <w:gridCol w:w="654"/>
              <w:gridCol w:w="705"/>
              <w:gridCol w:w="705"/>
            </w:tblGrid>
            <w:tr w14:paraId="29CE9F0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959" w:type="pct"/>
                  <w:gridSpan w:val="2"/>
                  <w:noWrap w:val="0"/>
                  <w:vAlign w:val="center"/>
                </w:tcPr>
                <w:p w14:paraId="2FA4763F">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污染物</w:t>
                  </w:r>
                </w:p>
              </w:tc>
              <w:tc>
                <w:tcPr>
                  <w:tcW w:w="353" w:type="pct"/>
                  <w:tcBorders>
                    <w:right w:val="single" w:color="auto" w:sz="4" w:space="0"/>
                  </w:tcBorders>
                  <w:noWrap w:val="0"/>
                  <w:vAlign w:val="center"/>
                </w:tcPr>
                <w:p w14:paraId="1C8DF7E7">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废水量</w:t>
                  </w:r>
                </w:p>
              </w:tc>
              <w:tc>
                <w:tcPr>
                  <w:tcW w:w="338" w:type="pct"/>
                  <w:tcBorders>
                    <w:left w:val="single" w:color="auto" w:sz="4" w:space="0"/>
                    <w:right w:val="single" w:color="auto" w:sz="4" w:space="0"/>
                  </w:tcBorders>
                  <w:noWrap w:val="0"/>
                  <w:vAlign w:val="center"/>
                </w:tcPr>
                <w:p w14:paraId="66C0E869">
                  <w:pPr>
                    <w:widowControl/>
                    <w:jc w:val="center"/>
                    <w:textAlignment w:val="center"/>
                    <w:rPr>
                      <w:rFonts w:hint="eastAsia" w:cs="Times New Roman"/>
                      <w:b w:val="0"/>
                      <w:bCs w:val="0"/>
                      <w:color w:val="auto"/>
                      <w:szCs w:val="21"/>
                      <w:lang w:eastAsia="zh-CN"/>
                    </w:rPr>
                  </w:pPr>
                  <w:r>
                    <w:rPr>
                      <w:rFonts w:hint="eastAsia"/>
                      <w:szCs w:val="21"/>
                      <w:lang w:val="en-US" w:eastAsia="zh-CN"/>
                    </w:rPr>
                    <w:t>pH</w:t>
                  </w:r>
                </w:p>
              </w:tc>
              <w:tc>
                <w:tcPr>
                  <w:tcW w:w="353" w:type="pct"/>
                  <w:noWrap w:val="0"/>
                  <w:vAlign w:val="center"/>
                </w:tcPr>
                <w:p w14:paraId="28522BF3">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COD</w:t>
                  </w:r>
                </w:p>
              </w:tc>
              <w:tc>
                <w:tcPr>
                  <w:tcW w:w="346" w:type="pct"/>
                  <w:noWrap w:val="0"/>
                  <w:vAlign w:val="center"/>
                </w:tcPr>
                <w:p w14:paraId="51023A9D">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BOD</w:t>
                  </w:r>
                  <w:r>
                    <w:rPr>
                      <w:rFonts w:hint="default" w:ascii="Times New Roman" w:hAnsi="Times New Roman" w:cs="Times New Roman"/>
                      <w:b w:val="0"/>
                      <w:bCs w:val="0"/>
                      <w:color w:val="auto"/>
                      <w:szCs w:val="21"/>
                      <w:vertAlign w:val="subscript"/>
                    </w:rPr>
                    <w:t>5</w:t>
                  </w:r>
                </w:p>
              </w:tc>
              <w:tc>
                <w:tcPr>
                  <w:tcW w:w="346" w:type="pct"/>
                  <w:noWrap w:val="0"/>
                  <w:vAlign w:val="center"/>
                </w:tcPr>
                <w:p w14:paraId="37A435F5">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SS</w:t>
                  </w:r>
                </w:p>
              </w:tc>
              <w:tc>
                <w:tcPr>
                  <w:tcW w:w="360" w:type="pct"/>
                  <w:tcBorders>
                    <w:right w:val="single" w:color="auto" w:sz="4" w:space="0"/>
                  </w:tcBorders>
                  <w:noWrap w:val="0"/>
                  <w:vAlign w:val="center"/>
                </w:tcPr>
                <w:p w14:paraId="785CD8AB">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氨氮</w:t>
                  </w:r>
                </w:p>
              </w:tc>
              <w:tc>
                <w:tcPr>
                  <w:tcW w:w="382" w:type="pct"/>
                  <w:tcBorders>
                    <w:left w:val="single" w:color="auto" w:sz="4" w:space="0"/>
                    <w:right w:val="single" w:color="auto" w:sz="4" w:space="0"/>
                  </w:tcBorders>
                  <w:noWrap w:val="0"/>
                  <w:vAlign w:val="center"/>
                </w:tcPr>
                <w:p w14:paraId="2BC77105">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动植物油</w:t>
                  </w:r>
                </w:p>
              </w:tc>
              <w:tc>
                <w:tcPr>
                  <w:tcW w:w="375" w:type="pct"/>
                  <w:tcBorders>
                    <w:left w:val="single" w:color="auto" w:sz="4" w:space="0"/>
                    <w:right w:val="single" w:color="auto" w:sz="4" w:space="0"/>
                  </w:tcBorders>
                  <w:noWrap w:val="0"/>
                  <w:vAlign w:val="center"/>
                </w:tcPr>
                <w:p w14:paraId="59669646">
                  <w:pPr>
                    <w:widowControl/>
                    <w:jc w:val="center"/>
                    <w:textAlignment w:val="center"/>
                    <w:rPr>
                      <w:rFonts w:hint="default" w:cs="Times New Roman"/>
                      <w:b w:val="0"/>
                      <w:bCs w:val="0"/>
                      <w:color w:val="auto"/>
                      <w:szCs w:val="21"/>
                      <w:lang w:val="en-US" w:eastAsia="zh-CN"/>
                    </w:rPr>
                  </w:pPr>
                  <w:r>
                    <w:rPr>
                      <w:rFonts w:hint="eastAsia" w:cs="Times New Roman"/>
                      <w:b w:val="0"/>
                      <w:bCs w:val="0"/>
                      <w:color w:val="auto"/>
                      <w:szCs w:val="21"/>
                      <w:lang w:val="en-US" w:eastAsia="zh-CN"/>
                    </w:rPr>
                    <w:t>总磷</w:t>
                  </w:r>
                </w:p>
              </w:tc>
              <w:tc>
                <w:tcPr>
                  <w:tcW w:w="375" w:type="pct"/>
                  <w:tcBorders>
                    <w:left w:val="single" w:color="auto" w:sz="4" w:space="0"/>
                    <w:right w:val="single" w:color="auto" w:sz="4" w:space="0"/>
                  </w:tcBorders>
                  <w:noWrap w:val="0"/>
                  <w:vAlign w:val="center"/>
                </w:tcPr>
                <w:p w14:paraId="3514DF05">
                  <w:pPr>
                    <w:widowControl/>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val="en-US" w:eastAsia="zh-CN"/>
                    </w:rPr>
                    <w:t>总氮</w:t>
                  </w:r>
                </w:p>
              </w:tc>
              <w:tc>
                <w:tcPr>
                  <w:tcW w:w="404" w:type="pct"/>
                  <w:tcBorders>
                    <w:left w:val="single" w:color="auto" w:sz="4" w:space="0"/>
                    <w:right w:val="single" w:color="auto" w:sz="4" w:space="0"/>
                  </w:tcBorders>
                  <w:noWrap w:val="0"/>
                  <w:vAlign w:val="center"/>
                </w:tcPr>
                <w:p w14:paraId="4933E098">
                  <w:pPr>
                    <w:widowControl/>
                    <w:jc w:val="center"/>
                    <w:textAlignment w:val="center"/>
                    <w:rPr>
                      <w:rFonts w:hint="default" w:cs="Times New Roman"/>
                      <w:b w:val="0"/>
                      <w:bCs w:val="0"/>
                      <w:color w:val="auto"/>
                      <w:szCs w:val="21"/>
                      <w:lang w:val="en-US" w:eastAsia="zh-CN"/>
                    </w:rPr>
                  </w:pPr>
                  <w:r>
                    <w:rPr>
                      <w:rFonts w:hint="eastAsia" w:cs="Times New Roman"/>
                      <w:b w:val="0"/>
                      <w:bCs w:val="0"/>
                      <w:color w:val="auto"/>
                      <w:szCs w:val="21"/>
                      <w:lang w:val="en-US" w:eastAsia="zh-CN"/>
                    </w:rPr>
                    <w:t>氯化物</w:t>
                  </w:r>
                </w:p>
              </w:tc>
              <w:tc>
                <w:tcPr>
                  <w:tcW w:w="404" w:type="pct"/>
                  <w:tcBorders>
                    <w:left w:val="single" w:color="auto" w:sz="4" w:space="0"/>
                    <w:right w:val="single" w:color="auto" w:sz="4" w:space="0"/>
                  </w:tcBorders>
                  <w:noWrap w:val="0"/>
                  <w:vAlign w:val="center"/>
                </w:tcPr>
                <w:p w14:paraId="22A67798">
                  <w:pPr>
                    <w:widowControl/>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val="en-US" w:eastAsia="zh-CN"/>
                    </w:rPr>
                    <w:t>溶解性总固体</w:t>
                  </w:r>
                </w:p>
              </w:tc>
            </w:tr>
            <w:tr w14:paraId="65DA2B5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restart"/>
                  <w:noWrap w:val="0"/>
                  <w:vAlign w:val="center"/>
                </w:tcPr>
                <w:p w14:paraId="3BF61EF6">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生活污水</w:t>
                  </w:r>
                </w:p>
              </w:tc>
              <w:tc>
                <w:tcPr>
                  <w:tcW w:w="490" w:type="pct"/>
                  <w:noWrap w:val="0"/>
                  <w:vAlign w:val="center"/>
                </w:tcPr>
                <w:p w14:paraId="11D02998">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产生浓度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right w:val="single" w:color="auto" w:sz="4" w:space="0"/>
                  </w:tcBorders>
                  <w:noWrap w:val="0"/>
                  <w:vAlign w:val="center"/>
                </w:tcPr>
                <w:p w14:paraId="13128AC9">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500FD46A">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6-9</w:t>
                  </w:r>
                </w:p>
              </w:tc>
              <w:tc>
                <w:tcPr>
                  <w:tcW w:w="353" w:type="pct"/>
                  <w:noWrap w:val="0"/>
                  <w:vAlign w:val="center"/>
                </w:tcPr>
                <w:p w14:paraId="362A74DB">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40</w:t>
                  </w:r>
                  <w:r>
                    <w:rPr>
                      <w:rFonts w:hint="default" w:ascii="Times New Roman" w:hAnsi="Times New Roman" w:eastAsia="宋体" w:cs="Times New Roman"/>
                      <w:b w:val="0"/>
                      <w:bCs w:val="0"/>
                      <w:color w:val="auto"/>
                      <w:kern w:val="2"/>
                      <w:sz w:val="21"/>
                      <w:szCs w:val="21"/>
                      <w:lang w:val="en-US" w:eastAsia="zh-CN" w:bidi="ar-SA"/>
                    </w:rPr>
                    <w:t>0</w:t>
                  </w:r>
                </w:p>
              </w:tc>
              <w:tc>
                <w:tcPr>
                  <w:tcW w:w="346" w:type="pct"/>
                  <w:noWrap w:val="0"/>
                  <w:vAlign w:val="center"/>
                </w:tcPr>
                <w:p w14:paraId="766E8412">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r>
                    <w:rPr>
                      <w:rFonts w:hint="eastAsia" w:cs="Times New Roman"/>
                      <w:b w:val="0"/>
                      <w:bCs w:val="0"/>
                      <w:color w:val="auto"/>
                      <w:kern w:val="2"/>
                      <w:sz w:val="21"/>
                      <w:szCs w:val="21"/>
                      <w:lang w:val="en-US" w:eastAsia="zh-CN" w:bidi="ar-SA"/>
                    </w:rPr>
                    <w:t>0</w:t>
                  </w:r>
                  <w:r>
                    <w:rPr>
                      <w:rFonts w:hint="default" w:ascii="Times New Roman" w:hAnsi="Times New Roman" w:eastAsia="宋体" w:cs="Times New Roman"/>
                      <w:b w:val="0"/>
                      <w:bCs w:val="0"/>
                      <w:color w:val="auto"/>
                      <w:kern w:val="2"/>
                      <w:sz w:val="21"/>
                      <w:szCs w:val="21"/>
                      <w:lang w:val="en-US" w:eastAsia="zh-CN" w:bidi="ar-SA"/>
                    </w:rPr>
                    <w:t>0</w:t>
                  </w:r>
                </w:p>
              </w:tc>
              <w:tc>
                <w:tcPr>
                  <w:tcW w:w="346" w:type="pct"/>
                  <w:noWrap w:val="0"/>
                  <w:vAlign w:val="center"/>
                </w:tcPr>
                <w:p w14:paraId="4033794E">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200</w:t>
                  </w:r>
                </w:p>
              </w:tc>
              <w:tc>
                <w:tcPr>
                  <w:tcW w:w="360" w:type="pct"/>
                  <w:tcBorders>
                    <w:right w:val="single" w:color="auto" w:sz="4" w:space="0"/>
                  </w:tcBorders>
                  <w:noWrap w:val="0"/>
                  <w:vAlign w:val="center"/>
                </w:tcPr>
                <w:p w14:paraId="3C03BF3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30</w:t>
                  </w:r>
                </w:p>
              </w:tc>
              <w:tc>
                <w:tcPr>
                  <w:tcW w:w="382" w:type="pct"/>
                  <w:tcBorders>
                    <w:left w:val="single" w:color="auto" w:sz="4" w:space="0"/>
                    <w:right w:val="single" w:color="auto" w:sz="4" w:space="0"/>
                  </w:tcBorders>
                  <w:noWrap w:val="0"/>
                  <w:vAlign w:val="center"/>
                </w:tcPr>
                <w:p w14:paraId="61AB6DC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w:t>
                  </w:r>
                </w:p>
              </w:tc>
              <w:tc>
                <w:tcPr>
                  <w:tcW w:w="375" w:type="pct"/>
                  <w:tcBorders>
                    <w:left w:val="single" w:color="auto" w:sz="4" w:space="0"/>
                    <w:right w:val="single" w:color="auto" w:sz="4" w:space="0"/>
                  </w:tcBorders>
                  <w:noWrap w:val="0"/>
                  <w:vAlign w:val="center"/>
                </w:tcPr>
                <w:p w14:paraId="3197621B">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left w:val="single" w:color="auto" w:sz="4" w:space="0"/>
                    <w:right w:val="single" w:color="auto" w:sz="4" w:space="0"/>
                  </w:tcBorders>
                  <w:noWrap w:val="0"/>
                  <w:vAlign w:val="center"/>
                </w:tcPr>
                <w:p w14:paraId="478E1924">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341AFB2E">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565ED3B1">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7CEEA8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continue"/>
                  <w:noWrap w:val="0"/>
                  <w:vAlign w:val="center"/>
                </w:tcPr>
                <w:p w14:paraId="5AC0FBD8">
                  <w:pPr>
                    <w:widowControl/>
                    <w:jc w:val="center"/>
                    <w:textAlignment w:val="center"/>
                    <w:rPr>
                      <w:rFonts w:hint="default" w:ascii="Times New Roman" w:hAnsi="Times New Roman" w:cs="Times New Roman"/>
                      <w:b w:val="0"/>
                      <w:bCs w:val="0"/>
                      <w:color w:val="auto"/>
                      <w:szCs w:val="21"/>
                    </w:rPr>
                  </w:pPr>
                </w:p>
              </w:tc>
              <w:tc>
                <w:tcPr>
                  <w:tcW w:w="490" w:type="pct"/>
                  <w:noWrap w:val="0"/>
                  <w:vAlign w:val="center"/>
                </w:tcPr>
                <w:p w14:paraId="1417B634">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产生量（t/a）</w:t>
                  </w:r>
                </w:p>
              </w:tc>
              <w:tc>
                <w:tcPr>
                  <w:tcW w:w="353" w:type="pct"/>
                  <w:tcBorders>
                    <w:right w:val="single" w:color="auto" w:sz="4" w:space="0"/>
                  </w:tcBorders>
                  <w:noWrap w:val="0"/>
                  <w:vAlign w:val="center"/>
                </w:tcPr>
                <w:p w14:paraId="4BD6D2BF">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3456</w:t>
                  </w:r>
                </w:p>
              </w:tc>
              <w:tc>
                <w:tcPr>
                  <w:tcW w:w="338" w:type="pct"/>
                  <w:tcBorders>
                    <w:left w:val="single" w:color="auto" w:sz="4" w:space="0"/>
                    <w:right w:val="single" w:color="auto" w:sz="4" w:space="0"/>
                  </w:tcBorders>
                  <w:noWrap w:val="0"/>
                  <w:vAlign w:val="center"/>
                </w:tcPr>
                <w:p w14:paraId="6F38D745">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w:t>
                  </w:r>
                </w:p>
              </w:tc>
              <w:tc>
                <w:tcPr>
                  <w:tcW w:w="353" w:type="pct"/>
                  <w:noWrap w:val="0"/>
                  <w:vAlign w:val="center"/>
                </w:tcPr>
                <w:p w14:paraId="79DB8718">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1.3824</w:t>
                  </w:r>
                </w:p>
              </w:tc>
              <w:tc>
                <w:tcPr>
                  <w:tcW w:w="346" w:type="pct"/>
                  <w:noWrap w:val="0"/>
                  <w:vAlign w:val="center"/>
                </w:tcPr>
                <w:p w14:paraId="1436678B">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0.6912</w:t>
                  </w:r>
                </w:p>
              </w:tc>
              <w:tc>
                <w:tcPr>
                  <w:tcW w:w="346" w:type="pct"/>
                  <w:noWrap w:val="0"/>
                  <w:vAlign w:val="center"/>
                </w:tcPr>
                <w:p w14:paraId="776DB9F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0.6912</w:t>
                  </w:r>
                </w:p>
              </w:tc>
              <w:tc>
                <w:tcPr>
                  <w:tcW w:w="360" w:type="pct"/>
                  <w:tcBorders>
                    <w:right w:val="single" w:color="auto" w:sz="4" w:space="0"/>
                  </w:tcBorders>
                  <w:noWrap w:val="0"/>
                  <w:vAlign w:val="center"/>
                </w:tcPr>
                <w:p w14:paraId="617C7D69">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1037</w:t>
                  </w:r>
                </w:p>
              </w:tc>
              <w:tc>
                <w:tcPr>
                  <w:tcW w:w="382" w:type="pct"/>
                  <w:tcBorders>
                    <w:left w:val="single" w:color="auto" w:sz="4" w:space="0"/>
                    <w:right w:val="single" w:color="auto" w:sz="4" w:space="0"/>
                  </w:tcBorders>
                  <w:noWrap w:val="0"/>
                  <w:vAlign w:val="center"/>
                </w:tcPr>
                <w:p w14:paraId="375E71A8">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3456</w:t>
                  </w:r>
                </w:p>
              </w:tc>
              <w:tc>
                <w:tcPr>
                  <w:tcW w:w="375" w:type="pct"/>
                  <w:tcBorders>
                    <w:left w:val="single" w:color="auto" w:sz="4" w:space="0"/>
                    <w:right w:val="single" w:color="auto" w:sz="4" w:space="0"/>
                  </w:tcBorders>
                  <w:noWrap w:val="0"/>
                  <w:vAlign w:val="center"/>
                </w:tcPr>
                <w:p w14:paraId="6F8DF3E2">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left w:val="single" w:color="auto" w:sz="4" w:space="0"/>
                    <w:right w:val="single" w:color="auto" w:sz="4" w:space="0"/>
                  </w:tcBorders>
                  <w:noWrap w:val="0"/>
                  <w:vAlign w:val="center"/>
                </w:tcPr>
                <w:p w14:paraId="45878BF1">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6D509148">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79C3B427">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76F030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092" w:hRule="atLeast"/>
                <w:jc w:val="center"/>
              </w:trPr>
              <w:tc>
                <w:tcPr>
                  <w:tcW w:w="468" w:type="pct"/>
                  <w:vMerge w:val="continue"/>
                  <w:noWrap w:val="0"/>
                  <w:vAlign w:val="center"/>
                </w:tcPr>
                <w:p w14:paraId="4F810610">
                  <w:pPr>
                    <w:widowControl/>
                    <w:jc w:val="center"/>
                    <w:textAlignment w:val="center"/>
                    <w:rPr>
                      <w:rFonts w:hint="default" w:ascii="Times New Roman" w:hAnsi="Times New Roman" w:cs="Times New Roman"/>
                      <w:b w:val="0"/>
                      <w:bCs w:val="0"/>
                      <w:color w:val="auto"/>
                      <w:szCs w:val="21"/>
                    </w:rPr>
                  </w:pPr>
                </w:p>
              </w:tc>
              <w:tc>
                <w:tcPr>
                  <w:tcW w:w="490" w:type="pct"/>
                  <w:noWrap w:val="0"/>
                  <w:vAlign w:val="center"/>
                </w:tcPr>
                <w:p w14:paraId="34C5CFF8">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经</w:t>
                  </w:r>
                  <w:r>
                    <w:rPr>
                      <w:rFonts w:hint="eastAsia" w:cs="Times New Roman"/>
                      <w:b w:val="0"/>
                      <w:bCs w:val="0"/>
                      <w:color w:val="auto"/>
                      <w:szCs w:val="21"/>
                      <w:lang w:eastAsia="zh-CN"/>
                    </w:rPr>
                    <w:t>隔油池、</w:t>
                  </w:r>
                  <w:r>
                    <w:rPr>
                      <w:rFonts w:hint="default" w:ascii="Times New Roman" w:hAnsi="Times New Roman" w:cs="Times New Roman"/>
                      <w:b w:val="0"/>
                      <w:bCs w:val="0"/>
                      <w:color w:val="auto"/>
                      <w:szCs w:val="21"/>
                    </w:rPr>
                    <w:t>化粪池处理后浓度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right w:val="single" w:color="auto" w:sz="4" w:space="0"/>
                  </w:tcBorders>
                  <w:noWrap w:val="0"/>
                  <w:vAlign w:val="center"/>
                </w:tcPr>
                <w:p w14:paraId="178E3785">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776217A2">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6-9</w:t>
                  </w:r>
                </w:p>
              </w:tc>
              <w:tc>
                <w:tcPr>
                  <w:tcW w:w="353" w:type="pct"/>
                  <w:noWrap w:val="0"/>
                  <w:vAlign w:val="center"/>
                </w:tcPr>
                <w:p w14:paraId="5A7117C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250</w:t>
                  </w:r>
                </w:p>
              </w:tc>
              <w:tc>
                <w:tcPr>
                  <w:tcW w:w="346" w:type="pct"/>
                  <w:noWrap w:val="0"/>
                  <w:vAlign w:val="center"/>
                </w:tcPr>
                <w:p w14:paraId="1A4A3F2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140</w:t>
                  </w:r>
                </w:p>
              </w:tc>
              <w:tc>
                <w:tcPr>
                  <w:tcW w:w="346" w:type="pct"/>
                  <w:noWrap w:val="0"/>
                  <w:vAlign w:val="center"/>
                </w:tcPr>
                <w:p w14:paraId="2BD00C75">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150</w:t>
                  </w:r>
                </w:p>
              </w:tc>
              <w:tc>
                <w:tcPr>
                  <w:tcW w:w="360" w:type="pct"/>
                  <w:tcBorders>
                    <w:right w:val="single" w:color="auto" w:sz="4" w:space="0"/>
                  </w:tcBorders>
                  <w:noWrap w:val="0"/>
                  <w:vAlign w:val="center"/>
                </w:tcPr>
                <w:p w14:paraId="256D7B22">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25</w:t>
                  </w:r>
                </w:p>
              </w:tc>
              <w:tc>
                <w:tcPr>
                  <w:tcW w:w="382" w:type="pct"/>
                  <w:tcBorders>
                    <w:left w:val="single" w:color="auto" w:sz="4" w:space="0"/>
                    <w:right w:val="single" w:color="auto" w:sz="4" w:space="0"/>
                  </w:tcBorders>
                  <w:noWrap w:val="0"/>
                  <w:vAlign w:val="center"/>
                </w:tcPr>
                <w:p w14:paraId="1B48DF22">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80</w:t>
                  </w:r>
                </w:p>
              </w:tc>
              <w:tc>
                <w:tcPr>
                  <w:tcW w:w="375" w:type="pct"/>
                  <w:tcBorders>
                    <w:left w:val="single" w:color="auto" w:sz="4" w:space="0"/>
                    <w:right w:val="single" w:color="auto" w:sz="4" w:space="0"/>
                  </w:tcBorders>
                  <w:noWrap w:val="0"/>
                  <w:vAlign w:val="center"/>
                </w:tcPr>
                <w:p w14:paraId="36176090">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left w:val="single" w:color="auto" w:sz="4" w:space="0"/>
                    <w:right w:val="single" w:color="auto" w:sz="4" w:space="0"/>
                  </w:tcBorders>
                  <w:noWrap w:val="0"/>
                  <w:vAlign w:val="center"/>
                </w:tcPr>
                <w:p w14:paraId="59BEB106">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50A1C631">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1A591BD3">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172E5C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092" w:hRule="atLeast"/>
                <w:jc w:val="center"/>
              </w:trPr>
              <w:tc>
                <w:tcPr>
                  <w:tcW w:w="468" w:type="pct"/>
                  <w:vMerge w:val="continue"/>
                  <w:noWrap w:val="0"/>
                  <w:vAlign w:val="center"/>
                </w:tcPr>
                <w:p w14:paraId="10236B7D">
                  <w:pPr>
                    <w:widowControl/>
                    <w:jc w:val="center"/>
                    <w:textAlignment w:val="center"/>
                    <w:rPr>
                      <w:rFonts w:hint="default" w:ascii="Times New Roman" w:hAnsi="Times New Roman" w:cs="Times New Roman"/>
                      <w:b w:val="0"/>
                      <w:bCs w:val="0"/>
                      <w:color w:val="auto"/>
                      <w:szCs w:val="21"/>
                    </w:rPr>
                  </w:pPr>
                </w:p>
              </w:tc>
              <w:tc>
                <w:tcPr>
                  <w:tcW w:w="490" w:type="pct"/>
                  <w:noWrap w:val="0"/>
                  <w:vAlign w:val="center"/>
                </w:tcPr>
                <w:p w14:paraId="38B05535">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经</w:t>
                  </w:r>
                  <w:r>
                    <w:rPr>
                      <w:rFonts w:hint="eastAsia" w:cs="Times New Roman"/>
                      <w:b w:val="0"/>
                      <w:bCs w:val="0"/>
                      <w:color w:val="auto"/>
                      <w:szCs w:val="21"/>
                      <w:lang w:eastAsia="zh-CN"/>
                    </w:rPr>
                    <w:t>隔油池、</w:t>
                  </w:r>
                  <w:r>
                    <w:rPr>
                      <w:rFonts w:hint="default" w:ascii="Times New Roman" w:hAnsi="Times New Roman" w:cs="Times New Roman"/>
                      <w:b w:val="0"/>
                      <w:bCs w:val="0"/>
                      <w:color w:val="auto"/>
                      <w:szCs w:val="21"/>
                    </w:rPr>
                    <w:t>化粪池处理后量（t/a）</w:t>
                  </w:r>
                </w:p>
              </w:tc>
              <w:tc>
                <w:tcPr>
                  <w:tcW w:w="353" w:type="pct"/>
                  <w:tcBorders>
                    <w:right w:val="single" w:color="auto" w:sz="4" w:space="0"/>
                  </w:tcBorders>
                  <w:noWrap w:val="0"/>
                  <w:vAlign w:val="center"/>
                </w:tcPr>
                <w:p w14:paraId="0256F7EB">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3456</w:t>
                  </w:r>
                </w:p>
              </w:tc>
              <w:tc>
                <w:tcPr>
                  <w:tcW w:w="338" w:type="pct"/>
                  <w:tcBorders>
                    <w:left w:val="single" w:color="auto" w:sz="4" w:space="0"/>
                    <w:right w:val="single" w:color="auto" w:sz="4" w:space="0"/>
                  </w:tcBorders>
                  <w:noWrap w:val="0"/>
                  <w:vAlign w:val="center"/>
                </w:tcPr>
                <w:p w14:paraId="371769A8">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w:t>
                  </w:r>
                </w:p>
              </w:tc>
              <w:tc>
                <w:tcPr>
                  <w:tcW w:w="353" w:type="pct"/>
                  <w:noWrap w:val="0"/>
                  <w:vAlign w:val="center"/>
                </w:tcPr>
                <w:p w14:paraId="1522ED3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0.864</w:t>
                  </w:r>
                </w:p>
              </w:tc>
              <w:tc>
                <w:tcPr>
                  <w:tcW w:w="346" w:type="pct"/>
                  <w:noWrap w:val="0"/>
                  <w:vAlign w:val="center"/>
                </w:tcPr>
                <w:p w14:paraId="7CDBDFA7">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0.4838</w:t>
                  </w:r>
                </w:p>
              </w:tc>
              <w:tc>
                <w:tcPr>
                  <w:tcW w:w="346" w:type="pct"/>
                  <w:noWrap w:val="0"/>
                  <w:vAlign w:val="center"/>
                </w:tcPr>
                <w:p w14:paraId="3DC1F36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0.5184</w:t>
                  </w:r>
                </w:p>
              </w:tc>
              <w:tc>
                <w:tcPr>
                  <w:tcW w:w="360" w:type="pct"/>
                  <w:tcBorders>
                    <w:right w:val="single" w:color="auto" w:sz="4" w:space="0"/>
                  </w:tcBorders>
                  <w:noWrap w:val="0"/>
                  <w:vAlign w:val="center"/>
                </w:tcPr>
                <w:p w14:paraId="239AD3DB">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0864</w:t>
                  </w:r>
                </w:p>
              </w:tc>
              <w:tc>
                <w:tcPr>
                  <w:tcW w:w="382" w:type="pct"/>
                  <w:tcBorders>
                    <w:left w:val="single" w:color="auto" w:sz="4" w:space="0"/>
                    <w:right w:val="single" w:color="auto" w:sz="4" w:space="0"/>
                  </w:tcBorders>
                  <w:noWrap w:val="0"/>
                  <w:vAlign w:val="center"/>
                </w:tcPr>
                <w:p w14:paraId="00C09EFF">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2765</w:t>
                  </w:r>
                </w:p>
              </w:tc>
              <w:tc>
                <w:tcPr>
                  <w:tcW w:w="375" w:type="pct"/>
                  <w:tcBorders>
                    <w:left w:val="single" w:color="auto" w:sz="4" w:space="0"/>
                    <w:right w:val="single" w:color="auto" w:sz="4" w:space="0"/>
                  </w:tcBorders>
                  <w:noWrap w:val="0"/>
                  <w:vAlign w:val="center"/>
                </w:tcPr>
                <w:p w14:paraId="31323098">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left w:val="single" w:color="auto" w:sz="4" w:space="0"/>
                    <w:right w:val="single" w:color="auto" w:sz="4" w:space="0"/>
                  </w:tcBorders>
                  <w:noWrap w:val="0"/>
                  <w:vAlign w:val="center"/>
                </w:tcPr>
                <w:p w14:paraId="71ECE335">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43873CFC">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25301879">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04C23E3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restart"/>
                  <w:noWrap w:val="0"/>
                  <w:vAlign w:val="center"/>
                </w:tcPr>
                <w:p w14:paraId="52802B84">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纯水制备浓水、反冲洗废水、循环冷却废水、酸性废水、喷淋废水中和后废水</w:t>
                  </w:r>
                </w:p>
              </w:tc>
              <w:tc>
                <w:tcPr>
                  <w:tcW w:w="490" w:type="pct"/>
                  <w:tcBorders>
                    <w:bottom w:val="single" w:color="auto" w:sz="4" w:space="0"/>
                  </w:tcBorders>
                  <w:noWrap w:val="0"/>
                  <w:vAlign w:val="center"/>
                </w:tcPr>
                <w:p w14:paraId="3E491FB5">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bottom w:val="single" w:color="auto" w:sz="4" w:space="0"/>
                    <w:right w:val="single" w:color="auto" w:sz="4" w:space="0"/>
                  </w:tcBorders>
                  <w:noWrap w:val="0"/>
                  <w:vAlign w:val="center"/>
                </w:tcPr>
                <w:p w14:paraId="278337AB">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w:t>
                  </w:r>
                </w:p>
              </w:tc>
              <w:tc>
                <w:tcPr>
                  <w:tcW w:w="338" w:type="pct"/>
                  <w:tcBorders>
                    <w:left w:val="single" w:color="auto" w:sz="4" w:space="0"/>
                    <w:bottom w:val="single" w:color="auto" w:sz="4" w:space="0"/>
                    <w:right w:val="single" w:color="auto" w:sz="4" w:space="0"/>
                  </w:tcBorders>
                  <w:noWrap w:val="0"/>
                  <w:vAlign w:val="center"/>
                </w:tcPr>
                <w:p w14:paraId="001AB8C6">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7.3-7.4</w:t>
                  </w:r>
                </w:p>
              </w:tc>
              <w:tc>
                <w:tcPr>
                  <w:tcW w:w="353" w:type="pct"/>
                  <w:tcBorders>
                    <w:bottom w:val="single" w:color="auto" w:sz="4" w:space="0"/>
                  </w:tcBorders>
                  <w:noWrap w:val="0"/>
                  <w:vAlign w:val="center"/>
                </w:tcPr>
                <w:p w14:paraId="1E839B72">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53</w:t>
                  </w:r>
                </w:p>
              </w:tc>
              <w:tc>
                <w:tcPr>
                  <w:tcW w:w="346" w:type="pct"/>
                  <w:tcBorders>
                    <w:bottom w:val="single" w:color="auto" w:sz="4" w:space="0"/>
                  </w:tcBorders>
                  <w:noWrap w:val="0"/>
                  <w:vAlign w:val="center"/>
                </w:tcPr>
                <w:p w14:paraId="63F30071">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46" w:type="pct"/>
                  <w:tcBorders>
                    <w:bottom w:val="single" w:color="auto" w:sz="4" w:space="0"/>
                  </w:tcBorders>
                  <w:noWrap w:val="0"/>
                  <w:vAlign w:val="center"/>
                </w:tcPr>
                <w:p w14:paraId="1902908C">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14</w:t>
                  </w:r>
                </w:p>
              </w:tc>
              <w:tc>
                <w:tcPr>
                  <w:tcW w:w="360" w:type="pct"/>
                  <w:tcBorders>
                    <w:bottom w:val="single" w:color="auto" w:sz="4" w:space="0"/>
                    <w:right w:val="single" w:color="auto" w:sz="4" w:space="0"/>
                  </w:tcBorders>
                  <w:noWrap w:val="0"/>
                  <w:vAlign w:val="center"/>
                </w:tcPr>
                <w:p w14:paraId="3DC3E47A">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0.06</w:t>
                  </w:r>
                </w:p>
              </w:tc>
              <w:tc>
                <w:tcPr>
                  <w:tcW w:w="382" w:type="pct"/>
                  <w:tcBorders>
                    <w:left w:val="single" w:color="auto" w:sz="4" w:space="0"/>
                    <w:bottom w:val="single" w:color="auto" w:sz="4" w:space="0"/>
                    <w:right w:val="single" w:color="auto" w:sz="4" w:space="0"/>
                  </w:tcBorders>
                  <w:noWrap w:val="0"/>
                  <w:vAlign w:val="center"/>
                </w:tcPr>
                <w:p w14:paraId="7607C8CC">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left w:val="single" w:color="auto" w:sz="4" w:space="0"/>
                    <w:bottom w:val="single" w:color="auto" w:sz="4" w:space="0"/>
                    <w:right w:val="single" w:color="auto" w:sz="4" w:space="0"/>
                  </w:tcBorders>
                  <w:noWrap w:val="0"/>
                  <w:vAlign w:val="center"/>
                </w:tcPr>
                <w:p w14:paraId="5EE99D43">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2.22</w:t>
                  </w:r>
                </w:p>
              </w:tc>
              <w:tc>
                <w:tcPr>
                  <w:tcW w:w="375" w:type="pct"/>
                  <w:tcBorders>
                    <w:left w:val="single" w:color="auto" w:sz="4" w:space="0"/>
                    <w:bottom w:val="single" w:color="auto" w:sz="4" w:space="0"/>
                    <w:right w:val="single" w:color="auto" w:sz="4" w:space="0"/>
                  </w:tcBorders>
                  <w:noWrap w:val="0"/>
                  <w:vAlign w:val="center"/>
                </w:tcPr>
                <w:p w14:paraId="4F91F9C1">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0.94</w:t>
                  </w:r>
                </w:p>
              </w:tc>
              <w:tc>
                <w:tcPr>
                  <w:tcW w:w="404" w:type="pct"/>
                  <w:tcBorders>
                    <w:left w:val="single" w:color="auto" w:sz="4" w:space="0"/>
                    <w:bottom w:val="single" w:color="auto" w:sz="4" w:space="0"/>
                    <w:right w:val="single" w:color="auto" w:sz="4" w:space="0"/>
                  </w:tcBorders>
                  <w:noWrap w:val="0"/>
                  <w:vAlign w:val="center"/>
                </w:tcPr>
                <w:p w14:paraId="251FC026">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237</w:t>
                  </w:r>
                </w:p>
              </w:tc>
              <w:tc>
                <w:tcPr>
                  <w:tcW w:w="404" w:type="pct"/>
                  <w:tcBorders>
                    <w:left w:val="single" w:color="auto" w:sz="4" w:space="0"/>
                    <w:bottom w:val="single" w:color="auto" w:sz="4" w:space="0"/>
                    <w:right w:val="single" w:color="auto" w:sz="4" w:space="0"/>
                  </w:tcBorders>
                  <w:noWrap w:val="0"/>
                  <w:vAlign w:val="center"/>
                </w:tcPr>
                <w:p w14:paraId="7F600603">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561</w:t>
                  </w:r>
                </w:p>
              </w:tc>
            </w:tr>
            <w:tr w14:paraId="308B16A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322" w:hRule="atLeast"/>
                <w:jc w:val="center"/>
              </w:trPr>
              <w:tc>
                <w:tcPr>
                  <w:tcW w:w="468" w:type="pct"/>
                  <w:vMerge w:val="continue"/>
                  <w:tcBorders>
                    <w:bottom w:val="single" w:color="auto" w:sz="4" w:space="0"/>
                  </w:tcBorders>
                  <w:noWrap w:val="0"/>
                  <w:vAlign w:val="center"/>
                </w:tcPr>
                <w:p w14:paraId="59740430">
                  <w:pPr>
                    <w:widowControl/>
                    <w:jc w:val="center"/>
                    <w:textAlignment w:val="center"/>
                    <w:rPr>
                      <w:rFonts w:hint="default" w:ascii="Times New Roman" w:hAnsi="Times New Roman" w:cs="Times New Roman"/>
                      <w:b w:val="0"/>
                      <w:bCs w:val="0"/>
                      <w:color w:val="auto"/>
                      <w:szCs w:val="21"/>
                    </w:rPr>
                  </w:pPr>
                </w:p>
              </w:tc>
              <w:tc>
                <w:tcPr>
                  <w:tcW w:w="490" w:type="pct"/>
                  <w:tcBorders>
                    <w:top w:val="single" w:color="auto" w:sz="4" w:space="0"/>
                    <w:bottom w:val="single" w:color="auto" w:sz="4" w:space="0"/>
                  </w:tcBorders>
                  <w:noWrap w:val="0"/>
                  <w:vAlign w:val="center"/>
                </w:tcPr>
                <w:p w14:paraId="67D11024">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产生量（t/a）</w:t>
                  </w:r>
                </w:p>
              </w:tc>
              <w:tc>
                <w:tcPr>
                  <w:tcW w:w="353" w:type="pct"/>
                  <w:tcBorders>
                    <w:top w:val="single" w:color="auto" w:sz="4" w:space="0"/>
                    <w:bottom w:val="single" w:color="auto" w:sz="4" w:space="0"/>
                    <w:right w:val="single" w:color="auto" w:sz="4" w:space="0"/>
                  </w:tcBorders>
                  <w:noWrap w:val="0"/>
                  <w:vAlign w:val="center"/>
                </w:tcPr>
                <w:p w14:paraId="490BFF7F">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194445</w:t>
                  </w:r>
                </w:p>
              </w:tc>
              <w:tc>
                <w:tcPr>
                  <w:tcW w:w="338" w:type="pct"/>
                  <w:tcBorders>
                    <w:top w:val="single" w:color="auto" w:sz="4" w:space="0"/>
                    <w:left w:val="single" w:color="auto" w:sz="4" w:space="0"/>
                    <w:bottom w:val="single" w:color="auto" w:sz="4" w:space="0"/>
                    <w:right w:val="single" w:color="auto" w:sz="4" w:space="0"/>
                  </w:tcBorders>
                  <w:noWrap w:val="0"/>
                  <w:vAlign w:val="center"/>
                </w:tcPr>
                <w:p w14:paraId="0730AE7C">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w:t>
                  </w:r>
                </w:p>
              </w:tc>
              <w:tc>
                <w:tcPr>
                  <w:tcW w:w="353" w:type="pct"/>
                  <w:tcBorders>
                    <w:top w:val="single" w:color="auto" w:sz="4" w:space="0"/>
                    <w:bottom w:val="single" w:color="auto" w:sz="4" w:space="0"/>
                  </w:tcBorders>
                  <w:noWrap w:val="0"/>
                  <w:vAlign w:val="center"/>
                </w:tcPr>
                <w:p w14:paraId="7E2B5722">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10.3056</w:t>
                  </w:r>
                </w:p>
              </w:tc>
              <w:tc>
                <w:tcPr>
                  <w:tcW w:w="346" w:type="pct"/>
                  <w:tcBorders>
                    <w:top w:val="single" w:color="auto" w:sz="4" w:space="0"/>
                    <w:bottom w:val="single" w:color="auto" w:sz="4" w:space="0"/>
                  </w:tcBorders>
                  <w:noWrap w:val="0"/>
                  <w:vAlign w:val="center"/>
                </w:tcPr>
                <w:p w14:paraId="52D685D6">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46" w:type="pct"/>
                  <w:tcBorders>
                    <w:top w:val="single" w:color="auto" w:sz="4" w:space="0"/>
                    <w:bottom w:val="single" w:color="auto" w:sz="4" w:space="0"/>
                  </w:tcBorders>
                  <w:noWrap w:val="0"/>
                  <w:vAlign w:val="center"/>
                </w:tcPr>
                <w:p w14:paraId="38838ED3">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2.7222</w:t>
                  </w:r>
                </w:p>
              </w:tc>
              <w:tc>
                <w:tcPr>
                  <w:tcW w:w="360" w:type="pct"/>
                  <w:tcBorders>
                    <w:top w:val="single" w:color="auto" w:sz="4" w:space="0"/>
                    <w:bottom w:val="single" w:color="auto" w:sz="4" w:space="0"/>
                    <w:right w:val="single" w:color="auto" w:sz="4" w:space="0"/>
                  </w:tcBorders>
                  <w:noWrap w:val="0"/>
                  <w:vAlign w:val="center"/>
                </w:tcPr>
                <w:p w14:paraId="49D1BC9E">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0.0117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E780C5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6AADFCB3">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0.2689</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0E2A341B">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0.1139</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6D20CC84">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28.7076</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438BC8D9">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67.9534</w:t>
                  </w:r>
                </w:p>
              </w:tc>
            </w:tr>
            <w:tr w14:paraId="6EBE18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827" w:hRule="atLeast"/>
                <w:jc w:val="center"/>
              </w:trPr>
              <w:tc>
                <w:tcPr>
                  <w:tcW w:w="468" w:type="pct"/>
                  <w:vMerge w:val="restart"/>
                  <w:tcBorders>
                    <w:top w:val="single" w:color="auto" w:sz="4" w:space="0"/>
                  </w:tcBorders>
                  <w:noWrap w:val="0"/>
                  <w:vAlign w:val="center"/>
                </w:tcPr>
                <w:p w14:paraId="65996003">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初期雨水</w:t>
                  </w:r>
                </w:p>
              </w:tc>
              <w:tc>
                <w:tcPr>
                  <w:tcW w:w="490" w:type="pct"/>
                  <w:tcBorders>
                    <w:top w:val="single" w:color="auto" w:sz="4" w:space="0"/>
                    <w:bottom w:val="single" w:color="auto" w:sz="4" w:space="0"/>
                  </w:tcBorders>
                  <w:noWrap w:val="0"/>
                  <w:vAlign w:val="center"/>
                </w:tcPr>
                <w:p w14:paraId="0FFE1347">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top w:val="single" w:color="auto" w:sz="4" w:space="0"/>
                    <w:bottom w:val="single" w:color="auto" w:sz="4" w:space="0"/>
                    <w:right w:val="single" w:color="auto" w:sz="4" w:space="0"/>
                  </w:tcBorders>
                  <w:noWrap w:val="0"/>
                  <w:vAlign w:val="center"/>
                </w:tcPr>
                <w:p w14:paraId="1FF4D715">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w:t>
                  </w:r>
                </w:p>
              </w:tc>
              <w:tc>
                <w:tcPr>
                  <w:tcW w:w="338" w:type="pct"/>
                  <w:tcBorders>
                    <w:top w:val="single" w:color="auto" w:sz="4" w:space="0"/>
                    <w:left w:val="single" w:color="auto" w:sz="4" w:space="0"/>
                    <w:bottom w:val="single" w:color="auto" w:sz="4" w:space="0"/>
                    <w:right w:val="single" w:color="auto" w:sz="4" w:space="0"/>
                  </w:tcBorders>
                  <w:noWrap w:val="0"/>
                  <w:vAlign w:val="center"/>
                </w:tcPr>
                <w:p w14:paraId="6741D3C1">
                  <w:pPr>
                    <w:widowControl/>
                    <w:jc w:val="center"/>
                    <w:textAlignment w:val="center"/>
                    <w:rPr>
                      <w:rFonts w:hint="default" w:cs="Times New Roman"/>
                      <w:b w:val="0"/>
                      <w:bCs w:val="0"/>
                      <w:color w:val="auto"/>
                      <w:kern w:val="0"/>
                      <w:szCs w:val="21"/>
                      <w:lang w:val="en-US" w:eastAsia="zh-CN"/>
                    </w:rPr>
                  </w:pPr>
                  <w:r>
                    <w:rPr>
                      <w:rFonts w:hint="eastAsia"/>
                      <w:color w:val="auto"/>
                      <w:kern w:val="0"/>
                      <w:szCs w:val="21"/>
                      <w:lang w:val="en-US" w:eastAsia="zh-CN" w:bidi="ar"/>
                    </w:rPr>
                    <w:t>6-9</w:t>
                  </w:r>
                </w:p>
              </w:tc>
              <w:tc>
                <w:tcPr>
                  <w:tcW w:w="353" w:type="pct"/>
                  <w:tcBorders>
                    <w:top w:val="single" w:color="auto" w:sz="4" w:space="0"/>
                    <w:bottom w:val="single" w:color="auto" w:sz="4" w:space="0"/>
                  </w:tcBorders>
                  <w:noWrap w:val="0"/>
                  <w:vAlign w:val="center"/>
                </w:tcPr>
                <w:p w14:paraId="1A629358">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100</w:t>
                  </w:r>
                </w:p>
              </w:tc>
              <w:tc>
                <w:tcPr>
                  <w:tcW w:w="346" w:type="pct"/>
                  <w:tcBorders>
                    <w:top w:val="single" w:color="auto" w:sz="4" w:space="0"/>
                    <w:bottom w:val="single" w:color="auto" w:sz="4" w:space="0"/>
                  </w:tcBorders>
                  <w:noWrap w:val="0"/>
                  <w:vAlign w:val="center"/>
                </w:tcPr>
                <w:p w14:paraId="7197D38B">
                  <w:pPr>
                    <w:widowControl/>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46" w:type="pct"/>
                  <w:tcBorders>
                    <w:top w:val="single" w:color="auto" w:sz="4" w:space="0"/>
                    <w:bottom w:val="single" w:color="auto" w:sz="4" w:space="0"/>
                  </w:tcBorders>
                  <w:noWrap w:val="0"/>
                  <w:vAlign w:val="center"/>
                </w:tcPr>
                <w:p w14:paraId="0E967804">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120</w:t>
                  </w:r>
                </w:p>
              </w:tc>
              <w:tc>
                <w:tcPr>
                  <w:tcW w:w="360" w:type="pct"/>
                  <w:tcBorders>
                    <w:top w:val="single" w:color="auto" w:sz="4" w:space="0"/>
                    <w:bottom w:val="single" w:color="auto" w:sz="4" w:space="0"/>
                    <w:right w:val="single" w:color="auto" w:sz="4" w:space="0"/>
                  </w:tcBorders>
                  <w:noWrap w:val="0"/>
                  <w:vAlign w:val="center"/>
                </w:tcPr>
                <w:p w14:paraId="50F38FC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FD2065D">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69D436C0">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2B305249">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8DBD088">
                  <w:pPr>
                    <w:widowControl/>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71B5FE44">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58234EC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continue"/>
                  <w:noWrap w:val="0"/>
                  <w:vAlign w:val="center"/>
                </w:tcPr>
                <w:p w14:paraId="6683487C">
                  <w:pPr>
                    <w:widowControl/>
                    <w:jc w:val="center"/>
                    <w:textAlignment w:val="center"/>
                    <w:rPr>
                      <w:rFonts w:hint="default" w:ascii="Times New Roman" w:hAnsi="Times New Roman" w:cs="Times New Roman"/>
                      <w:b w:val="0"/>
                      <w:bCs w:val="0"/>
                      <w:color w:val="auto"/>
                      <w:szCs w:val="21"/>
                    </w:rPr>
                  </w:pPr>
                </w:p>
              </w:tc>
              <w:tc>
                <w:tcPr>
                  <w:tcW w:w="490" w:type="pct"/>
                  <w:tcBorders>
                    <w:top w:val="single" w:color="auto" w:sz="4" w:space="0"/>
                  </w:tcBorders>
                  <w:noWrap w:val="0"/>
                  <w:vAlign w:val="center"/>
                </w:tcPr>
                <w:p w14:paraId="3491BEAB">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产生量（t/a）</w:t>
                  </w:r>
                </w:p>
              </w:tc>
              <w:tc>
                <w:tcPr>
                  <w:tcW w:w="353" w:type="pct"/>
                  <w:tcBorders>
                    <w:top w:val="single" w:color="auto" w:sz="4" w:space="0"/>
                    <w:right w:val="single" w:color="auto" w:sz="4" w:space="0"/>
                  </w:tcBorders>
                  <w:noWrap w:val="0"/>
                  <w:vAlign w:val="center"/>
                </w:tcPr>
                <w:p w14:paraId="0C018AD1">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3450</w:t>
                  </w:r>
                </w:p>
              </w:tc>
              <w:tc>
                <w:tcPr>
                  <w:tcW w:w="338" w:type="pct"/>
                  <w:tcBorders>
                    <w:top w:val="single" w:color="auto" w:sz="4" w:space="0"/>
                    <w:left w:val="single" w:color="auto" w:sz="4" w:space="0"/>
                    <w:right w:val="single" w:color="auto" w:sz="4" w:space="0"/>
                  </w:tcBorders>
                  <w:noWrap w:val="0"/>
                  <w:vAlign w:val="center"/>
                </w:tcPr>
                <w:p w14:paraId="46C01A4C">
                  <w:pPr>
                    <w:widowControl/>
                    <w:jc w:val="center"/>
                    <w:textAlignment w:val="center"/>
                    <w:rPr>
                      <w:rFonts w:hint="eastAsia" w:cs="Times New Roman"/>
                      <w:b w:val="0"/>
                      <w:bCs w:val="0"/>
                      <w:color w:val="auto"/>
                      <w:kern w:val="0"/>
                      <w:szCs w:val="21"/>
                      <w:lang w:val="en-US" w:eastAsia="zh-CN"/>
                    </w:rPr>
                  </w:pPr>
                  <w:r>
                    <w:rPr>
                      <w:rFonts w:hint="eastAsia"/>
                      <w:color w:val="auto"/>
                      <w:kern w:val="0"/>
                      <w:szCs w:val="21"/>
                      <w:lang w:val="en-US" w:eastAsia="zh-CN" w:bidi="ar"/>
                    </w:rPr>
                    <w:t>/</w:t>
                  </w:r>
                </w:p>
              </w:tc>
              <w:tc>
                <w:tcPr>
                  <w:tcW w:w="353" w:type="pct"/>
                  <w:tcBorders>
                    <w:top w:val="single" w:color="auto" w:sz="4" w:space="0"/>
                    <w:left w:val="single" w:color="auto" w:sz="4" w:space="0"/>
                  </w:tcBorders>
                  <w:noWrap w:val="0"/>
                  <w:vAlign w:val="center"/>
                </w:tcPr>
                <w:p w14:paraId="0EF8C327">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0.3450</w:t>
                  </w:r>
                </w:p>
              </w:tc>
              <w:tc>
                <w:tcPr>
                  <w:tcW w:w="346" w:type="pct"/>
                  <w:tcBorders>
                    <w:top w:val="single" w:color="auto" w:sz="4" w:space="0"/>
                  </w:tcBorders>
                  <w:noWrap w:val="0"/>
                  <w:vAlign w:val="center"/>
                </w:tcPr>
                <w:p w14:paraId="48A9BA60">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46" w:type="pct"/>
                  <w:tcBorders>
                    <w:top w:val="single" w:color="auto" w:sz="4" w:space="0"/>
                  </w:tcBorders>
                  <w:noWrap w:val="0"/>
                  <w:vAlign w:val="center"/>
                </w:tcPr>
                <w:p w14:paraId="4D691198">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0.414</w:t>
                  </w:r>
                </w:p>
              </w:tc>
              <w:tc>
                <w:tcPr>
                  <w:tcW w:w="360" w:type="pct"/>
                  <w:tcBorders>
                    <w:top w:val="single" w:color="auto" w:sz="4" w:space="0"/>
                    <w:right w:val="single" w:color="auto" w:sz="4" w:space="0"/>
                  </w:tcBorders>
                  <w:noWrap w:val="0"/>
                  <w:vAlign w:val="center"/>
                </w:tcPr>
                <w:p w14:paraId="30266201">
                  <w:pPr>
                    <w:widowControl/>
                    <w:jc w:val="center"/>
                    <w:textAlignment w:val="center"/>
                    <w:rPr>
                      <w:color w:val="auto"/>
                    </w:rPr>
                  </w:pPr>
                  <w:r>
                    <w:rPr>
                      <w:rFonts w:hint="eastAsia" w:cs="Times New Roman"/>
                      <w:b w:val="0"/>
                      <w:bCs w:val="0"/>
                      <w:color w:val="auto"/>
                      <w:kern w:val="2"/>
                      <w:sz w:val="21"/>
                      <w:szCs w:val="21"/>
                      <w:lang w:val="en-US" w:eastAsia="zh-CN" w:bidi="ar-SA"/>
                    </w:rPr>
                    <w:t>/</w:t>
                  </w:r>
                </w:p>
              </w:tc>
              <w:tc>
                <w:tcPr>
                  <w:tcW w:w="382" w:type="pct"/>
                  <w:tcBorders>
                    <w:top w:val="single" w:color="auto" w:sz="4" w:space="0"/>
                    <w:left w:val="single" w:color="auto" w:sz="4" w:space="0"/>
                    <w:right w:val="single" w:color="auto" w:sz="4" w:space="0"/>
                  </w:tcBorders>
                  <w:noWrap w:val="0"/>
                  <w:vAlign w:val="center"/>
                </w:tcPr>
                <w:p w14:paraId="0DF04B1E">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top w:val="single" w:color="auto" w:sz="4" w:space="0"/>
                    <w:left w:val="single" w:color="auto" w:sz="4" w:space="0"/>
                    <w:right w:val="single" w:color="auto" w:sz="4" w:space="0"/>
                  </w:tcBorders>
                  <w:noWrap w:val="0"/>
                  <w:vAlign w:val="center"/>
                </w:tcPr>
                <w:p w14:paraId="2F9682C7">
                  <w:pPr>
                    <w:widowControl/>
                    <w:jc w:val="center"/>
                    <w:textAlignment w:val="center"/>
                    <w:rPr>
                      <w:rFonts w:hint="eastAsia"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375" w:type="pct"/>
                  <w:tcBorders>
                    <w:top w:val="single" w:color="auto" w:sz="4" w:space="0"/>
                    <w:left w:val="single" w:color="auto" w:sz="4" w:space="0"/>
                    <w:right w:val="single" w:color="auto" w:sz="4" w:space="0"/>
                  </w:tcBorders>
                  <w:noWrap w:val="0"/>
                  <w:vAlign w:val="center"/>
                </w:tcPr>
                <w:p w14:paraId="4EBD98D8">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top w:val="single" w:color="auto" w:sz="4" w:space="0"/>
                    <w:left w:val="single" w:color="auto" w:sz="4" w:space="0"/>
                    <w:right w:val="single" w:color="auto" w:sz="4" w:space="0"/>
                  </w:tcBorders>
                  <w:noWrap w:val="0"/>
                  <w:vAlign w:val="center"/>
                </w:tcPr>
                <w:p w14:paraId="55BE7951">
                  <w:pPr>
                    <w:widowControl/>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top w:val="single" w:color="auto" w:sz="4" w:space="0"/>
                    <w:left w:val="single" w:color="auto" w:sz="4" w:space="0"/>
                    <w:right w:val="single" w:color="auto" w:sz="4" w:space="0"/>
                  </w:tcBorders>
                  <w:noWrap w:val="0"/>
                  <w:vAlign w:val="center"/>
                </w:tcPr>
                <w:p w14:paraId="207232F8">
                  <w:pPr>
                    <w:widowControl/>
                    <w:jc w:val="center"/>
                    <w:textAlignment w:val="center"/>
                    <w:rPr>
                      <w:rFonts w:hint="eastAsia"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6D27CC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restart"/>
                  <w:noWrap w:val="0"/>
                  <w:vAlign w:val="center"/>
                </w:tcPr>
                <w:p w14:paraId="666A53F3">
                  <w:pPr>
                    <w:widowControl/>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综合</w:t>
                  </w:r>
                </w:p>
                <w:p w14:paraId="299ED47F">
                  <w:pPr>
                    <w:widowControl/>
                    <w:jc w:val="center"/>
                    <w:textAlignment w:val="center"/>
                    <w:rPr>
                      <w:rFonts w:hint="eastAsia" w:ascii="Times New Roman" w:hAnsi="Times New Roman" w:eastAsia="宋体" w:cs="Times New Roman"/>
                      <w:b w:val="0"/>
                      <w:bCs w:val="0"/>
                      <w:color w:val="auto"/>
                      <w:szCs w:val="21"/>
                      <w:lang w:eastAsia="zh-CN"/>
                    </w:rPr>
                  </w:pPr>
                  <w:r>
                    <w:rPr>
                      <w:rFonts w:hint="eastAsia" w:cs="Times New Roman"/>
                      <w:b w:val="0"/>
                      <w:bCs w:val="0"/>
                      <w:color w:val="auto"/>
                      <w:szCs w:val="21"/>
                      <w:lang w:eastAsia="zh-CN"/>
                    </w:rPr>
                    <w:t>废水</w:t>
                  </w:r>
                </w:p>
              </w:tc>
              <w:tc>
                <w:tcPr>
                  <w:tcW w:w="490" w:type="pct"/>
                  <w:tcBorders>
                    <w:top w:val="single" w:color="auto" w:sz="4" w:space="0"/>
                    <w:bottom w:val="single" w:color="auto" w:sz="4" w:space="0"/>
                  </w:tcBorders>
                  <w:noWrap w:val="0"/>
                  <w:vAlign w:val="center"/>
                </w:tcPr>
                <w:p w14:paraId="7B10151F">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处理后浓度</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top w:val="single" w:color="auto" w:sz="4" w:space="0"/>
                    <w:bottom w:val="single" w:color="auto" w:sz="4" w:space="0"/>
                    <w:right w:val="single" w:color="auto" w:sz="4" w:space="0"/>
                  </w:tcBorders>
                  <w:noWrap w:val="0"/>
                  <w:vAlign w:val="center"/>
                </w:tcPr>
                <w:p w14:paraId="2B2FAEE8">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w:t>
                  </w:r>
                </w:p>
              </w:tc>
              <w:tc>
                <w:tcPr>
                  <w:tcW w:w="338" w:type="pct"/>
                  <w:tcBorders>
                    <w:top w:val="single" w:color="auto" w:sz="4" w:space="0"/>
                    <w:left w:val="single" w:color="auto" w:sz="4" w:space="0"/>
                    <w:bottom w:val="single" w:color="auto" w:sz="4" w:space="0"/>
                    <w:right w:val="single" w:color="auto" w:sz="4" w:space="0"/>
                  </w:tcBorders>
                  <w:noWrap w:val="0"/>
                  <w:vAlign w:val="center"/>
                </w:tcPr>
                <w:p w14:paraId="0C58E6AE">
                  <w:pPr>
                    <w:widowControl/>
                    <w:jc w:val="center"/>
                    <w:textAlignment w:val="center"/>
                    <w:rPr>
                      <w:rFonts w:hint="default" w:cs="Times New Roman"/>
                      <w:b w:val="0"/>
                      <w:bCs w:val="0"/>
                      <w:color w:val="auto"/>
                      <w:kern w:val="0"/>
                      <w:szCs w:val="21"/>
                      <w:lang w:val="en-US" w:eastAsia="zh-CN"/>
                    </w:rPr>
                  </w:pPr>
                  <w:r>
                    <w:rPr>
                      <w:rFonts w:hint="eastAsia"/>
                      <w:color w:val="auto"/>
                      <w:kern w:val="0"/>
                      <w:szCs w:val="21"/>
                      <w:lang w:val="en-US" w:eastAsia="zh-CN" w:bidi="ar"/>
                    </w:rPr>
                    <w:t>6-9</w:t>
                  </w:r>
                </w:p>
              </w:tc>
              <w:tc>
                <w:tcPr>
                  <w:tcW w:w="353" w:type="pct"/>
                  <w:tcBorders>
                    <w:top w:val="single" w:color="auto" w:sz="4" w:space="0"/>
                    <w:left w:val="single" w:color="auto" w:sz="4" w:space="0"/>
                    <w:bottom w:val="single" w:color="auto" w:sz="4" w:space="0"/>
                  </w:tcBorders>
                  <w:noWrap w:val="0"/>
                  <w:vAlign w:val="center"/>
                </w:tcPr>
                <w:p w14:paraId="142AF0EE">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57</w:t>
                  </w:r>
                </w:p>
              </w:tc>
              <w:tc>
                <w:tcPr>
                  <w:tcW w:w="346" w:type="pct"/>
                  <w:tcBorders>
                    <w:top w:val="single" w:color="auto" w:sz="4" w:space="0"/>
                    <w:bottom w:val="single" w:color="auto" w:sz="4" w:space="0"/>
                  </w:tcBorders>
                  <w:noWrap w:val="0"/>
                  <w:vAlign w:val="center"/>
                </w:tcPr>
                <w:p w14:paraId="5E4CB834">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2.4</w:t>
                  </w:r>
                </w:p>
              </w:tc>
              <w:tc>
                <w:tcPr>
                  <w:tcW w:w="346" w:type="pct"/>
                  <w:tcBorders>
                    <w:top w:val="single" w:color="auto" w:sz="4" w:space="0"/>
                    <w:bottom w:val="single" w:color="auto" w:sz="4" w:space="0"/>
                  </w:tcBorders>
                  <w:noWrap w:val="0"/>
                  <w:vAlign w:val="center"/>
                </w:tcPr>
                <w:p w14:paraId="579B2426">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18</w:t>
                  </w:r>
                </w:p>
              </w:tc>
              <w:tc>
                <w:tcPr>
                  <w:tcW w:w="360" w:type="pct"/>
                  <w:tcBorders>
                    <w:top w:val="single" w:color="auto" w:sz="4" w:space="0"/>
                    <w:bottom w:val="single" w:color="auto" w:sz="4" w:space="0"/>
                    <w:right w:val="single" w:color="auto" w:sz="4" w:space="0"/>
                  </w:tcBorders>
                  <w:noWrap w:val="0"/>
                  <w:vAlign w:val="center"/>
                </w:tcPr>
                <w:p w14:paraId="72E955FB">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C339D95">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1.4</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4B0C9114">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1</w:t>
                  </w:r>
                </w:p>
              </w:tc>
              <w:tc>
                <w:tcPr>
                  <w:tcW w:w="375" w:type="pct"/>
                  <w:tcBorders>
                    <w:top w:val="single" w:color="auto" w:sz="4" w:space="0"/>
                    <w:left w:val="single" w:color="auto" w:sz="4" w:space="0"/>
                    <w:bottom w:val="single" w:color="auto" w:sz="4" w:space="0"/>
                    <w:right w:val="single" w:color="auto" w:sz="4" w:space="0"/>
                  </w:tcBorders>
                  <w:noWrap w:val="0"/>
                  <w:vAlign w:val="center"/>
                </w:tcPr>
                <w:p w14:paraId="1C0AD016">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71E6FF0F">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229</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AA51408">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542</w:t>
                  </w:r>
                </w:p>
              </w:tc>
            </w:tr>
            <w:tr w14:paraId="60DE6A6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563" w:hRule="atLeast"/>
                <w:jc w:val="center"/>
              </w:trPr>
              <w:tc>
                <w:tcPr>
                  <w:tcW w:w="468" w:type="pct"/>
                  <w:vMerge w:val="continue"/>
                  <w:noWrap w:val="0"/>
                  <w:vAlign w:val="center"/>
                </w:tcPr>
                <w:p w14:paraId="0BA05CF1">
                  <w:pPr>
                    <w:widowControl/>
                    <w:jc w:val="center"/>
                    <w:textAlignment w:val="center"/>
                    <w:rPr>
                      <w:rFonts w:hint="default" w:ascii="Times New Roman" w:hAnsi="Times New Roman" w:cs="Times New Roman"/>
                      <w:b w:val="0"/>
                      <w:bCs w:val="0"/>
                      <w:color w:val="auto"/>
                      <w:szCs w:val="21"/>
                    </w:rPr>
                  </w:pPr>
                </w:p>
              </w:tc>
              <w:tc>
                <w:tcPr>
                  <w:tcW w:w="490" w:type="pct"/>
                  <w:tcBorders>
                    <w:top w:val="single" w:color="auto" w:sz="4" w:space="0"/>
                  </w:tcBorders>
                  <w:noWrap w:val="0"/>
                  <w:vAlign w:val="center"/>
                </w:tcPr>
                <w:p w14:paraId="176B027D">
                  <w:pPr>
                    <w:widowControl/>
                    <w:jc w:val="center"/>
                    <w:textAlignment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处理后量（t/a）</w:t>
                  </w:r>
                </w:p>
              </w:tc>
              <w:tc>
                <w:tcPr>
                  <w:tcW w:w="353" w:type="pct"/>
                  <w:tcBorders>
                    <w:top w:val="single" w:color="auto" w:sz="4" w:space="0"/>
                    <w:right w:val="single" w:color="auto" w:sz="4" w:space="0"/>
                  </w:tcBorders>
                  <w:noWrap w:val="0"/>
                  <w:vAlign w:val="center"/>
                </w:tcPr>
                <w:p w14:paraId="37FBE488">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201351</w:t>
                  </w:r>
                </w:p>
              </w:tc>
              <w:tc>
                <w:tcPr>
                  <w:tcW w:w="338" w:type="pct"/>
                  <w:tcBorders>
                    <w:top w:val="single" w:color="auto" w:sz="4" w:space="0"/>
                    <w:left w:val="single" w:color="auto" w:sz="4" w:space="0"/>
                    <w:right w:val="single" w:color="auto" w:sz="4" w:space="0"/>
                  </w:tcBorders>
                  <w:noWrap w:val="0"/>
                  <w:vAlign w:val="center"/>
                </w:tcPr>
                <w:p w14:paraId="1AF172D2">
                  <w:pPr>
                    <w:widowControl/>
                    <w:jc w:val="center"/>
                    <w:textAlignment w:val="center"/>
                    <w:rPr>
                      <w:rFonts w:hint="default" w:cs="Times New Roman"/>
                      <w:b w:val="0"/>
                      <w:bCs w:val="0"/>
                      <w:color w:val="auto"/>
                      <w:kern w:val="0"/>
                      <w:szCs w:val="21"/>
                      <w:lang w:val="en-US" w:eastAsia="zh-CN"/>
                    </w:rPr>
                  </w:pPr>
                  <w:r>
                    <w:rPr>
                      <w:rFonts w:hint="eastAsia"/>
                      <w:color w:val="auto"/>
                      <w:kern w:val="0"/>
                      <w:szCs w:val="21"/>
                      <w:lang w:val="en-US" w:eastAsia="zh-CN" w:bidi="ar"/>
                    </w:rPr>
                    <w:t>/</w:t>
                  </w:r>
                </w:p>
              </w:tc>
              <w:tc>
                <w:tcPr>
                  <w:tcW w:w="353" w:type="pct"/>
                  <w:tcBorders>
                    <w:top w:val="single" w:color="auto" w:sz="4" w:space="0"/>
                    <w:left w:val="single" w:color="auto" w:sz="4" w:space="0"/>
                  </w:tcBorders>
                  <w:noWrap w:val="0"/>
                  <w:vAlign w:val="center"/>
                </w:tcPr>
                <w:p w14:paraId="04A73732">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11.5146</w:t>
                  </w:r>
                </w:p>
              </w:tc>
              <w:tc>
                <w:tcPr>
                  <w:tcW w:w="346" w:type="pct"/>
                  <w:tcBorders>
                    <w:top w:val="single" w:color="auto" w:sz="4" w:space="0"/>
                  </w:tcBorders>
                  <w:noWrap w:val="0"/>
                  <w:vAlign w:val="center"/>
                </w:tcPr>
                <w:p w14:paraId="536A3D0D">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0.4838</w:t>
                  </w:r>
                </w:p>
              </w:tc>
              <w:tc>
                <w:tcPr>
                  <w:tcW w:w="346" w:type="pct"/>
                  <w:tcBorders>
                    <w:top w:val="single" w:color="auto" w:sz="4" w:space="0"/>
                  </w:tcBorders>
                  <w:noWrap w:val="0"/>
                  <w:vAlign w:val="center"/>
                </w:tcPr>
                <w:p w14:paraId="64AE10C9">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3.6546</w:t>
                  </w:r>
                </w:p>
              </w:tc>
              <w:tc>
                <w:tcPr>
                  <w:tcW w:w="360" w:type="pct"/>
                  <w:tcBorders>
                    <w:top w:val="single" w:color="auto" w:sz="4" w:space="0"/>
                    <w:right w:val="single" w:color="auto" w:sz="4" w:space="0"/>
                  </w:tcBorders>
                  <w:noWrap w:val="0"/>
                  <w:vAlign w:val="center"/>
                </w:tcPr>
                <w:p w14:paraId="46E301BA">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0.0981</w:t>
                  </w:r>
                </w:p>
              </w:tc>
              <w:tc>
                <w:tcPr>
                  <w:tcW w:w="382" w:type="pct"/>
                  <w:tcBorders>
                    <w:top w:val="single" w:color="auto" w:sz="4" w:space="0"/>
                    <w:left w:val="single" w:color="auto" w:sz="4" w:space="0"/>
                    <w:right w:val="single" w:color="auto" w:sz="4" w:space="0"/>
                  </w:tcBorders>
                  <w:noWrap w:val="0"/>
                  <w:vAlign w:val="center"/>
                </w:tcPr>
                <w:p w14:paraId="6D61AAAF">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0.2765</w:t>
                  </w:r>
                </w:p>
              </w:tc>
              <w:tc>
                <w:tcPr>
                  <w:tcW w:w="375" w:type="pct"/>
                  <w:tcBorders>
                    <w:top w:val="single" w:color="auto" w:sz="4" w:space="0"/>
                    <w:left w:val="single" w:color="auto" w:sz="4" w:space="0"/>
                    <w:right w:val="single" w:color="auto" w:sz="4" w:space="0"/>
                  </w:tcBorders>
                  <w:noWrap w:val="0"/>
                  <w:vAlign w:val="center"/>
                </w:tcPr>
                <w:p w14:paraId="050FE844">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0.2689</w:t>
                  </w:r>
                </w:p>
              </w:tc>
              <w:tc>
                <w:tcPr>
                  <w:tcW w:w="375" w:type="pct"/>
                  <w:tcBorders>
                    <w:top w:val="single" w:color="auto" w:sz="4" w:space="0"/>
                    <w:left w:val="single" w:color="auto" w:sz="4" w:space="0"/>
                    <w:right w:val="single" w:color="auto" w:sz="4" w:space="0"/>
                  </w:tcBorders>
                  <w:noWrap w:val="0"/>
                  <w:vAlign w:val="center"/>
                </w:tcPr>
                <w:p w14:paraId="00119C06">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0.1139</w:t>
                  </w:r>
                </w:p>
              </w:tc>
              <w:tc>
                <w:tcPr>
                  <w:tcW w:w="404" w:type="pct"/>
                  <w:tcBorders>
                    <w:top w:val="single" w:color="auto" w:sz="4" w:space="0"/>
                    <w:left w:val="single" w:color="auto" w:sz="4" w:space="0"/>
                    <w:right w:val="single" w:color="auto" w:sz="4" w:space="0"/>
                  </w:tcBorders>
                  <w:noWrap w:val="0"/>
                  <w:vAlign w:val="center"/>
                </w:tcPr>
                <w:p w14:paraId="2BD06A32">
                  <w:pPr>
                    <w:widowControl/>
                    <w:jc w:val="center"/>
                    <w:textAlignment w:val="center"/>
                    <w:rPr>
                      <w:rFonts w:hint="default" w:ascii="Times New Roman" w:hAnsi="Times New Roman" w:eastAsia="宋体"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28.7076</w:t>
                  </w:r>
                </w:p>
              </w:tc>
              <w:tc>
                <w:tcPr>
                  <w:tcW w:w="404" w:type="pct"/>
                  <w:tcBorders>
                    <w:top w:val="single" w:color="auto" w:sz="4" w:space="0"/>
                    <w:left w:val="single" w:color="auto" w:sz="4" w:space="0"/>
                    <w:right w:val="single" w:color="auto" w:sz="4" w:space="0"/>
                  </w:tcBorders>
                  <w:noWrap w:val="0"/>
                  <w:vAlign w:val="center"/>
                </w:tcPr>
                <w:p w14:paraId="5A74FE24">
                  <w:pPr>
                    <w:widowControl/>
                    <w:jc w:val="center"/>
                    <w:textAlignment w:val="center"/>
                    <w:rPr>
                      <w:rFonts w:hint="default" w:cs="Times New Roman"/>
                      <w:b w:val="0"/>
                      <w:bCs w:val="0"/>
                      <w:color w:val="FF0000"/>
                      <w:kern w:val="2"/>
                      <w:sz w:val="21"/>
                      <w:szCs w:val="21"/>
                      <w:lang w:val="en-US" w:eastAsia="zh-CN" w:bidi="ar-SA"/>
                    </w:rPr>
                  </w:pPr>
                  <w:r>
                    <w:rPr>
                      <w:rFonts w:hint="eastAsia" w:cs="Times New Roman"/>
                      <w:b w:val="0"/>
                      <w:bCs w:val="0"/>
                      <w:color w:val="auto"/>
                      <w:kern w:val="2"/>
                      <w:sz w:val="21"/>
                      <w:szCs w:val="21"/>
                      <w:lang w:val="en-US" w:eastAsia="zh-CN" w:bidi="ar-SA"/>
                    </w:rPr>
                    <w:t>67.9534</w:t>
                  </w:r>
                </w:p>
              </w:tc>
            </w:tr>
            <w:tr w14:paraId="4AB7AF8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092" w:hRule="atLeast"/>
                <w:jc w:val="center"/>
              </w:trPr>
              <w:tc>
                <w:tcPr>
                  <w:tcW w:w="959" w:type="pct"/>
                  <w:gridSpan w:val="2"/>
                  <w:noWrap w:val="0"/>
                  <w:vAlign w:val="center"/>
                </w:tcPr>
                <w:p w14:paraId="7AD50DBB">
                  <w:pPr>
                    <w:jc w:val="center"/>
                    <w:rPr>
                      <w:rFonts w:hint="default" w:ascii="Times New Roman" w:hAnsi="Times New Roman" w:eastAsia="宋体" w:cs="Times New Roman"/>
                      <w:b w:val="0"/>
                      <w:bCs w:val="0"/>
                      <w:color w:val="auto"/>
                      <w:kern w:val="2"/>
                      <w:sz w:val="21"/>
                      <w:szCs w:val="24"/>
                      <w:lang w:val="en-US" w:eastAsia="zh-CN" w:bidi="ar"/>
                    </w:rPr>
                  </w:pPr>
                  <w:r>
                    <w:rPr>
                      <w:rFonts w:hint="eastAsia" w:eastAsia="宋体" w:cs="Times New Roman"/>
                      <w:b w:val="0"/>
                      <w:bCs w:val="0"/>
                      <w:color w:val="auto"/>
                      <w:kern w:val="2"/>
                      <w:sz w:val="21"/>
                      <w:szCs w:val="24"/>
                      <w:lang w:val="en-US" w:eastAsia="zh-CN" w:bidi="ar"/>
                    </w:rPr>
                    <w:t>排放去向</w:t>
                  </w:r>
                </w:p>
              </w:tc>
              <w:tc>
                <w:tcPr>
                  <w:tcW w:w="4040" w:type="pct"/>
                  <w:gridSpan w:val="11"/>
                  <w:tcBorders>
                    <w:right w:val="single" w:color="auto" w:sz="4" w:space="0"/>
                  </w:tcBorders>
                  <w:noWrap w:val="0"/>
                  <w:vAlign w:val="center"/>
                </w:tcPr>
                <w:p w14:paraId="5C47C485">
                  <w:pPr>
                    <w:jc w:val="center"/>
                    <w:rPr>
                      <w:rFonts w:hint="eastAsia"/>
                      <w:b w:val="0"/>
                      <w:bCs/>
                      <w:color w:val="auto"/>
                      <w:sz w:val="21"/>
                      <w:szCs w:val="21"/>
                    </w:rPr>
                  </w:pPr>
                  <w:r>
                    <w:rPr>
                      <w:rFonts w:hint="eastAsia"/>
                      <w:b w:val="0"/>
                      <w:bCs/>
                      <w:color w:val="auto"/>
                      <w:sz w:val="21"/>
                      <w:szCs w:val="21"/>
                    </w:rPr>
                    <w:t>项目生活污水经</w:t>
                  </w:r>
                  <w:r>
                    <w:rPr>
                      <w:rFonts w:hint="eastAsia"/>
                      <w:b w:val="0"/>
                      <w:bCs/>
                      <w:color w:val="auto"/>
                      <w:sz w:val="21"/>
                      <w:szCs w:val="21"/>
                      <w:lang w:eastAsia="zh-CN"/>
                    </w:rPr>
                    <w:t>隔油池、</w:t>
                  </w:r>
                  <w:r>
                    <w:rPr>
                      <w:rFonts w:hint="eastAsia"/>
                      <w:b w:val="0"/>
                      <w:bCs/>
                      <w:color w:val="auto"/>
                      <w:sz w:val="21"/>
                      <w:szCs w:val="21"/>
                    </w:rPr>
                    <w:t>化粪池</w:t>
                  </w:r>
                  <w:r>
                    <w:rPr>
                      <w:rFonts w:hint="eastAsia"/>
                      <w:color w:val="auto"/>
                      <w:sz w:val="21"/>
                      <w:szCs w:val="21"/>
                      <w:lang w:eastAsia="zh-CN"/>
                    </w:rPr>
                    <w:t>预处理，酸性废水和喷淋废水采用液碱在中和罐进行中和至中性后进入调节池，与纯水制备浓水、反冲洗废水、循环冷却排水、生活污水、初期雨水一同排入园区污水管网，进入固镇经济开发区污水处理厂处理达标后排入北淝河下段。</w:t>
                  </w:r>
                </w:p>
              </w:tc>
            </w:tr>
            <w:tr w14:paraId="0213F6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356" w:hRule="atLeast"/>
                <w:jc w:val="center"/>
              </w:trPr>
              <w:tc>
                <w:tcPr>
                  <w:tcW w:w="1312" w:type="pct"/>
                  <w:gridSpan w:val="3"/>
                  <w:tcBorders>
                    <w:right w:val="single" w:color="auto" w:sz="4" w:space="0"/>
                  </w:tcBorders>
                  <w:noWrap w:val="0"/>
                  <w:vAlign w:val="center"/>
                </w:tcPr>
                <w:p w14:paraId="6B654C67">
                  <w:pPr>
                    <w:widowControl/>
                    <w:jc w:val="center"/>
                    <w:rPr>
                      <w:rFonts w:hint="eastAsia" w:cs="Times New Roman"/>
                      <w:color w:val="auto"/>
                      <w:kern w:val="2"/>
                      <w:sz w:val="21"/>
                      <w:szCs w:val="21"/>
                      <w:lang w:val="zh-CN" w:eastAsia="zh-CN" w:bidi="ar-SA"/>
                    </w:rPr>
                  </w:pPr>
                  <w:r>
                    <w:rPr>
                      <w:rFonts w:hint="eastAsia" w:cs="Times New Roman"/>
                      <w:color w:val="auto"/>
                      <w:kern w:val="2"/>
                      <w:sz w:val="21"/>
                      <w:szCs w:val="21"/>
                      <w:lang w:val="zh-CN" w:eastAsia="zh-CN" w:bidi="ar-SA"/>
                    </w:rPr>
                    <w:t>本项目水污染物基准排水量排放浓度（</w:t>
                  </w:r>
                  <w:r>
                    <w:rPr>
                      <w:rFonts w:hint="default" w:ascii="Times New Roman" w:hAnsi="Times New Roman" w:eastAsia="宋体" w:cs="Times New Roman"/>
                      <w:color w:val="auto"/>
                      <w:kern w:val="2"/>
                      <w:sz w:val="21"/>
                      <w:szCs w:val="21"/>
                      <w:lang w:val="en-US" w:eastAsia="zh-CN" w:bidi="ar-SA"/>
                    </w:rPr>
                    <w:t>mg/L</w:t>
                  </w:r>
                  <w:r>
                    <w:rPr>
                      <w:rFonts w:hint="eastAsia" w:cs="Times New Roman"/>
                      <w:color w:val="auto"/>
                      <w:kern w:val="2"/>
                      <w:sz w:val="21"/>
                      <w:szCs w:val="21"/>
                      <w:lang w:val="en-US" w:eastAsia="zh-CN" w:bidi="ar-SA"/>
                    </w:rPr>
                    <w:t>）</w:t>
                  </w:r>
                </w:p>
                <w:p w14:paraId="79031A8C">
                  <w:pPr>
                    <w:jc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Q</w:t>
                  </w:r>
                  <w:r>
                    <w:rPr>
                      <w:rFonts w:hint="eastAsia" w:cs="Times New Roman"/>
                      <w:b w:val="0"/>
                      <w:bCs w:val="0"/>
                      <w:color w:val="auto"/>
                      <w:kern w:val="0"/>
                      <w:szCs w:val="21"/>
                      <w:vertAlign w:val="subscript"/>
                      <w:lang w:val="en-US" w:eastAsia="zh-CN"/>
                    </w:rPr>
                    <w:t>总</w:t>
                  </w:r>
                  <w:r>
                    <w:rPr>
                      <w:rFonts w:hint="eastAsia" w:cs="Times New Roman"/>
                      <w:b w:val="0"/>
                      <w:bCs w:val="0"/>
                      <w:color w:val="auto"/>
                      <w:kern w:val="0"/>
                      <w:szCs w:val="21"/>
                      <w:lang w:val="en-US" w:eastAsia="zh-CN"/>
                    </w:rPr>
                    <w:t>/（</w:t>
                  </w:r>
                  <w:r>
                    <w:rPr>
                      <w:rFonts w:hint="eastAsia" w:cs="Times New Roman"/>
                      <w:color w:val="auto"/>
                      <w:sz w:val="21"/>
                      <w:szCs w:val="21"/>
                      <w:lang w:val="en-US" w:eastAsia="zh-CN"/>
                    </w:rPr>
                    <w:t>5.0m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/t产品）=8</w:t>
                  </w:r>
                </w:p>
              </w:tc>
              <w:tc>
                <w:tcPr>
                  <w:tcW w:w="338" w:type="pct"/>
                  <w:tcBorders>
                    <w:left w:val="single" w:color="auto" w:sz="4" w:space="0"/>
                    <w:right w:val="single" w:color="auto" w:sz="4" w:space="0"/>
                  </w:tcBorders>
                  <w:noWrap w:val="0"/>
                  <w:vAlign w:val="center"/>
                </w:tcPr>
                <w:p w14:paraId="6E3F6B14">
                  <w:pPr>
                    <w:jc w:val="center"/>
                    <w:rPr>
                      <w:rFonts w:hint="default"/>
                      <w:color w:val="auto"/>
                      <w:kern w:val="0"/>
                      <w:szCs w:val="21"/>
                      <w:lang w:val="en-US" w:eastAsia="zh-CN" w:bidi="ar"/>
                    </w:rPr>
                  </w:pPr>
                  <w:r>
                    <w:rPr>
                      <w:rFonts w:hint="eastAsia"/>
                      <w:color w:val="auto"/>
                      <w:kern w:val="0"/>
                      <w:szCs w:val="21"/>
                      <w:lang w:val="en-US" w:eastAsia="zh-CN" w:bidi="ar"/>
                    </w:rPr>
                    <w:t>6-9</w:t>
                  </w:r>
                </w:p>
              </w:tc>
              <w:tc>
                <w:tcPr>
                  <w:tcW w:w="353" w:type="pct"/>
                  <w:noWrap w:val="0"/>
                  <w:vAlign w:val="center"/>
                </w:tcPr>
                <w:p w14:paraId="38993E70">
                  <w:pPr>
                    <w:jc w:val="center"/>
                    <w:rPr>
                      <w:rFonts w:hint="default" w:eastAsia="宋体" w:cs="Times New Roman"/>
                      <w:b w:val="0"/>
                      <w:bCs w:val="0"/>
                      <w:color w:val="auto"/>
                      <w:lang w:val="en-US" w:eastAsia="zh-CN" w:bidi="ar"/>
                    </w:rPr>
                  </w:pPr>
                  <w:r>
                    <w:rPr>
                      <w:rFonts w:hint="eastAsia" w:cs="Times New Roman"/>
                      <w:b w:val="0"/>
                      <w:bCs w:val="0"/>
                      <w:color w:val="auto"/>
                      <w:lang w:val="en-US" w:eastAsia="zh-CN" w:bidi="ar"/>
                    </w:rPr>
                    <w:t>456</w:t>
                  </w:r>
                </w:p>
              </w:tc>
              <w:tc>
                <w:tcPr>
                  <w:tcW w:w="346" w:type="pct"/>
                  <w:noWrap w:val="0"/>
                  <w:vAlign w:val="center"/>
                </w:tcPr>
                <w:p w14:paraId="4F313D30">
                  <w:pPr>
                    <w:jc w:val="center"/>
                    <w:rPr>
                      <w:rFonts w:hint="default" w:cs="Times New Roman"/>
                      <w:b w:val="0"/>
                      <w:bCs w:val="0"/>
                      <w:color w:val="auto"/>
                      <w:lang w:val="en-US" w:eastAsia="zh-CN" w:bidi="ar"/>
                    </w:rPr>
                  </w:pPr>
                  <w:r>
                    <w:rPr>
                      <w:rFonts w:hint="eastAsia" w:cs="Times New Roman"/>
                      <w:b w:val="0"/>
                      <w:bCs w:val="0"/>
                      <w:color w:val="auto"/>
                      <w:lang w:val="en-US" w:eastAsia="zh-CN" w:bidi="ar"/>
                    </w:rPr>
                    <w:t>/</w:t>
                  </w:r>
                </w:p>
              </w:tc>
              <w:tc>
                <w:tcPr>
                  <w:tcW w:w="346" w:type="pct"/>
                  <w:noWrap w:val="0"/>
                  <w:vAlign w:val="center"/>
                </w:tcPr>
                <w:p w14:paraId="400BB2A4">
                  <w:pPr>
                    <w:jc w:val="center"/>
                    <w:rPr>
                      <w:rFonts w:hint="default" w:eastAsia="宋体" w:cs="Times New Roman"/>
                      <w:b w:val="0"/>
                      <w:bCs w:val="0"/>
                      <w:color w:val="auto"/>
                      <w:lang w:val="en-US" w:eastAsia="zh-CN" w:bidi="ar"/>
                    </w:rPr>
                  </w:pPr>
                  <w:r>
                    <w:rPr>
                      <w:rFonts w:hint="eastAsia" w:cs="Times New Roman"/>
                      <w:b w:val="0"/>
                      <w:bCs w:val="0"/>
                      <w:color w:val="auto"/>
                      <w:lang w:val="en-US" w:eastAsia="zh-CN" w:bidi="ar"/>
                    </w:rPr>
                    <w:t>144</w:t>
                  </w:r>
                </w:p>
              </w:tc>
              <w:tc>
                <w:tcPr>
                  <w:tcW w:w="360" w:type="pct"/>
                  <w:tcBorders>
                    <w:right w:val="single" w:color="auto" w:sz="4" w:space="0"/>
                  </w:tcBorders>
                  <w:noWrap w:val="0"/>
                  <w:vAlign w:val="center"/>
                </w:tcPr>
                <w:p w14:paraId="20D26F6C">
                  <w:pPr>
                    <w:jc w:val="center"/>
                    <w:rPr>
                      <w:rFonts w:hint="default" w:eastAsia="宋体" w:cs="Times New Roman"/>
                      <w:b w:val="0"/>
                      <w:bCs w:val="0"/>
                      <w:color w:val="auto"/>
                      <w:lang w:val="en-US" w:eastAsia="zh-CN" w:bidi="ar"/>
                    </w:rPr>
                  </w:pPr>
                  <w:r>
                    <w:rPr>
                      <w:rFonts w:hint="eastAsia" w:cs="Times New Roman"/>
                      <w:b w:val="0"/>
                      <w:bCs w:val="0"/>
                      <w:color w:val="auto"/>
                      <w:lang w:val="en-US" w:eastAsia="zh-CN" w:bidi="ar"/>
                    </w:rPr>
                    <w:t>4</w:t>
                  </w:r>
                </w:p>
              </w:tc>
              <w:tc>
                <w:tcPr>
                  <w:tcW w:w="382" w:type="pct"/>
                  <w:tcBorders>
                    <w:left w:val="single" w:color="auto" w:sz="4" w:space="0"/>
                    <w:right w:val="single" w:color="auto" w:sz="4" w:space="0"/>
                  </w:tcBorders>
                  <w:noWrap w:val="0"/>
                  <w:vAlign w:val="center"/>
                </w:tcPr>
                <w:p w14:paraId="7EC54879">
                  <w:pPr>
                    <w:jc w:val="center"/>
                    <w:rPr>
                      <w:rFonts w:hint="default"/>
                      <w:bCs/>
                      <w:szCs w:val="21"/>
                      <w:lang w:val="en-US" w:eastAsia="zh-CN"/>
                    </w:rPr>
                  </w:pPr>
                  <w:r>
                    <w:rPr>
                      <w:rFonts w:hint="eastAsia"/>
                      <w:bCs/>
                      <w:szCs w:val="21"/>
                      <w:lang w:val="en-US" w:eastAsia="zh-CN"/>
                    </w:rPr>
                    <w:t>/</w:t>
                  </w:r>
                </w:p>
              </w:tc>
              <w:tc>
                <w:tcPr>
                  <w:tcW w:w="375" w:type="pct"/>
                  <w:tcBorders>
                    <w:left w:val="single" w:color="auto" w:sz="4" w:space="0"/>
                    <w:right w:val="single" w:color="auto" w:sz="4" w:space="0"/>
                  </w:tcBorders>
                  <w:noWrap w:val="0"/>
                  <w:vAlign w:val="center"/>
                </w:tcPr>
                <w:p w14:paraId="5D28C63C">
                  <w:pPr>
                    <w:jc w:val="center"/>
                    <w:rPr>
                      <w:rFonts w:hint="default"/>
                      <w:bCs/>
                      <w:szCs w:val="21"/>
                      <w:lang w:val="en-US" w:eastAsia="zh-CN"/>
                    </w:rPr>
                  </w:pPr>
                  <w:r>
                    <w:rPr>
                      <w:rFonts w:hint="eastAsia"/>
                      <w:bCs/>
                      <w:szCs w:val="21"/>
                      <w:lang w:val="en-US" w:eastAsia="zh-CN"/>
                    </w:rPr>
                    <w:t>8</w:t>
                  </w:r>
                </w:p>
              </w:tc>
              <w:tc>
                <w:tcPr>
                  <w:tcW w:w="375" w:type="pct"/>
                  <w:tcBorders>
                    <w:left w:val="single" w:color="auto" w:sz="4" w:space="0"/>
                    <w:right w:val="single" w:color="auto" w:sz="4" w:space="0"/>
                  </w:tcBorders>
                  <w:noWrap w:val="0"/>
                  <w:vAlign w:val="center"/>
                </w:tcPr>
                <w:p w14:paraId="3D8D41EA">
                  <w:pPr>
                    <w:jc w:val="center"/>
                    <w:rPr>
                      <w:rFonts w:hint="default"/>
                      <w:bCs/>
                      <w:szCs w:val="21"/>
                      <w:lang w:val="en-US" w:eastAsia="zh-CN"/>
                    </w:rPr>
                  </w:pPr>
                  <w:r>
                    <w:rPr>
                      <w:rFonts w:hint="eastAsia"/>
                      <w:bCs/>
                      <w:szCs w:val="21"/>
                      <w:lang w:val="en-US" w:eastAsia="zh-CN"/>
                    </w:rPr>
                    <w:t>5</w:t>
                  </w:r>
                </w:p>
              </w:tc>
              <w:tc>
                <w:tcPr>
                  <w:tcW w:w="404" w:type="pct"/>
                  <w:tcBorders>
                    <w:left w:val="single" w:color="auto" w:sz="4" w:space="0"/>
                    <w:right w:val="single" w:color="auto" w:sz="4" w:space="0"/>
                  </w:tcBorders>
                  <w:noWrap w:val="0"/>
                  <w:vAlign w:val="center"/>
                </w:tcPr>
                <w:p w14:paraId="1EB631F3">
                  <w:pPr>
                    <w:jc w:val="center"/>
                    <w:rPr>
                      <w:rFonts w:hint="default"/>
                      <w:bCs/>
                      <w:szCs w:val="21"/>
                      <w:lang w:val="en-US" w:eastAsia="zh-CN"/>
                    </w:rPr>
                  </w:pPr>
                  <w:r>
                    <w:rPr>
                      <w:rFonts w:hint="eastAsia"/>
                      <w:bCs/>
                      <w:szCs w:val="21"/>
                      <w:lang w:val="en-US" w:eastAsia="zh-CN"/>
                    </w:rPr>
                    <w:t>/</w:t>
                  </w:r>
                </w:p>
              </w:tc>
              <w:tc>
                <w:tcPr>
                  <w:tcW w:w="404" w:type="pct"/>
                  <w:tcBorders>
                    <w:left w:val="single" w:color="auto" w:sz="4" w:space="0"/>
                    <w:right w:val="single" w:color="auto" w:sz="4" w:space="0"/>
                  </w:tcBorders>
                  <w:noWrap w:val="0"/>
                  <w:vAlign w:val="center"/>
                </w:tcPr>
                <w:p w14:paraId="774BE023">
                  <w:pPr>
                    <w:jc w:val="center"/>
                    <w:rPr>
                      <w:rFonts w:hint="default"/>
                      <w:bCs/>
                      <w:szCs w:val="21"/>
                      <w:lang w:val="en-US" w:eastAsia="zh-CN"/>
                    </w:rPr>
                  </w:pPr>
                  <w:r>
                    <w:rPr>
                      <w:rFonts w:hint="eastAsia"/>
                      <w:bCs/>
                      <w:szCs w:val="21"/>
                      <w:lang w:val="en-US" w:eastAsia="zh-CN"/>
                    </w:rPr>
                    <w:t>/</w:t>
                  </w:r>
                </w:p>
              </w:tc>
            </w:tr>
            <w:tr w14:paraId="55652B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827" w:hRule="atLeast"/>
                <w:jc w:val="center"/>
              </w:trPr>
              <w:tc>
                <w:tcPr>
                  <w:tcW w:w="959" w:type="pct"/>
                  <w:gridSpan w:val="2"/>
                  <w:noWrap w:val="0"/>
                  <w:vAlign w:val="center"/>
                </w:tcPr>
                <w:p w14:paraId="29D57FC6">
                  <w:pPr>
                    <w:widowControl/>
                    <w:jc w:val="center"/>
                    <w:rPr>
                      <w:rFonts w:hint="default" w:ascii="Times New Roman" w:hAnsi="Times New Roman" w:eastAsia="宋体" w:cs="Times New Roman"/>
                      <w:b w:val="0"/>
                      <w:bCs w:val="0"/>
                      <w:color w:val="auto"/>
                      <w:kern w:val="2"/>
                      <w:sz w:val="21"/>
                      <w:szCs w:val="24"/>
                      <w:lang w:val="en-US" w:eastAsia="zh-CN" w:bidi="ar"/>
                    </w:rPr>
                  </w:pPr>
                  <w:r>
                    <w:rPr>
                      <w:rFonts w:hint="eastAsia" w:cs="Times New Roman"/>
                      <w:color w:val="auto"/>
                      <w:kern w:val="2"/>
                      <w:sz w:val="21"/>
                      <w:szCs w:val="21"/>
                      <w:lang w:val="zh-CN" w:eastAsia="zh-CN" w:bidi="ar-SA"/>
                    </w:rPr>
                    <w:t>固镇经济开发区</w:t>
                  </w:r>
                  <w:r>
                    <w:rPr>
                      <w:rFonts w:hint="eastAsia" w:ascii="Times New Roman" w:hAnsi="Times New Roman" w:eastAsia="宋体" w:cs="Times New Roman"/>
                      <w:color w:val="auto"/>
                      <w:kern w:val="2"/>
                      <w:sz w:val="21"/>
                      <w:szCs w:val="21"/>
                      <w:lang w:val="zh-CN" w:eastAsia="zh-CN" w:bidi="ar-SA"/>
                    </w:rPr>
                    <w:t>污水处理厂处理接管标准（</w:t>
                  </w:r>
                  <w:r>
                    <w:rPr>
                      <w:rFonts w:hint="default" w:ascii="Times New Roman" w:hAnsi="Times New Roman" w:eastAsia="宋体" w:cs="Times New Roman"/>
                      <w:color w:val="auto"/>
                      <w:kern w:val="2"/>
                      <w:sz w:val="21"/>
                      <w:szCs w:val="21"/>
                      <w:lang w:val="en-US" w:eastAsia="zh-CN" w:bidi="ar-SA"/>
                    </w:rPr>
                    <w:t>mg/L)</w:t>
                  </w:r>
                </w:p>
              </w:tc>
              <w:tc>
                <w:tcPr>
                  <w:tcW w:w="353" w:type="pct"/>
                  <w:tcBorders>
                    <w:right w:val="single" w:color="auto" w:sz="4" w:space="0"/>
                  </w:tcBorders>
                  <w:noWrap w:val="0"/>
                  <w:vAlign w:val="center"/>
                </w:tcPr>
                <w:p w14:paraId="7FFFB16A">
                  <w:pPr>
                    <w:jc w:val="center"/>
                    <w:rPr>
                      <w:rFonts w:hint="eastAsia" w:ascii="Times New Roman" w:hAnsi="Times New Roman" w:eastAsia="宋体" w:cs="Times New Roman"/>
                      <w:b w:val="0"/>
                      <w:bCs w:val="0"/>
                      <w:color w:val="auto"/>
                      <w:kern w:val="2"/>
                      <w:sz w:val="21"/>
                      <w:szCs w:val="24"/>
                      <w:lang w:val="en-US" w:eastAsia="zh-CN" w:bidi="ar"/>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4E4B3347">
                  <w:pPr>
                    <w:jc w:val="center"/>
                    <w:rPr>
                      <w:rFonts w:hint="default" w:cs="Times New Roman"/>
                      <w:b w:val="0"/>
                      <w:bCs w:val="0"/>
                      <w:color w:val="auto"/>
                      <w:kern w:val="0"/>
                      <w:szCs w:val="21"/>
                      <w:lang w:val="en-US" w:eastAsia="zh-CN"/>
                    </w:rPr>
                  </w:pPr>
                  <w:r>
                    <w:rPr>
                      <w:rFonts w:ascii="Times New Roman" w:hAnsi="Times New Roman"/>
                      <w:bCs/>
                      <w:color w:val="auto"/>
                      <w:szCs w:val="21"/>
                    </w:rPr>
                    <w:t>6</w:t>
                  </w:r>
                  <w:r>
                    <w:rPr>
                      <w:rFonts w:hint="eastAsia" w:ascii="Times New Roman" w:hAnsi="Times New Roman"/>
                      <w:bCs/>
                      <w:color w:val="auto"/>
                      <w:szCs w:val="21"/>
                      <w:lang w:val="en-US" w:eastAsia="zh-CN"/>
                    </w:rPr>
                    <w:t>.5</w:t>
                  </w:r>
                  <w:r>
                    <w:rPr>
                      <w:rFonts w:ascii="Times New Roman" w:hAnsi="Times New Roman"/>
                      <w:bCs/>
                      <w:color w:val="auto"/>
                      <w:szCs w:val="21"/>
                    </w:rPr>
                    <w:t>～9</w:t>
                  </w:r>
                  <w:r>
                    <w:rPr>
                      <w:rFonts w:hint="eastAsia" w:ascii="Times New Roman" w:hAnsi="Times New Roman"/>
                      <w:bCs/>
                      <w:color w:val="auto"/>
                      <w:szCs w:val="21"/>
                      <w:lang w:val="en-US" w:eastAsia="zh-CN"/>
                    </w:rPr>
                    <w:t>.5</w:t>
                  </w:r>
                </w:p>
              </w:tc>
              <w:tc>
                <w:tcPr>
                  <w:tcW w:w="353" w:type="pct"/>
                  <w:noWrap w:val="0"/>
                  <w:vAlign w:val="center"/>
                </w:tcPr>
                <w:p w14:paraId="5588F667">
                  <w:pPr>
                    <w:jc w:val="center"/>
                    <w:rPr>
                      <w:rFonts w:hint="default" w:ascii="Times New Roman" w:hAnsi="Times New Roman" w:eastAsia="宋体" w:cs="Times New Roman"/>
                      <w:b w:val="0"/>
                      <w:bCs w:val="0"/>
                      <w:color w:val="auto"/>
                      <w:kern w:val="2"/>
                      <w:sz w:val="21"/>
                      <w:szCs w:val="24"/>
                      <w:lang w:val="en-US" w:eastAsia="zh-CN" w:bidi="ar"/>
                    </w:rPr>
                  </w:pPr>
                  <w:r>
                    <w:rPr>
                      <w:rFonts w:hint="eastAsia"/>
                      <w:bCs/>
                      <w:color w:val="auto"/>
                      <w:szCs w:val="21"/>
                      <w:lang w:val="en-US" w:eastAsia="zh-CN"/>
                    </w:rPr>
                    <w:t>500</w:t>
                  </w:r>
                </w:p>
              </w:tc>
              <w:tc>
                <w:tcPr>
                  <w:tcW w:w="346" w:type="pct"/>
                  <w:noWrap w:val="0"/>
                  <w:vAlign w:val="center"/>
                </w:tcPr>
                <w:p w14:paraId="5DDC569D">
                  <w:pPr>
                    <w:jc w:val="center"/>
                    <w:rPr>
                      <w:rFonts w:hint="default" w:ascii="Times New Roman" w:hAnsi="Times New Roman" w:eastAsia="宋体" w:cs="Times New Roman"/>
                      <w:b w:val="0"/>
                      <w:bCs w:val="0"/>
                      <w:color w:val="auto"/>
                      <w:kern w:val="2"/>
                      <w:sz w:val="21"/>
                      <w:szCs w:val="24"/>
                      <w:lang w:val="en-US" w:eastAsia="zh-CN" w:bidi="ar"/>
                    </w:rPr>
                  </w:pPr>
                  <w:r>
                    <w:rPr>
                      <w:rFonts w:hint="eastAsia"/>
                      <w:bCs/>
                      <w:color w:val="auto"/>
                      <w:szCs w:val="21"/>
                      <w:lang w:val="en-US" w:eastAsia="zh-CN"/>
                    </w:rPr>
                    <w:t>350</w:t>
                  </w:r>
                </w:p>
              </w:tc>
              <w:tc>
                <w:tcPr>
                  <w:tcW w:w="346" w:type="pct"/>
                  <w:noWrap w:val="0"/>
                  <w:vAlign w:val="center"/>
                </w:tcPr>
                <w:p w14:paraId="12933889">
                  <w:pPr>
                    <w:jc w:val="center"/>
                    <w:rPr>
                      <w:rFonts w:hint="default" w:ascii="Times New Roman" w:hAnsi="Times New Roman" w:eastAsia="宋体" w:cs="Times New Roman"/>
                      <w:b w:val="0"/>
                      <w:bCs w:val="0"/>
                      <w:color w:val="auto"/>
                      <w:kern w:val="2"/>
                      <w:sz w:val="21"/>
                      <w:szCs w:val="24"/>
                      <w:lang w:val="en-US" w:eastAsia="zh-CN" w:bidi="ar"/>
                    </w:rPr>
                  </w:pPr>
                  <w:r>
                    <w:rPr>
                      <w:rFonts w:hint="eastAsia"/>
                      <w:bCs/>
                      <w:color w:val="auto"/>
                      <w:szCs w:val="21"/>
                      <w:lang w:val="en-US" w:eastAsia="zh-CN"/>
                    </w:rPr>
                    <w:t>400</w:t>
                  </w:r>
                </w:p>
              </w:tc>
              <w:tc>
                <w:tcPr>
                  <w:tcW w:w="360" w:type="pct"/>
                  <w:tcBorders>
                    <w:right w:val="single" w:color="auto" w:sz="4" w:space="0"/>
                  </w:tcBorders>
                  <w:noWrap w:val="0"/>
                  <w:vAlign w:val="center"/>
                </w:tcPr>
                <w:p w14:paraId="51450806">
                  <w:pPr>
                    <w:jc w:val="center"/>
                    <w:rPr>
                      <w:rFonts w:hint="default" w:ascii="Times New Roman" w:hAnsi="Times New Roman" w:eastAsia="宋体" w:cs="Times New Roman"/>
                      <w:b w:val="0"/>
                      <w:bCs w:val="0"/>
                      <w:color w:val="auto"/>
                      <w:kern w:val="2"/>
                      <w:sz w:val="21"/>
                      <w:szCs w:val="24"/>
                      <w:lang w:val="en-US" w:eastAsia="zh-CN" w:bidi="ar"/>
                    </w:rPr>
                  </w:pPr>
                  <w:r>
                    <w:rPr>
                      <w:rFonts w:hint="eastAsia"/>
                      <w:bCs/>
                      <w:color w:val="auto"/>
                      <w:szCs w:val="21"/>
                      <w:lang w:val="en-US" w:eastAsia="zh-CN"/>
                    </w:rPr>
                    <w:t>45</w:t>
                  </w:r>
                </w:p>
              </w:tc>
              <w:tc>
                <w:tcPr>
                  <w:tcW w:w="382" w:type="pct"/>
                  <w:tcBorders>
                    <w:left w:val="single" w:color="auto" w:sz="4" w:space="0"/>
                    <w:right w:val="single" w:color="auto" w:sz="4" w:space="0"/>
                  </w:tcBorders>
                  <w:noWrap w:val="0"/>
                  <w:vAlign w:val="center"/>
                </w:tcPr>
                <w:p w14:paraId="4AB37E6B">
                  <w:pPr>
                    <w:jc w:val="center"/>
                    <w:rPr>
                      <w:rFonts w:hint="default"/>
                      <w:bCs/>
                      <w:color w:val="auto"/>
                      <w:szCs w:val="21"/>
                      <w:lang w:val="en-US" w:eastAsia="zh-CN"/>
                    </w:rPr>
                  </w:pPr>
                  <w:r>
                    <w:rPr>
                      <w:rFonts w:hint="eastAsia"/>
                      <w:bCs/>
                      <w:color w:val="auto"/>
                      <w:szCs w:val="21"/>
                      <w:lang w:val="en-US" w:eastAsia="zh-CN"/>
                    </w:rPr>
                    <w:t>/</w:t>
                  </w:r>
                </w:p>
              </w:tc>
              <w:tc>
                <w:tcPr>
                  <w:tcW w:w="375" w:type="pct"/>
                  <w:tcBorders>
                    <w:left w:val="single" w:color="auto" w:sz="4" w:space="0"/>
                    <w:right w:val="single" w:color="auto" w:sz="4" w:space="0"/>
                  </w:tcBorders>
                  <w:noWrap w:val="0"/>
                  <w:vAlign w:val="center"/>
                </w:tcPr>
                <w:p w14:paraId="27083F84">
                  <w:pPr>
                    <w:jc w:val="center"/>
                    <w:rPr>
                      <w:rFonts w:hint="eastAsia"/>
                      <w:bCs/>
                      <w:color w:val="auto"/>
                      <w:szCs w:val="21"/>
                      <w:lang w:val="en-US" w:eastAsia="zh-CN"/>
                    </w:rPr>
                  </w:pPr>
                  <w:r>
                    <w:rPr>
                      <w:rFonts w:hint="eastAsia"/>
                      <w:bCs/>
                      <w:color w:val="auto"/>
                      <w:szCs w:val="21"/>
                      <w:lang w:val="en-US" w:eastAsia="zh-CN"/>
                    </w:rPr>
                    <w:t>8.0</w:t>
                  </w:r>
                </w:p>
              </w:tc>
              <w:tc>
                <w:tcPr>
                  <w:tcW w:w="375" w:type="pct"/>
                  <w:tcBorders>
                    <w:left w:val="single" w:color="auto" w:sz="4" w:space="0"/>
                    <w:right w:val="single" w:color="auto" w:sz="4" w:space="0"/>
                  </w:tcBorders>
                  <w:noWrap w:val="0"/>
                  <w:vAlign w:val="center"/>
                </w:tcPr>
                <w:p w14:paraId="1E81A6DA">
                  <w:pPr>
                    <w:jc w:val="center"/>
                    <w:rPr>
                      <w:rFonts w:hint="eastAsia"/>
                      <w:bCs/>
                      <w:szCs w:val="21"/>
                      <w:lang w:val="en-US" w:eastAsia="zh-CN"/>
                    </w:rPr>
                  </w:pPr>
                  <w:r>
                    <w:rPr>
                      <w:rFonts w:hint="eastAsia"/>
                      <w:bCs/>
                      <w:color w:val="auto"/>
                      <w:szCs w:val="21"/>
                      <w:lang w:val="en-US" w:eastAsia="zh-CN"/>
                    </w:rPr>
                    <w:t>70</w:t>
                  </w:r>
                </w:p>
              </w:tc>
              <w:tc>
                <w:tcPr>
                  <w:tcW w:w="404" w:type="pct"/>
                  <w:tcBorders>
                    <w:left w:val="single" w:color="auto" w:sz="4" w:space="0"/>
                    <w:right w:val="single" w:color="auto" w:sz="4" w:space="0"/>
                  </w:tcBorders>
                  <w:noWrap w:val="0"/>
                  <w:vAlign w:val="center"/>
                </w:tcPr>
                <w:p w14:paraId="118C5281">
                  <w:pPr>
                    <w:jc w:val="center"/>
                    <w:rPr>
                      <w:rFonts w:hint="default"/>
                      <w:bCs/>
                      <w:szCs w:val="21"/>
                      <w:lang w:val="en-US" w:eastAsia="zh-CN"/>
                    </w:rPr>
                  </w:pPr>
                  <w:r>
                    <w:rPr>
                      <w:rFonts w:hint="eastAsia"/>
                      <w:bCs/>
                      <w:szCs w:val="21"/>
                      <w:lang w:val="en-US" w:eastAsia="zh-CN"/>
                    </w:rPr>
                    <w:t>/</w:t>
                  </w:r>
                </w:p>
              </w:tc>
              <w:tc>
                <w:tcPr>
                  <w:tcW w:w="404" w:type="pct"/>
                  <w:tcBorders>
                    <w:left w:val="single" w:color="auto" w:sz="4" w:space="0"/>
                    <w:right w:val="single" w:color="auto" w:sz="4" w:space="0"/>
                  </w:tcBorders>
                  <w:noWrap w:val="0"/>
                  <w:vAlign w:val="center"/>
                </w:tcPr>
                <w:p w14:paraId="2570C136">
                  <w:pPr>
                    <w:jc w:val="center"/>
                    <w:rPr>
                      <w:rFonts w:hint="default"/>
                      <w:bCs/>
                      <w:szCs w:val="21"/>
                      <w:lang w:val="en-US" w:eastAsia="zh-CN"/>
                    </w:rPr>
                  </w:pPr>
                  <w:r>
                    <w:rPr>
                      <w:rFonts w:hint="eastAsia"/>
                      <w:bCs/>
                      <w:szCs w:val="21"/>
                      <w:lang w:val="en-US" w:eastAsia="zh-CN"/>
                    </w:rPr>
                    <w:t>/</w:t>
                  </w:r>
                </w:p>
              </w:tc>
            </w:tr>
            <w:tr w14:paraId="100EEF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1092" w:hRule="atLeast"/>
                <w:jc w:val="center"/>
              </w:trPr>
              <w:tc>
                <w:tcPr>
                  <w:tcW w:w="959" w:type="pct"/>
                  <w:gridSpan w:val="2"/>
                  <w:noWrap w:val="0"/>
                  <w:vAlign w:val="center"/>
                </w:tcPr>
                <w:p w14:paraId="1437DEB6">
                  <w:pPr>
                    <w:widowControl/>
                    <w:jc w:val="center"/>
                    <w:rPr>
                      <w:rFonts w:hint="eastAsia" w:cs="Times New Roman"/>
                      <w:b w:val="0"/>
                      <w:bCs w:val="0"/>
                      <w:color w:val="auto"/>
                      <w:kern w:val="2"/>
                      <w:sz w:val="21"/>
                      <w:szCs w:val="24"/>
                      <w:lang w:val="en-US" w:eastAsia="zh-CN" w:bidi="ar"/>
                    </w:rPr>
                  </w:pPr>
                  <w:r>
                    <w:rPr>
                      <w:rFonts w:hint="default" w:ascii="Times New Roman" w:hAnsi="Times New Roman" w:cs="Times New Roman"/>
                      <w:b w:val="0"/>
                      <w:bCs w:val="0"/>
                      <w:color w:val="auto"/>
                      <w:szCs w:val="21"/>
                    </w:rPr>
                    <w:t>《</w:t>
                  </w:r>
                  <w:r>
                    <w:rPr>
                      <w:rFonts w:hint="eastAsia" w:cs="Times New Roman"/>
                      <w:color w:val="auto"/>
                      <w:sz w:val="21"/>
                      <w:szCs w:val="21"/>
                      <w:lang w:eastAsia="zh-CN"/>
                    </w:rPr>
                    <w:t>电子工业水污染物</w:t>
                  </w:r>
                  <w:r>
                    <w:rPr>
                      <w:rFonts w:ascii="Times New Roman" w:hAnsi="Times New Roman" w:eastAsia="宋体" w:cs="Times New Roman"/>
                      <w:color w:val="auto"/>
                      <w:sz w:val="21"/>
                      <w:szCs w:val="21"/>
                    </w:rPr>
                    <w:t>排放标准》（GB</w:t>
                  </w:r>
                  <w:r>
                    <w:rPr>
                      <w:rFonts w:hint="eastAsia" w:cs="Times New Roman"/>
                      <w:color w:val="auto"/>
                      <w:sz w:val="21"/>
                      <w:szCs w:val="21"/>
                      <w:lang w:val="en-US" w:eastAsia="zh-CN"/>
                    </w:rPr>
                    <w:t>39731</w:t>
                  </w:r>
                  <w:r>
                    <w:rPr>
                      <w:rFonts w:ascii="Times New Roman" w:hAnsi="Times New Roman" w:eastAsia="宋体" w:cs="Times New Roman"/>
                      <w:color w:val="auto"/>
                      <w:sz w:val="21"/>
                      <w:szCs w:val="21"/>
                    </w:rPr>
                    <w:t>-</w:t>
                  </w:r>
                  <w:r>
                    <w:rPr>
                      <w:rFonts w:hint="eastAsia" w:cs="Times New Roman"/>
                      <w:color w:val="auto"/>
                      <w:sz w:val="21"/>
                      <w:szCs w:val="21"/>
                      <w:lang w:val="en-US" w:eastAsia="zh-CN"/>
                    </w:rPr>
                    <w:t>2020</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mg/L)</w:t>
                  </w:r>
                </w:p>
              </w:tc>
              <w:tc>
                <w:tcPr>
                  <w:tcW w:w="353" w:type="pct"/>
                  <w:tcBorders>
                    <w:right w:val="single" w:color="auto" w:sz="4" w:space="0"/>
                  </w:tcBorders>
                  <w:noWrap w:val="0"/>
                  <w:vAlign w:val="center"/>
                </w:tcPr>
                <w:p w14:paraId="2599176E">
                  <w:pPr>
                    <w:jc w:val="center"/>
                    <w:rPr>
                      <w:rFonts w:hint="eastAsia" w:eastAsia="宋体" w:cs="Times New Roman"/>
                      <w:b w:val="0"/>
                      <w:bCs w:val="0"/>
                      <w:color w:val="auto"/>
                      <w:lang w:val="en-US" w:eastAsia="zh-CN" w:bidi="ar"/>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6DD33465">
                  <w:pPr>
                    <w:widowControl/>
                    <w:jc w:val="center"/>
                    <w:rPr>
                      <w:rFonts w:hint="eastAsia" w:cs="Times New Roman"/>
                      <w:b w:val="0"/>
                      <w:bCs w:val="0"/>
                      <w:color w:val="auto"/>
                      <w:kern w:val="0"/>
                      <w:szCs w:val="21"/>
                      <w:lang w:val="en-US" w:eastAsia="zh-CN"/>
                    </w:rPr>
                  </w:pPr>
                  <w:r>
                    <w:rPr>
                      <w:rFonts w:ascii="Times New Roman" w:hAnsi="Times New Roman" w:eastAsia="宋体" w:cs="Times New Roman"/>
                      <w:color w:val="auto"/>
                      <w:sz w:val="21"/>
                      <w:szCs w:val="21"/>
                    </w:rPr>
                    <w:t>6-9</w:t>
                  </w:r>
                </w:p>
              </w:tc>
              <w:tc>
                <w:tcPr>
                  <w:tcW w:w="353" w:type="pct"/>
                  <w:noWrap w:val="0"/>
                  <w:vAlign w:val="center"/>
                </w:tcPr>
                <w:p w14:paraId="28681EFB">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500</w:t>
                  </w:r>
                </w:p>
              </w:tc>
              <w:tc>
                <w:tcPr>
                  <w:tcW w:w="346" w:type="pct"/>
                  <w:noWrap w:val="0"/>
                  <w:vAlign w:val="center"/>
                </w:tcPr>
                <w:p w14:paraId="43EB296B">
                  <w:pPr>
                    <w:widowControl/>
                    <w:jc w:val="center"/>
                    <w:rPr>
                      <w:rFonts w:hint="eastAsia" w:cs="Times New Roman"/>
                      <w:b w:val="0"/>
                      <w:bCs w:val="0"/>
                      <w:color w:val="auto"/>
                      <w:lang w:val="en-US" w:eastAsia="zh-CN" w:bidi="ar"/>
                    </w:rPr>
                  </w:pPr>
                  <w:r>
                    <w:rPr>
                      <w:rFonts w:hint="eastAsia" w:cs="Times New Roman"/>
                      <w:color w:val="auto"/>
                      <w:sz w:val="21"/>
                      <w:szCs w:val="21"/>
                      <w:lang w:val="en-US" w:eastAsia="zh-CN"/>
                    </w:rPr>
                    <w:t>/</w:t>
                  </w:r>
                </w:p>
              </w:tc>
              <w:tc>
                <w:tcPr>
                  <w:tcW w:w="346" w:type="pct"/>
                  <w:noWrap w:val="0"/>
                  <w:vAlign w:val="center"/>
                </w:tcPr>
                <w:p w14:paraId="1F6C5886">
                  <w:pPr>
                    <w:widowControl/>
                    <w:jc w:val="center"/>
                    <w:rPr>
                      <w:rFonts w:hint="eastAsia" w:eastAsia="宋体" w:cs="Times New Roman"/>
                      <w:b w:val="0"/>
                      <w:bCs w:val="0"/>
                      <w:color w:val="auto"/>
                      <w:lang w:val="en-US" w:eastAsia="zh-CN" w:bidi="ar"/>
                    </w:rPr>
                  </w:pPr>
                  <w:r>
                    <w:rPr>
                      <w:rFonts w:ascii="Times New Roman" w:hAnsi="Times New Roman" w:eastAsia="宋体" w:cs="Times New Roman"/>
                      <w:color w:val="auto"/>
                      <w:sz w:val="21"/>
                      <w:szCs w:val="21"/>
                    </w:rPr>
                    <w:t>400</w:t>
                  </w:r>
                </w:p>
              </w:tc>
              <w:tc>
                <w:tcPr>
                  <w:tcW w:w="360" w:type="pct"/>
                  <w:tcBorders>
                    <w:right w:val="single" w:color="auto" w:sz="4" w:space="0"/>
                  </w:tcBorders>
                  <w:noWrap w:val="0"/>
                  <w:vAlign w:val="center"/>
                </w:tcPr>
                <w:p w14:paraId="45654D4C">
                  <w:pPr>
                    <w:widowControl/>
                    <w:jc w:val="center"/>
                    <w:rPr>
                      <w:rFonts w:hint="eastAsia" w:eastAsia="宋体" w:cs="Times New Roman"/>
                      <w:b w:val="0"/>
                      <w:bCs w:val="0"/>
                      <w:color w:val="auto"/>
                      <w:lang w:val="en-US" w:eastAsia="zh-CN" w:bidi="ar"/>
                    </w:rPr>
                  </w:pPr>
                  <w:r>
                    <w:rPr>
                      <w:rFonts w:hint="eastAsia" w:cs="Times New Roman"/>
                      <w:color w:val="auto"/>
                      <w:sz w:val="21"/>
                      <w:szCs w:val="21"/>
                      <w:lang w:val="en-US" w:eastAsia="zh-CN"/>
                    </w:rPr>
                    <w:t>45</w:t>
                  </w:r>
                </w:p>
              </w:tc>
              <w:tc>
                <w:tcPr>
                  <w:tcW w:w="382" w:type="pct"/>
                  <w:tcBorders>
                    <w:left w:val="single" w:color="auto" w:sz="4" w:space="0"/>
                    <w:right w:val="single" w:color="auto" w:sz="4" w:space="0"/>
                  </w:tcBorders>
                  <w:noWrap w:val="0"/>
                  <w:vAlign w:val="center"/>
                </w:tcPr>
                <w:p w14:paraId="3542FF3F">
                  <w:pPr>
                    <w:jc w:val="center"/>
                    <w:rPr>
                      <w:rFonts w:hint="eastAsia" w:cs="Times New Roman"/>
                      <w:b w:val="0"/>
                      <w:bCs w:val="0"/>
                      <w:color w:val="auto"/>
                      <w:lang w:val="en-US" w:eastAsia="zh-CN" w:bidi="ar"/>
                    </w:rPr>
                  </w:pPr>
                  <w:r>
                    <w:rPr>
                      <w:rFonts w:hint="eastAsia"/>
                      <w:bCs/>
                      <w:color w:val="auto"/>
                      <w:szCs w:val="21"/>
                      <w:lang w:val="en-US" w:eastAsia="zh-CN"/>
                    </w:rPr>
                    <w:t>/</w:t>
                  </w:r>
                </w:p>
              </w:tc>
              <w:tc>
                <w:tcPr>
                  <w:tcW w:w="375" w:type="pct"/>
                  <w:tcBorders>
                    <w:left w:val="single" w:color="auto" w:sz="4" w:space="0"/>
                    <w:right w:val="single" w:color="auto" w:sz="4" w:space="0"/>
                  </w:tcBorders>
                  <w:noWrap w:val="0"/>
                  <w:vAlign w:val="center"/>
                </w:tcPr>
                <w:p w14:paraId="2341C006">
                  <w:pPr>
                    <w:jc w:val="center"/>
                    <w:rPr>
                      <w:rFonts w:hint="eastAsia"/>
                      <w:bCs/>
                      <w:color w:val="auto"/>
                      <w:szCs w:val="21"/>
                      <w:lang w:val="en-US" w:eastAsia="zh-CN"/>
                    </w:rPr>
                  </w:pPr>
                  <w:r>
                    <w:rPr>
                      <w:rFonts w:hint="eastAsia"/>
                      <w:bCs/>
                      <w:color w:val="auto"/>
                      <w:szCs w:val="21"/>
                      <w:lang w:val="en-US" w:eastAsia="zh-CN"/>
                    </w:rPr>
                    <w:t>8.0</w:t>
                  </w:r>
                </w:p>
              </w:tc>
              <w:tc>
                <w:tcPr>
                  <w:tcW w:w="375" w:type="pct"/>
                  <w:tcBorders>
                    <w:left w:val="single" w:color="auto" w:sz="4" w:space="0"/>
                    <w:right w:val="single" w:color="auto" w:sz="4" w:space="0"/>
                  </w:tcBorders>
                  <w:noWrap w:val="0"/>
                  <w:vAlign w:val="center"/>
                </w:tcPr>
                <w:p w14:paraId="66C3930A">
                  <w:pPr>
                    <w:jc w:val="center"/>
                    <w:rPr>
                      <w:rFonts w:hint="eastAsia"/>
                      <w:bCs/>
                      <w:color w:val="auto"/>
                      <w:szCs w:val="21"/>
                      <w:lang w:val="en-US" w:eastAsia="zh-CN"/>
                    </w:rPr>
                  </w:pPr>
                  <w:r>
                    <w:rPr>
                      <w:rFonts w:hint="eastAsia"/>
                      <w:bCs/>
                      <w:color w:val="auto"/>
                      <w:szCs w:val="21"/>
                      <w:lang w:val="en-US" w:eastAsia="zh-CN"/>
                    </w:rPr>
                    <w:t>70</w:t>
                  </w:r>
                </w:p>
              </w:tc>
              <w:tc>
                <w:tcPr>
                  <w:tcW w:w="404" w:type="pct"/>
                  <w:tcBorders>
                    <w:left w:val="single" w:color="auto" w:sz="4" w:space="0"/>
                    <w:right w:val="single" w:color="auto" w:sz="4" w:space="0"/>
                  </w:tcBorders>
                  <w:noWrap w:val="0"/>
                  <w:vAlign w:val="center"/>
                </w:tcPr>
                <w:p w14:paraId="4B8E9A3B">
                  <w:pPr>
                    <w:jc w:val="center"/>
                    <w:rPr>
                      <w:rFonts w:hint="default"/>
                      <w:bCs/>
                      <w:color w:val="auto"/>
                      <w:szCs w:val="21"/>
                      <w:lang w:val="en-US" w:eastAsia="zh-CN"/>
                    </w:rPr>
                  </w:pPr>
                  <w:r>
                    <w:rPr>
                      <w:rFonts w:hint="eastAsia"/>
                      <w:bCs/>
                      <w:color w:val="auto"/>
                      <w:szCs w:val="21"/>
                      <w:lang w:val="en-US" w:eastAsia="zh-CN"/>
                    </w:rPr>
                    <w:t>/</w:t>
                  </w:r>
                </w:p>
              </w:tc>
              <w:tc>
                <w:tcPr>
                  <w:tcW w:w="404" w:type="pct"/>
                  <w:tcBorders>
                    <w:left w:val="single" w:color="auto" w:sz="4" w:space="0"/>
                    <w:right w:val="single" w:color="auto" w:sz="4" w:space="0"/>
                  </w:tcBorders>
                  <w:noWrap w:val="0"/>
                  <w:vAlign w:val="center"/>
                </w:tcPr>
                <w:p w14:paraId="78129BD9">
                  <w:pPr>
                    <w:jc w:val="center"/>
                    <w:rPr>
                      <w:rFonts w:hint="eastAsia"/>
                      <w:bCs/>
                      <w:color w:val="auto"/>
                      <w:szCs w:val="21"/>
                      <w:lang w:val="en-US" w:eastAsia="zh-CN"/>
                    </w:rPr>
                  </w:pPr>
                  <w:r>
                    <w:rPr>
                      <w:rFonts w:hint="eastAsia"/>
                      <w:bCs/>
                      <w:color w:val="auto"/>
                      <w:szCs w:val="21"/>
                      <w:lang w:val="en-US" w:eastAsia="zh-CN"/>
                    </w:rPr>
                    <w:t>/</w:t>
                  </w:r>
                </w:p>
              </w:tc>
            </w:tr>
            <w:tr w14:paraId="76FC967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99" w:hRule="atLeast"/>
                <w:jc w:val="center"/>
              </w:trPr>
              <w:tc>
                <w:tcPr>
                  <w:tcW w:w="959" w:type="pct"/>
                  <w:gridSpan w:val="2"/>
                  <w:noWrap w:val="0"/>
                  <w:vAlign w:val="center"/>
                </w:tcPr>
                <w:p w14:paraId="42C40B5C">
                  <w:pPr>
                    <w:jc w:val="center"/>
                    <w:rPr>
                      <w:rFonts w:hint="eastAsia" w:eastAsia="宋体" w:cs="Times New Roman"/>
                      <w:b w:val="0"/>
                      <w:bCs w:val="0"/>
                      <w:color w:val="auto"/>
                      <w:lang w:eastAsia="zh-CN" w:bidi="ar"/>
                    </w:rPr>
                  </w:pPr>
                  <w:r>
                    <w:rPr>
                      <w:rFonts w:hint="eastAsia"/>
                      <w:bCs/>
                      <w:szCs w:val="21"/>
                      <w:lang w:eastAsia="zh-CN"/>
                    </w:rPr>
                    <w:t>本项目执行标准</w:t>
                  </w:r>
                </w:p>
              </w:tc>
              <w:tc>
                <w:tcPr>
                  <w:tcW w:w="353" w:type="pct"/>
                  <w:tcBorders>
                    <w:right w:val="single" w:color="auto" w:sz="4" w:space="0"/>
                  </w:tcBorders>
                  <w:noWrap w:val="0"/>
                  <w:vAlign w:val="center"/>
                </w:tcPr>
                <w:p w14:paraId="40022D49">
                  <w:pPr>
                    <w:jc w:val="center"/>
                    <w:rPr>
                      <w:rFonts w:hint="eastAsia" w:eastAsia="宋体" w:cs="Times New Roman"/>
                      <w:b w:val="0"/>
                      <w:bCs w:val="0"/>
                      <w:color w:val="auto"/>
                      <w:lang w:val="en-US" w:eastAsia="zh-CN" w:bidi="ar"/>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383FBCEA">
                  <w:pPr>
                    <w:jc w:val="center"/>
                    <w:rPr>
                      <w:rFonts w:hint="eastAsia" w:cs="Times New Roman"/>
                      <w:b w:val="0"/>
                      <w:bCs w:val="0"/>
                      <w:color w:val="auto"/>
                      <w:kern w:val="0"/>
                      <w:szCs w:val="21"/>
                      <w:lang w:val="en-US" w:eastAsia="zh-CN"/>
                    </w:rPr>
                  </w:pPr>
                  <w:r>
                    <w:rPr>
                      <w:rFonts w:ascii="Times New Roman" w:hAnsi="Times New Roman"/>
                      <w:bCs/>
                      <w:szCs w:val="21"/>
                    </w:rPr>
                    <w:t>6</w:t>
                  </w:r>
                  <w:r>
                    <w:rPr>
                      <w:rFonts w:hint="eastAsia" w:ascii="Times New Roman" w:hAnsi="Times New Roman"/>
                      <w:bCs/>
                      <w:szCs w:val="21"/>
                      <w:lang w:val="en-US" w:eastAsia="zh-CN"/>
                    </w:rPr>
                    <w:t>.5</w:t>
                  </w:r>
                  <w:r>
                    <w:rPr>
                      <w:rFonts w:ascii="Times New Roman" w:hAnsi="Times New Roman"/>
                      <w:bCs/>
                      <w:szCs w:val="21"/>
                    </w:rPr>
                    <w:t>～9</w:t>
                  </w:r>
                </w:p>
              </w:tc>
              <w:tc>
                <w:tcPr>
                  <w:tcW w:w="353" w:type="pct"/>
                  <w:noWrap w:val="0"/>
                  <w:vAlign w:val="center"/>
                </w:tcPr>
                <w:p w14:paraId="37547C35">
                  <w:pPr>
                    <w:jc w:val="center"/>
                    <w:rPr>
                      <w:rFonts w:hint="eastAsia" w:eastAsia="宋体" w:cs="Times New Roman"/>
                      <w:b w:val="0"/>
                      <w:bCs w:val="0"/>
                      <w:color w:val="auto"/>
                      <w:lang w:val="en-US" w:eastAsia="zh-CN" w:bidi="ar"/>
                    </w:rPr>
                  </w:pPr>
                  <w:r>
                    <w:rPr>
                      <w:rFonts w:hint="eastAsia"/>
                      <w:bCs/>
                      <w:szCs w:val="21"/>
                      <w:lang w:val="en-US" w:eastAsia="zh-CN"/>
                    </w:rPr>
                    <w:t>500</w:t>
                  </w:r>
                </w:p>
              </w:tc>
              <w:tc>
                <w:tcPr>
                  <w:tcW w:w="346" w:type="pct"/>
                  <w:noWrap w:val="0"/>
                  <w:vAlign w:val="center"/>
                </w:tcPr>
                <w:p w14:paraId="5F1B0AC0">
                  <w:pPr>
                    <w:jc w:val="center"/>
                    <w:rPr>
                      <w:rFonts w:hint="eastAsia" w:eastAsia="宋体" w:cs="Times New Roman"/>
                      <w:b w:val="0"/>
                      <w:bCs w:val="0"/>
                      <w:color w:val="auto"/>
                      <w:lang w:val="en-US" w:eastAsia="zh-CN" w:bidi="ar"/>
                    </w:rPr>
                  </w:pPr>
                  <w:r>
                    <w:rPr>
                      <w:rFonts w:hint="eastAsia"/>
                      <w:bCs/>
                      <w:color w:val="auto"/>
                      <w:szCs w:val="21"/>
                      <w:lang w:val="en-US" w:eastAsia="zh-CN"/>
                    </w:rPr>
                    <w:t>350</w:t>
                  </w:r>
                </w:p>
              </w:tc>
              <w:tc>
                <w:tcPr>
                  <w:tcW w:w="346" w:type="pct"/>
                  <w:noWrap w:val="0"/>
                  <w:vAlign w:val="center"/>
                </w:tcPr>
                <w:p w14:paraId="4CABF911">
                  <w:pPr>
                    <w:jc w:val="center"/>
                    <w:rPr>
                      <w:rFonts w:hint="eastAsia" w:eastAsia="宋体" w:cs="Times New Roman"/>
                      <w:b w:val="0"/>
                      <w:bCs w:val="0"/>
                      <w:color w:val="auto"/>
                      <w:lang w:val="en-US" w:eastAsia="zh-CN" w:bidi="ar"/>
                    </w:rPr>
                  </w:pPr>
                  <w:r>
                    <w:rPr>
                      <w:rFonts w:hint="eastAsia"/>
                      <w:bCs/>
                      <w:szCs w:val="21"/>
                      <w:lang w:val="en-US" w:eastAsia="zh-CN"/>
                    </w:rPr>
                    <w:t>400</w:t>
                  </w:r>
                </w:p>
              </w:tc>
              <w:tc>
                <w:tcPr>
                  <w:tcW w:w="360" w:type="pct"/>
                  <w:tcBorders>
                    <w:right w:val="single" w:color="auto" w:sz="4" w:space="0"/>
                  </w:tcBorders>
                  <w:noWrap w:val="0"/>
                  <w:vAlign w:val="center"/>
                </w:tcPr>
                <w:p w14:paraId="3E63B771">
                  <w:pPr>
                    <w:jc w:val="center"/>
                    <w:rPr>
                      <w:rFonts w:hint="eastAsia" w:eastAsia="宋体" w:cs="Times New Roman"/>
                      <w:b w:val="0"/>
                      <w:bCs w:val="0"/>
                      <w:color w:val="auto"/>
                      <w:lang w:val="en-US" w:eastAsia="zh-CN" w:bidi="ar"/>
                    </w:rPr>
                  </w:pPr>
                  <w:r>
                    <w:rPr>
                      <w:rFonts w:hint="eastAsia"/>
                      <w:bCs/>
                      <w:szCs w:val="21"/>
                      <w:lang w:val="en-US" w:eastAsia="zh-CN"/>
                    </w:rPr>
                    <w:t>45</w:t>
                  </w:r>
                </w:p>
              </w:tc>
              <w:tc>
                <w:tcPr>
                  <w:tcW w:w="382" w:type="pct"/>
                  <w:tcBorders>
                    <w:left w:val="single" w:color="auto" w:sz="4" w:space="0"/>
                    <w:right w:val="single" w:color="auto" w:sz="4" w:space="0"/>
                  </w:tcBorders>
                  <w:noWrap w:val="0"/>
                  <w:vAlign w:val="center"/>
                </w:tcPr>
                <w:p w14:paraId="5146BCF9">
                  <w:pPr>
                    <w:jc w:val="center"/>
                    <w:rPr>
                      <w:rFonts w:hint="default"/>
                      <w:bCs/>
                      <w:color w:val="auto"/>
                      <w:szCs w:val="21"/>
                      <w:lang w:val="en-US" w:eastAsia="zh-CN"/>
                    </w:rPr>
                  </w:pPr>
                  <w:r>
                    <w:rPr>
                      <w:rFonts w:hint="eastAsia"/>
                      <w:bCs/>
                      <w:szCs w:val="21"/>
                      <w:lang w:val="en-US" w:eastAsia="zh-CN"/>
                    </w:rPr>
                    <w:t>/</w:t>
                  </w:r>
                </w:p>
              </w:tc>
              <w:tc>
                <w:tcPr>
                  <w:tcW w:w="375" w:type="pct"/>
                  <w:tcBorders>
                    <w:left w:val="single" w:color="auto" w:sz="4" w:space="0"/>
                    <w:right w:val="single" w:color="auto" w:sz="4" w:space="0"/>
                  </w:tcBorders>
                  <w:noWrap w:val="0"/>
                  <w:vAlign w:val="center"/>
                </w:tcPr>
                <w:p w14:paraId="7D44E42D">
                  <w:pPr>
                    <w:jc w:val="center"/>
                    <w:rPr>
                      <w:rFonts w:hint="eastAsia"/>
                      <w:bCs/>
                      <w:szCs w:val="21"/>
                      <w:lang w:val="en-US" w:eastAsia="zh-CN"/>
                    </w:rPr>
                  </w:pPr>
                  <w:r>
                    <w:rPr>
                      <w:rFonts w:hint="eastAsia"/>
                      <w:bCs/>
                      <w:szCs w:val="21"/>
                      <w:lang w:val="en-US" w:eastAsia="zh-CN"/>
                    </w:rPr>
                    <w:t>8.0</w:t>
                  </w:r>
                </w:p>
              </w:tc>
              <w:tc>
                <w:tcPr>
                  <w:tcW w:w="375" w:type="pct"/>
                  <w:tcBorders>
                    <w:left w:val="single" w:color="auto" w:sz="4" w:space="0"/>
                    <w:right w:val="single" w:color="auto" w:sz="4" w:space="0"/>
                  </w:tcBorders>
                  <w:noWrap w:val="0"/>
                  <w:vAlign w:val="center"/>
                </w:tcPr>
                <w:p w14:paraId="5FE6767A">
                  <w:pPr>
                    <w:jc w:val="center"/>
                    <w:rPr>
                      <w:rFonts w:hint="eastAsia"/>
                      <w:bCs/>
                      <w:szCs w:val="21"/>
                      <w:lang w:val="en-US" w:eastAsia="zh-CN"/>
                    </w:rPr>
                  </w:pPr>
                  <w:r>
                    <w:rPr>
                      <w:rFonts w:hint="eastAsia"/>
                      <w:bCs/>
                      <w:szCs w:val="21"/>
                      <w:lang w:val="en-US" w:eastAsia="zh-CN"/>
                    </w:rPr>
                    <w:t>70</w:t>
                  </w:r>
                </w:p>
              </w:tc>
              <w:tc>
                <w:tcPr>
                  <w:tcW w:w="404" w:type="pct"/>
                  <w:tcBorders>
                    <w:left w:val="single" w:color="auto" w:sz="4" w:space="0"/>
                    <w:right w:val="single" w:color="auto" w:sz="4" w:space="0"/>
                  </w:tcBorders>
                  <w:noWrap w:val="0"/>
                  <w:vAlign w:val="center"/>
                </w:tcPr>
                <w:p w14:paraId="3E5D8A9A">
                  <w:pPr>
                    <w:jc w:val="center"/>
                    <w:rPr>
                      <w:rFonts w:hint="default"/>
                      <w:bCs/>
                      <w:szCs w:val="21"/>
                      <w:lang w:val="en-US" w:eastAsia="zh-CN"/>
                    </w:rPr>
                  </w:pPr>
                  <w:r>
                    <w:rPr>
                      <w:rFonts w:hint="eastAsia"/>
                      <w:bCs/>
                      <w:szCs w:val="21"/>
                      <w:lang w:val="en-US" w:eastAsia="zh-CN"/>
                    </w:rPr>
                    <w:t>/</w:t>
                  </w:r>
                </w:p>
              </w:tc>
              <w:tc>
                <w:tcPr>
                  <w:tcW w:w="404" w:type="pct"/>
                  <w:tcBorders>
                    <w:left w:val="single" w:color="auto" w:sz="4" w:space="0"/>
                    <w:right w:val="single" w:color="auto" w:sz="4" w:space="0"/>
                  </w:tcBorders>
                  <w:noWrap w:val="0"/>
                  <w:vAlign w:val="center"/>
                </w:tcPr>
                <w:p w14:paraId="6B6E861F">
                  <w:pPr>
                    <w:jc w:val="center"/>
                    <w:rPr>
                      <w:rFonts w:hint="eastAsia"/>
                      <w:bCs/>
                      <w:szCs w:val="21"/>
                      <w:lang w:val="en-US" w:eastAsia="zh-CN"/>
                    </w:rPr>
                  </w:pPr>
                  <w:r>
                    <w:rPr>
                      <w:rFonts w:hint="eastAsia"/>
                      <w:bCs/>
                      <w:szCs w:val="21"/>
                      <w:lang w:val="en-US" w:eastAsia="zh-CN"/>
                    </w:rPr>
                    <w:t>/</w:t>
                  </w:r>
                </w:p>
              </w:tc>
            </w:tr>
            <w:tr w14:paraId="04BB94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299" w:hRule="atLeast"/>
                <w:jc w:val="center"/>
              </w:trPr>
              <w:tc>
                <w:tcPr>
                  <w:tcW w:w="959" w:type="pct"/>
                  <w:gridSpan w:val="2"/>
                  <w:noWrap w:val="0"/>
                  <w:vAlign w:val="center"/>
                </w:tcPr>
                <w:p w14:paraId="12614EF0">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《城镇污水处理厂污染物排放标准》（GB18918-2002）</w:t>
                  </w:r>
                  <w:r>
                    <w:rPr>
                      <w:rFonts w:hint="default" w:ascii="Times New Roman" w:hAnsi="Times New Roman" w:cs="Times New Roman"/>
                      <w:b w:val="0"/>
                      <w:bCs w:val="0"/>
                      <w:color w:val="auto"/>
                      <w:szCs w:val="21"/>
                      <w:lang w:eastAsia="zh-CN"/>
                    </w:rPr>
                    <w:t>一级A</w:t>
                  </w:r>
                  <w:r>
                    <w:rPr>
                      <w:rFonts w:hint="default" w:ascii="Times New Roman" w:hAnsi="Times New Roman" w:cs="Times New Roman"/>
                      <w:b w:val="0"/>
                      <w:bCs w:val="0"/>
                      <w:color w:val="auto"/>
                      <w:szCs w:val="21"/>
                    </w:rPr>
                    <w:t>标准</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mg/</w:t>
                  </w:r>
                  <w:r>
                    <w:rPr>
                      <w:rFonts w:hint="eastAsia" w:cs="Times New Roman"/>
                      <w:b w:val="0"/>
                      <w:bCs w:val="0"/>
                      <w:color w:val="auto"/>
                      <w:szCs w:val="21"/>
                      <w:lang w:val="en-US" w:eastAsia="zh-CN"/>
                    </w:rPr>
                    <w:t>L</w:t>
                  </w:r>
                  <w:r>
                    <w:rPr>
                      <w:rFonts w:hint="default" w:ascii="Times New Roman" w:hAnsi="Times New Roman" w:cs="Times New Roman"/>
                      <w:b w:val="0"/>
                      <w:bCs w:val="0"/>
                      <w:color w:val="auto"/>
                      <w:szCs w:val="21"/>
                      <w:lang w:eastAsia="zh-CN"/>
                    </w:rPr>
                    <w:t>）</w:t>
                  </w:r>
                </w:p>
              </w:tc>
              <w:tc>
                <w:tcPr>
                  <w:tcW w:w="353" w:type="pct"/>
                  <w:tcBorders>
                    <w:right w:val="single" w:color="auto" w:sz="4" w:space="0"/>
                  </w:tcBorders>
                  <w:noWrap w:val="0"/>
                  <w:vAlign w:val="center"/>
                </w:tcPr>
                <w:p w14:paraId="14A85EB0">
                  <w:pPr>
                    <w:widowControl/>
                    <w:jc w:val="center"/>
                    <w:textAlignment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val="en-US" w:eastAsia="zh-CN"/>
                    </w:rPr>
                    <w:t>/</w:t>
                  </w:r>
                </w:p>
              </w:tc>
              <w:tc>
                <w:tcPr>
                  <w:tcW w:w="338" w:type="pct"/>
                  <w:tcBorders>
                    <w:left w:val="single" w:color="auto" w:sz="4" w:space="0"/>
                    <w:right w:val="single" w:color="auto" w:sz="4" w:space="0"/>
                  </w:tcBorders>
                  <w:noWrap w:val="0"/>
                  <w:vAlign w:val="center"/>
                </w:tcPr>
                <w:p w14:paraId="654C4041">
                  <w:pPr>
                    <w:jc w:val="center"/>
                    <w:rPr>
                      <w:rFonts w:hint="eastAsia" w:cs="Times New Roman"/>
                      <w:b w:val="0"/>
                      <w:bCs w:val="0"/>
                      <w:color w:val="auto"/>
                      <w:kern w:val="0"/>
                      <w:szCs w:val="21"/>
                      <w:lang w:val="en-US" w:eastAsia="zh-CN"/>
                    </w:rPr>
                  </w:pPr>
                  <w:r>
                    <w:rPr>
                      <w:rFonts w:ascii="Times New Roman" w:hAnsi="Times New Roman"/>
                      <w:bCs/>
                      <w:szCs w:val="21"/>
                    </w:rPr>
                    <w:t>6～9</w:t>
                  </w:r>
                </w:p>
              </w:tc>
              <w:tc>
                <w:tcPr>
                  <w:tcW w:w="353" w:type="pct"/>
                  <w:noWrap w:val="0"/>
                  <w:vAlign w:val="center"/>
                </w:tcPr>
                <w:p w14:paraId="230324BA">
                  <w:pPr>
                    <w:jc w:val="center"/>
                    <w:rPr>
                      <w:rFonts w:hint="default" w:ascii="Times New Roman" w:hAnsi="Times New Roman" w:eastAsia="宋体" w:cs="Times New Roman"/>
                      <w:b w:val="0"/>
                      <w:bCs w:val="0"/>
                      <w:color w:val="auto"/>
                      <w:kern w:val="2"/>
                      <w:sz w:val="21"/>
                      <w:szCs w:val="21"/>
                      <w:lang w:val="en-US" w:eastAsia="zh-CN" w:bidi="ar-SA"/>
                    </w:rPr>
                  </w:pPr>
                  <w:r>
                    <w:rPr>
                      <w:rFonts w:hint="eastAsia"/>
                      <w:bCs/>
                      <w:szCs w:val="21"/>
                      <w:lang w:val="en-US" w:eastAsia="zh-CN"/>
                    </w:rPr>
                    <w:t>50</w:t>
                  </w:r>
                </w:p>
              </w:tc>
              <w:tc>
                <w:tcPr>
                  <w:tcW w:w="346" w:type="pct"/>
                  <w:noWrap w:val="0"/>
                  <w:vAlign w:val="center"/>
                </w:tcPr>
                <w:p w14:paraId="538F8CAC">
                  <w:pPr>
                    <w:jc w:val="center"/>
                    <w:rPr>
                      <w:rFonts w:hint="default" w:ascii="Times New Roman" w:hAnsi="Times New Roman" w:eastAsia="宋体" w:cs="Times New Roman"/>
                      <w:b w:val="0"/>
                      <w:bCs w:val="0"/>
                      <w:color w:val="auto"/>
                      <w:kern w:val="2"/>
                      <w:sz w:val="21"/>
                      <w:szCs w:val="21"/>
                      <w:lang w:val="en-US" w:eastAsia="zh-CN" w:bidi="ar-SA"/>
                    </w:rPr>
                  </w:pPr>
                  <w:r>
                    <w:rPr>
                      <w:rFonts w:hint="eastAsia"/>
                      <w:bCs/>
                      <w:szCs w:val="21"/>
                      <w:lang w:val="en-US" w:eastAsia="zh-CN"/>
                    </w:rPr>
                    <w:t>10</w:t>
                  </w:r>
                </w:p>
              </w:tc>
              <w:tc>
                <w:tcPr>
                  <w:tcW w:w="346" w:type="pct"/>
                  <w:noWrap w:val="0"/>
                  <w:vAlign w:val="center"/>
                </w:tcPr>
                <w:p w14:paraId="4D17C908">
                  <w:pPr>
                    <w:jc w:val="center"/>
                    <w:rPr>
                      <w:rFonts w:hint="default" w:ascii="Times New Roman" w:hAnsi="Times New Roman" w:eastAsia="宋体" w:cs="Times New Roman"/>
                      <w:b w:val="0"/>
                      <w:bCs w:val="0"/>
                      <w:color w:val="auto"/>
                      <w:kern w:val="2"/>
                      <w:sz w:val="21"/>
                      <w:szCs w:val="21"/>
                      <w:lang w:val="en-US" w:eastAsia="zh-CN" w:bidi="ar-SA"/>
                    </w:rPr>
                  </w:pPr>
                  <w:r>
                    <w:rPr>
                      <w:rFonts w:ascii="Times New Roman" w:hAnsi="Times New Roman"/>
                      <w:bCs/>
                      <w:szCs w:val="21"/>
                    </w:rPr>
                    <w:t>10</w:t>
                  </w:r>
                </w:p>
              </w:tc>
              <w:tc>
                <w:tcPr>
                  <w:tcW w:w="360" w:type="pct"/>
                  <w:tcBorders>
                    <w:right w:val="single" w:color="auto" w:sz="4" w:space="0"/>
                  </w:tcBorders>
                  <w:noWrap w:val="0"/>
                  <w:vAlign w:val="center"/>
                </w:tcPr>
                <w:p w14:paraId="7CA48229">
                  <w:pPr>
                    <w:jc w:val="center"/>
                    <w:rPr>
                      <w:rFonts w:hint="default" w:ascii="Times New Roman" w:hAnsi="Times New Roman" w:eastAsia="宋体" w:cs="Times New Roman"/>
                      <w:b w:val="0"/>
                      <w:bCs w:val="0"/>
                      <w:color w:val="auto"/>
                      <w:kern w:val="2"/>
                      <w:sz w:val="21"/>
                      <w:szCs w:val="21"/>
                      <w:lang w:val="en-US" w:eastAsia="zh-CN" w:bidi="ar-SA"/>
                    </w:rPr>
                  </w:pPr>
                  <w:r>
                    <w:rPr>
                      <w:rFonts w:hint="eastAsia"/>
                      <w:bCs/>
                      <w:szCs w:val="21"/>
                      <w:lang w:val="en-US" w:eastAsia="zh-CN"/>
                    </w:rPr>
                    <w:t>5</w:t>
                  </w:r>
                </w:p>
              </w:tc>
              <w:tc>
                <w:tcPr>
                  <w:tcW w:w="382" w:type="pct"/>
                  <w:tcBorders>
                    <w:left w:val="single" w:color="auto" w:sz="4" w:space="0"/>
                    <w:right w:val="single" w:color="auto" w:sz="4" w:space="0"/>
                  </w:tcBorders>
                  <w:noWrap w:val="0"/>
                  <w:vAlign w:val="center"/>
                </w:tcPr>
                <w:p w14:paraId="7F01A25C">
                  <w:pPr>
                    <w:jc w:val="center"/>
                    <w:rPr>
                      <w:rFonts w:hint="default" w:ascii="Times New Roman" w:hAnsi="Times New Roman" w:eastAsia="宋体" w:cs="Times New Roman"/>
                      <w:b w:val="0"/>
                      <w:bCs w:val="0"/>
                      <w:color w:val="auto"/>
                      <w:kern w:val="2"/>
                      <w:sz w:val="21"/>
                      <w:szCs w:val="21"/>
                      <w:lang w:val="en-US" w:eastAsia="zh-CN" w:bidi="ar-SA"/>
                    </w:rPr>
                  </w:pPr>
                  <w:r>
                    <w:rPr>
                      <w:rFonts w:hint="eastAsia"/>
                      <w:bCs/>
                      <w:szCs w:val="21"/>
                      <w:lang w:val="en-US" w:eastAsia="zh-CN"/>
                    </w:rPr>
                    <w:t>1</w:t>
                  </w:r>
                </w:p>
              </w:tc>
              <w:tc>
                <w:tcPr>
                  <w:tcW w:w="375" w:type="pct"/>
                  <w:tcBorders>
                    <w:left w:val="single" w:color="auto" w:sz="4" w:space="0"/>
                    <w:right w:val="single" w:color="auto" w:sz="4" w:space="0"/>
                  </w:tcBorders>
                  <w:noWrap w:val="0"/>
                  <w:vAlign w:val="center"/>
                </w:tcPr>
                <w:p w14:paraId="3C1BDE7F">
                  <w:pPr>
                    <w:jc w:val="center"/>
                    <w:rPr>
                      <w:rFonts w:hint="eastAsia"/>
                      <w:bCs/>
                      <w:szCs w:val="21"/>
                      <w:lang w:val="en-US" w:eastAsia="zh-CN"/>
                    </w:rPr>
                  </w:pPr>
                  <w:r>
                    <w:rPr>
                      <w:rFonts w:hint="eastAsia"/>
                      <w:bCs/>
                      <w:szCs w:val="21"/>
                      <w:lang w:val="en-US" w:eastAsia="zh-CN"/>
                    </w:rPr>
                    <w:t>0.5</w:t>
                  </w:r>
                </w:p>
              </w:tc>
              <w:tc>
                <w:tcPr>
                  <w:tcW w:w="375" w:type="pct"/>
                  <w:tcBorders>
                    <w:left w:val="single" w:color="auto" w:sz="4" w:space="0"/>
                    <w:right w:val="single" w:color="auto" w:sz="4" w:space="0"/>
                  </w:tcBorders>
                  <w:noWrap w:val="0"/>
                  <w:vAlign w:val="center"/>
                </w:tcPr>
                <w:p w14:paraId="06D8861C">
                  <w:pPr>
                    <w:jc w:val="center"/>
                    <w:rPr>
                      <w:rFonts w:hint="eastAsia" w:cs="Times New Roman"/>
                      <w:b w:val="0"/>
                      <w:bCs w:val="0"/>
                      <w:color w:val="auto"/>
                      <w:kern w:val="2"/>
                      <w:sz w:val="21"/>
                      <w:szCs w:val="21"/>
                      <w:lang w:val="en-US" w:eastAsia="zh-CN" w:bidi="ar-SA"/>
                    </w:rPr>
                  </w:pPr>
                  <w:r>
                    <w:rPr>
                      <w:rFonts w:hint="eastAsia"/>
                      <w:bCs/>
                      <w:szCs w:val="21"/>
                      <w:lang w:val="en-US" w:eastAsia="zh-CN"/>
                    </w:rPr>
                    <w:t>15</w:t>
                  </w:r>
                </w:p>
              </w:tc>
              <w:tc>
                <w:tcPr>
                  <w:tcW w:w="404" w:type="pct"/>
                  <w:tcBorders>
                    <w:left w:val="single" w:color="auto" w:sz="4" w:space="0"/>
                    <w:right w:val="single" w:color="auto" w:sz="4" w:space="0"/>
                  </w:tcBorders>
                  <w:noWrap w:val="0"/>
                  <w:vAlign w:val="center"/>
                </w:tcPr>
                <w:p w14:paraId="6B6275BB">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59A1F4D2">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r w14:paraId="49669F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rHeight w:val="836" w:hRule="atLeast"/>
                <w:jc w:val="center"/>
              </w:trPr>
              <w:tc>
                <w:tcPr>
                  <w:tcW w:w="959" w:type="pct"/>
                  <w:gridSpan w:val="2"/>
                  <w:noWrap w:val="0"/>
                  <w:vAlign w:val="center"/>
                </w:tcPr>
                <w:p w14:paraId="09B6D3F4">
                  <w:pPr>
                    <w:widowControl/>
                    <w:jc w:val="center"/>
                    <w:textAlignment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经污水处理厂处理后污染物入环境总量</w:t>
                  </w:r>
                  <w:r>
                    <w:rPr>
                      <w:rFonts w:hint="default" w:ascii="Times New Roman" w:hAnsi="Times New Roman" w:cs="Times New Roman"/>
                      <w:b w:val="0"/>
                      <w:bCs w:val="0"/>
                      <w:color w:val="auto"/>
                      <w:szCs w:val="21"/>
                      <w:lang w:eastAsia="zh-CN"/>
                    </w:rPr>
                    <w:t>（</w:t>
                  </w:r>
                  <w:r>
                    <w:rPr>
                      <w:rFonts w:hint="default" w:ascii="Times New Roman" w:hAnsi="Times New Roman" w:cs="Times New Roman"/>
                      <w:b w:val="0"/>
                      <w:bCs w:val="0"/>
                      <w:color w:val="auto"/>
                      <w:szCs w:val="21"/>
                    </w:rPr>
                    <w:t>t/a</w:t>
                  </w:r>
                  <w:r>
                    <w:rPr>
                      <w:rFonts w:hint="default" w:ascii="Times New Roman" w:hAnsi="Times New Roman" w:cs="Times New Roman"/>
                      <w:b w:val="0"/>
                      <w:bCs w:val="0"/>
                      <w:color w:val="auto"/>
                      <w:szCs w:val="21"/>
                      <w:lang w:eastAsia="zh-CN"/>
                    </w:rPr>
                    <w:t>）</w:t>
                  </w:r>
                </w:p>
              </w:tc>
              <w:tc>
                <w:tcPr>
                  <w:tcW w:w="353" w:type="pct"/>
                  <w:tcBorders>
                    <w:right w:val="single" w:color="auto" w:sz="4" w:space="0"/>
                  </w:tcBorders>
                  <w:noWrap w:val="0"/>
                  <w:vAlign w:val="center"/>
                </w:tcPr>
                <w:p w14:paraId="7C05E708">
                  <w:pPr>
                    <w:widowControl/>
                    <w:jc w:val="center"/>
                    <w:textAlignment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201351</w:t>
                  </w:r>
                </w:p>
              </w:tc>
              <w:tc>
                <w:tcPr>
                  <w:tcW w:w="338" w:type="pct"/>
                  <w:tcBorders>
                    <w:left w:val="single" w:color="auto" w:sz="4" w:space="0"/>
                    <w:right w:val="single" w:color="auto" w:sz="4" w:space="0"/>
                  </w:tcBorders>
                  <w:noWrap w:val="0"/>
                  <w:vAlign w:val="center"/>
                </w:tcPr>
                <w:p w14:paraId="46F7FE83">
                  <w:pPr>
                    <w:widowControl/>
                    <w:jc w:val="center"/>
                    <w:textAlignment w:val="center"/>
                    <w:rPr>
                      <w:rFonts w:hint="default" w:cs="Times New Roman"/>
                      <w:b w:val="0"/>
                      <w:bCs w:val="0"/>
                      <w:color w:val="auto"/>
                      <w:kern w:val="0"/>
                      <w:szCs w:val="21"/>
                      <w:lang w:val="en-US" w:eastAsia="zh-CN"/>
                    </w:rPr>
                  </w:pPr>
                  <w:r>
                    <w:rPr>
                      <w:rFonts w:hint="eastAsia" w:cs="Times New Roman"/>
                      <w:b w:val="0"/>
                      <w:bCs w:val="0"/>
                      <w:color w:val="auto"/>
                      <w:kern w:val="0"/>
                      <w:szCs w:val="21"/>
                      <w:lang w:val="en-US" w:eastAsia="zh-CN"/>
                    </w:rPr>
                    <w:t>/</w:t>
                  </w:r>
                </w:p>
              </w:tc>
              <w:tc>
                <w:tcPr>
                  <w:tcW w:w="353" w:type="pct"/>
                  <w:noWrap w:val="0"/>
                  <w:vAlign w:val="center"/>
                </w:tcPr>
                <w:p w14:paraId="2B8FAA5C">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10.0676</w:t>
                  </w:r>
                </w:p>
              </w:tc>
              <w:tc>
                <w:tcPr>
                  <w:tcW w:w="346" w:type="pct"/>
                  <w:noWrap w:val="0"/>
                  <w:vAlign w:val="center"/>
                </w:tcPr>
                <w:p w14:paraId="7FEDFB87">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2.0135</w:t>
                  </w:r>
                </w:p>
              </w:tc>
              <w:tc>
                <w:tcPr>
                  <w:tcW w:w="346" w:type="pct"/>
                  <w:noWrap w:val="0"/>
                  <w:vAlign w:val="center"/>
                </w:tcPr>
                <w:p w14:paraId="5713CE4E">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2.0135</w:t>
                  </w:r>
                </w:p>
              </w:tc>
              <w:tc>
                <w:tcPr>
                  <w:tcW w:w="360" w:type="pct"/>
                  <w:tcBorders>
                    <w:right w:val="single" w:color="auto" w:sz="4" w:space="0"/>
                  </w:tcBorders>
                  <w:noWrap w:val="0"/>
                  <w:vAlign w:val="center"/>
                </w:tcPr>
                <w:p w14:paraId="6240A927">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1.0068</w:t>
                  </w:r>
                </w:p>
              </w:tc>
              <w:tc>
                <w:tcPr>
                  <w:tcW w:w="382" w:type="pct"/>
                  <w:tcBorders>
                    <w:left w:val="single" w:color="auto" w:sz="4" w:space="0"/>
                    <w:right w:val="single" w:color="auto" w:sz="4" w:space="0"/>
                  </w:tcBorders>
                  <w:noWrap w:val="0"/>
                  <w:vAlign w:val="center"/>
                </w:tcPr>
                <w:p w14:paraId="06ADDA9A">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r>
                    <w:rPr>
                      <w:rFonts w:hint="eastAsia" w:cs="Times New Roman"/>
                      <w:b w:val="0"/>
                      <w:bCs w:val="0"/>
                      <w:color w:val="auto"/>
                      <w:kern w:val="2"/>
                      <w:sz w:val="21"/>
                      <w:szCs w:val="21"/>
                      <w:lang w:val="en-US" w:eastAsia="zh-CN" w:bidi="ar-SA"/>
                    </w:rPr>
                    <w:t>2014</w:t>
                  </w:r>
                </w:p>
              </w:tc>
              <w:tc>
                <w:tcPr>
                  <w:tcW w:w="375" w:type="pct"/>
                  <w:tcBorders>
                    <w:left w:val="single" w:color="auto" w:sz="4" w:space="0"/>
                    <w:right w:val="single" w:color="auto" w:sz="4" w:space="0"/>
                  </w:tcBorders>
                  <w:noWrap w:val="0"/>
                  <w:vAlign w:val="center"/>
                </w:tcPr>
                <w:p w14:paraId="6ED0FA0E">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0.1007</w:t>
                  </w:r>
                </w:p>
              </w:tc>
              <w:tc>
                <w:tcPr>
                  <w:tcW w:w="375" w:type="pct"/>
                  <w:tcBorders>
                    <w:left w:val="single" w:color="auto" w:sz="4" w:space="0"/>
                    <w:right w:val="single" w:color="auto" w:sz="4" w:space="0"/>
                  </w:tcBorders>
                  <w:noWrap w:val="0"/>
                  <w:vAlign w:val="center"/>
                </w:tcPr>
                <w:p w14:paraId="5BC2E99A">
                  <w:pPr>
                    <w:widowControl/>
                    <w:jc w:val="center"/>
                    <w:textAlignment w:val="center"/>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3.0203</w:t>
                  </w:r>
                </w:p>
              </w:tc>
              <w:tc>
                <w:tcPr>
                  <w:tcW w:w="404" w:type="pct"/>
                  <w:tcBorders>
                    <w:left w:val="single" w:color="auto" w:sz="4" w:space="0"/>
                    <w:right w:val="single" w:color="auto" w:sz="4" w:space="0"/>
                  </w:tcBorders>
                  <w:noWrap w:val="0"/>
                  <w:vAlign w:val="center"/>
                </w:tcPr>
                <w:p w14:paraId="511D93C3">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c>
                <w:tcPr>
                  <w:tcW w:w="404" w:type="pct"/>
                  <w:tcBorders>
                    <w:left w:val="single" w:color="auto" w:sz="4" w:space="0"/>
                    <w:right w:val="single" w:color="auto" w:sz="4" w:space="0"/>
                  </w:tcBorders>
                  <w:noWrap w:val="0"/>
                  <w:vAlign w:val="center"/>
                </w:tcPr>
                <w:p w14:paraId="2D5B8FD6">
                  <w:pPr>
                    <w:widowControl/>
                    <w:jc w:val="center"/>
                    <w:textAlignment w:val="center"/>
                    <w:rPr>
                      <w:rFonts w:hint="eastAsia"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w:t>
                  </w:r>
                </w:p>
              </w:tc>
            </w:tr>
          </w:tbl>
          <w:p w14:paraId="70F1EB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b w:val="0"/>
                <w:bCs/>
                <w:color w:val="auto"/>
                <w:sz w:val="24"/>
                <w:szCs w:val="24"/>
                <w:lang w:eastAsia="zh-CN"/>
              </w:rPr>
            </w:pPr>
            <w:r>
              <w:rPr>
                <w:rFonts w:hint="eastAsia"/>
                <w:b w:val="0"/>
                <w:bCs/>
                <w:color w:val="auto"/>
                <w:sz w:val="24"/>
                <w:szCs w:val="24"/>
                <w:lang w:eastAsia="zh-CN"/>
              </w:rPr>
              <w:t>根据上表可知，本项目废水排放浓度能够满足</w:t>
            </w:r>
            <w:r>
              <w:rPr>
                <w:rFonts w:hint="default" w:ascii="Times New Roman" w:hAnsi="Times New Roman" w:eastAsia="宋体" w:cs="Times New Roman"/>
                <w:color w:val="000000"/>
                <w:kern w:val="0"/>
                <w:sz w:val="24"/>
                <w:szCs w:val="24"/>
                <w:lang w:val="en-US" w:eastAsia="zh-CN" w:bidi="ar"/>
              </w:rPr>
              <w:t>固镇经济开发区</w:t>
            </w:r>
            <w:r>
              <w:rPr>
                <w:rFonts w:hint="eastAsia" w:ascii="Times New Roman" w:hAnsi="Times New Roman" w:eastAsia="宋体" w:cs="Times New Roman"/>
                <w:color w:val="auto"/>
                <w:sz w:val="24"/>
                <w:szCs w:val="24"/>
                <w:lang w:val="zh-CN"/>
              </w:rPr>
              <w:t>污水处理厂处理接管标准、《</w:t>
            </w:r>
            <w:r>
              <w:rPr>
                <w:rFonts w:hint="eastAsia" w:cs="Times New Roman"/>
                <w:color w:val="auto"/>
                <w:sz w:val="24"/>
                <w:szCs w:val="24"/>
                <w:lang w:eastAsia="zh-CN"/>
              </w:rPr>
              <w:t>电子工业水污染物</w:t>
            </w:r>
            <w:r>
              <w:rPr>
                <w:rFonts w:ascii="Times New Roman" w:hAnsi="Times New Roman" w:eastAsia="宋体" w:cs="Times New Roman"/>
                <w:color w:val="auto"/>
                <w:sz w:val="24"/>
                <w:szCs w:val="24"/>
              </w:rPr>
              <w:t>排放标准》（GB</w:t>
            </w:r>
            <w:r>
              <w:rPr>
                <w:rFonts w:hint="eastAsia" w:cs="Times New Roman"/>
                <w:color w:val="auto"/>
                <w:sz w:val="24"/>
                <w:szCs w:val="24"/>
                <w:lang w:val="en-US" w:eastAsia="zh-CN"/>
              </w:rPr>
              <w:t>39731</w:t>
            </w:r>
            <w:r>
              <w:rPr>
                <w:rFonts w:ascii="Times New Roman" w:hAnsi="Times New Roman" w:eastAsia="宋体" w:cs="Times New Roman"/>
                <w:color w:val="auto"/>
                <w:sz w:val="24"/>
                <w:szCs w:val="24"/>
              </w:rPr>
              <w:t>-</w:t>
            </w:r>
            <w:r>
              <w:rPr>
                <w:rFonts w:hint="eastAsia" w:cs="Times New Roman"/>
                <w:color w:val="auto"/>
                <w:sz w:val="24"/>
                <w:szCs w:val="24"/>
                <w:lang w:val="en-US" w:eastAsia="zh-CN"/>
              </w:rPr>
              <w:t>2020</w:t>
            </w:r>
            <w:r>
              <w:rPr>
                <w:rFonts w:ascii="Times New Roman" w:hAnsi="Times New Roman" w:eastAsia="宋体" w:cs="Times New Roman"/>
                <w:color w:val="auto"/>
                <w:sz w:val="24"/>
                <w:szCs w:val="24"/>
              </w:rPr>
              <w:t>）</w:t>
            </w:r>
            <w:r>
              <w:rPr>
                <w:rFonts w:hint="eastAsia" w:cs="Times New Roman"/>
                <w:color w:val="auto"/>
                <w:sz w:val="24"/>
                <w:szCs w:val="24"/>
                <w:lang w:val="zh-CN"/>
              </w:rPr>
              <w:t>中污染物排放</w:t>
            </w:r>
            <w:r>
              <w:rPr>
                <w:rFonts w:hint="eastAsia" w:ascii="Times New Roman" w:hAnsi="Times New Roman" w:eastAsia="宋体" w:cs="Times New Roman"/>
                <w:color w:val="auto"/>
                <w:sz w:val="24"/>
                <w:lang w:val="zh-CN"/>
              </w:rPr>
              <w:t>标准</w:t>
            </w:r>
            <w:r>
              <w:rPr>
                <w:rFonts w:hint="eastAsia" w:cs="Times New Roman"/>
                <w:color w:val="auto"/>
                <w:sz w:val="24"/>
                <w:szCs w:val="24"/>
                <w:lang w:eastAsia="zh-CN"/>
              </w:rPr>
              <w:t>。</w:t>
            </w:r>
          </w:p>
          <w:p w14:paraId="555BAE5C">
            <w:pPr>
              <w:keepNext w:val="0"/>
              <w:keepLines w:val="0"/>
              <w:pageBreakBefore w:val="0"/>
              <w:kinsoku/>
              <w:wordWrap/>
              <w:overflowPunct/>
              <w:topLinePunct w:val="0"/>
              <w:autoSpaceDE/>
              <w:autoSpaceDN/>
              <w:bidi w:val="0"/>
              <w:adjustRightInd w:val="0"/>
              <w:snapToGrid/>
              <w:spacing w:line="360" w:lineRule="auto"/>
              <w:jc w:val="left"/>
              <w:textAlignment w:val="auto"/>
              <w:rPr>
                <w:rFonts w:hint="default" w:ascii="Times New Roman" w:hAnsi="Times New Roman" w:eastAsia="宋体" w:cs="Times New Roman"/>
                <w:b/>
                <w:bCs/>
                <w:color w:val="auto"/>
                <w:kern w:val="0"/>
                <w:sz w:val="24"/>
                <w:szCs w:val="24"/>
                <w:lang w:eastAsia="zh-CN"/>
              </w:rPr>
            </w:pPr>
            <w:r>
              <w:rPr>
                <w:rFonts w:hint="eastAsia"/>
                <w:b/>
                <w:kern w:val="0"/>
                <w:sz w:val="24"/>
              </w:rPr>
              <w:t>2.2</w:t>
            </w:r>
            <w:r>
              <w:rPr>
                <w:rFonts w:hint="eastAsia"/>
                <w:b/>
                <w:kern w:val="0"/>
                <w:sz w:val="24"/>
                <w:lang w:eastAsia="zh-CN"/>
              </w:rPr>
              <w:t>依托固镇经济开发区</w:t>
            </w:r>
            <w:r>
              <w:rPr>
                <w:rFonts w:hint="eastAsia" w:cs="Times New Roman"/>
                <w:b/>
                <w:bCs/>
                <w:color w:val="auto"/>
                <w:sz w:val="24"/>
                <w:szCs w:val="24"/>
                <w:highlight w:val="none"/>
                <w:lang w:val="en-US" w:eastAsia="zh-CN"/>
              </w:rPr>
              <w:t>污水处理厂处理</w:t>
            </w:r>
            <w:r>
              <w:rPr>
                <w:rFonts w:hint="default" w:ascii="Times New Roman" w:hAnsi="Times New Roman" w:eastAsia="宋体" w:cs="Times New Roman"/>
                <w:b/>
                <w:bCs/>
                <w:color w:val="auto"/>
                <w:sz w:val="24"/>
                <w:szCs w:val="24"/>
                <w:highlight w:val="none"/>
                <w:lang w:val="en-US" w:eastAsia="zh-CN"/>
              </w:rPr>
              <w:t>可行性分析</w:t>
            </w:r>
          </w:p>
          <w:p w14:paraId="7BB512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pacing w:val="0"/>
                <w:position w:val="0"/>
                <w:sz w:val="24"/>
                <w:szCs w:val="24"/>
                <w:lang w:eastAsia="zh-CN"/>
              </w:rPr>
            </w:pPr>
            <w:r>
              <w:rPr>
                <w:rFonts w:hint="default" w:ascii="Times New Roman" w:hAnsi="Times New Roman" w:eastAsia="宋体" w:cs="Times New Roman"/>
                <w:color w:val="000000"/>
                <w:kern w:val="0"/>
                <w:sz w:val="24"/>
                <w:szCs w:val="24"/>
                <w:lang w:val="en-US" w:eastAsia="zh-CN" w:bidi="ar"/>
              </w:rPr>
              <w:t>固镇经济开发区污水处理厂已建成一、二、三期，共5万m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/d；四期正在建设，设计规模2万m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污水厂的服务范围参照《安徽固镇经济开发区排水专业规划（2014-2030）》，将规划区域分为三个区，分别是Ⅰ区、Ⅱ区、Ⅲ区。Ⅰ区位于纬七路以北，刘集路以南，经二路以西，S101以东，污水干管沿经一路、纬一路、经二路污水干管接至一、二期污水处理厂。Ⅱ区位于纬七路以南，纬十一路以北，京沪高铁以西，S101以东，污水干管沿经二路污水干管接至一、二期污水处理厂。Ⅲ区位于纬七路以北，纬四路以南，经二路以西，S101以东，污水干管沿经三路污水干管接至三期污水处理厂，该区域主要服务于丰原集团。污水厂一期规模2万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/d，二期规模为1万m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/d，服务范围为固镇经济开发区北区（除丰原集团）和丰原明胶污水；三期规模为2万m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/d，服务范围为丰原生物集团。</w:t>
            </w:r>
          </w:p>
          <w:p w14:paraId="2315588A">
            <w:pPr>
              <w:spacing w:line="360" w:lineRule="auto"/>
              <w:ind w:firstLine="480" w:firstLineChars="200"/>
              <w:rPr>
                <w:snapToGrid w:val="0"/>
                <w:sz w:val="24"/>
              </w:rPr>
            </w:pPr>
            <w:r>
              <w:rPr>
                <w:rFonts w:hint="eastAsia"/>
                <w:snapToGrid w:val="0"/>
                <w:sz w:val="24"/>
                <w:lang w:eastAsia="zh-CN"/>
              </w:rPr>
              <w:t>固镇经济开发区污水处理厂</w:t>
            </w:r>
            <w:r>
              <w:rPr>
                <w:snapToGrid w:val="0"/>
                <w:sz w:val="24"/>
              </w:rPr>
              <w:t>一期、二期工程污水处理工艺相同，均</w:t>
            </w:r>
            <w:r>
              <w:rPr>
                <w:rFonts w:hint="eastAsia"/>
                <w:snapToGrid w:val="0"/>
                <w:sz w:val="24"/>
              </w:rPr>
              <w:t>为</w:t>
            </w:r>
            <w:r>
              <w:rPr>
                <w:snapToGrid w:val="0"/>
                <w:sz w:val="24"/>
              </w:rPr>
              <w:t>改良氧化沟工艺，工艺流程为：粗格栅—</w:t>
            </w:r>
            <w:r>
              <w:rPr>
                <w:rFonts w:hint="eastAsia"/>
                <w:snapToGrid w:val="0"/>
                <w:sz w:val="24"/>
              </w:rPr>
              <w:t>细格栅</w:t>
            </w:r>
            <w:r>
              <w:rPr>
                <w:snapToGrid w:val="0"/>
                <w:sz w:val="24"/>
              </w:rPr>
              <w:t>—</w:t>
            </w:r>
            <w:r>
              <w:rPr>
                <w:rFonts w:hint="eastAsia"/>
                <w:snapToGrid w:val="0"/>
                <w:sz w:val="24"/>
              </w:rPr>
              <w:t>沉砂池</w:t>
            </w:r>
            <w:r>
              <w:rPr>
                <w:snapToGrid w:val="0"/>
                <w:sz w:val="24"/>
              </w:rPr>
              <w:t>—</w:t>
            </w:r>
            <w:r>
              <w:rPr>
                <w:rFonts w:hint="eastAsia"/>
                <w:snapToGrid w:val="0"/>
                <w:sz w:val="24"/>
              </w:rPr>
              <w:t>水解池</w:t>
            </w:r>
            <w:r>
              <w:rPr>
                <w:snapToGrid w:val="0"/>
                <w:sz w:val="24"/>
              </w:rPr>
              <w:t>—</w:t>
            </w:r>
            <w:r>
              <w:rPr>
                <w:rFonts w:hint="eastAsia"/>
                <w:snapToGrid w:val="0"/>
                <w:sz w:val="24"/>
              </w:rPr>
              <w:t>氧化沟</w:t>
            </w:r>
            <w:r>
              <w:rPr>
                <w:snapToGrid w:val="0"/>
                <w:sz w:val="24"/>
              </w:rPr>
              <w:t>—</w:t>
            </w:r>
            <w:r>
              <w:rPr>
                <w:rFonts w:hint="eastAsia"/>
                <w:snapToGrid w:val="0"/>
                <w:sz w:val="24"/>
              </w:rPr>
              <w:t>二沉池</w:t>
            </w:r>
            <w:r>
              <w:rPr>
                <w:snapToGrid w:val="0"/>
                <w:sz w:val="24"/>
              </w:rPr>
              <w:t>—</w:t>
            </w:r>
            <w:r>
              <w:rPr>
                <w:rFonts w:hint="eastAsia"/>
                <w:snapToGrid w:val="0"/>
                <w:sz w:val="24"/>
              </w:rPr>
              <w:t>微</w:t>
            </w:r>
            <w:r>
              <w:rPr>
                <w:snapToGrid w:val="0"/>
                <w:sz w:val="24"/>
              </w:rPr>
              <w:t>絮凝</w:t>
            </w:r>
            <w:r>
              <w:rPr>
                <w:rFonts w:hint="eastAsia"/>
                <w:snapToGrid w:val="0"/>
                <w:sz w:val="24"/>
              </w:rPr>
              <w:t>池</w:t>
            </w:r>
            <w:r>
              <w:rPr>
                <w:snapToGrid w:val="0"/>
                <w:sz w:val="24"/>
              </w:rPr>
              <w:t>—</w:t>
            </w:r>
            <w:r>
              <w:rPr>
                <w:rFonts w:hint="eastAsia"/>
                <w:snapToGrid w:val="0"/>
                <w:sz w:val="24"/>
              </w:rPr>
              <w:t>转盘</w:t>
            </w:r>
            <w:r>
              <w:rPr>
                <w:snapToGrid w:val="0"/>
                <w:sz w:val="24"/>
              </w:rPr>
              <w:t>滤池—</w:t>
            </w:r>
            <w:r>
              <w:rPr>
                <w:rFonts w:hint="eastAsia"/>
                <w:snapToGrid w:val="0"/>
                <w:sz w:val="24"/>
              </w:rPr>
              <w:t>紫外消毒</w:t>
            </w:r>
            <w:r>
              <w:rPr>
                <w:snapToGrid w:val="0"/>
                <w:sz w:val="24"/>
              </w:rPr>
              <w:t>。</w:t>
            </w:r>
          </w:p>
          <w:p w14:paraId="2C8DD8AA">
            <w:pPr>
              <w:spacing w:line="240" w:lineRule="auto"/>
              <w:ind w:firstLine="480" w:firstLineChars="200"/>
              <w:rPr>
                <w:snapToGrid w:val="0"/>
                <w:sz w:val="24"/>
              </w:rPr>
            </w:pPr>
            <w:r>
              <w:rPr>
                <w:rFonts w:hint="eastAsia"/>
                <w:snapToGrid w:val="0"/>
                <w:sz w:val="24"/>
              </w:rPr>
              <w:t>具体工艺流程</w:t>
            </w:r>
            <w:r>
              <w:rPr>
                <w:snapToGrid w:val="0"/>
                <w:sz w:val="24"/>
              </w:rPr>
              <w:t>见下图：</w:t>
            </w:r>
          </w:p>
          <w:p w14:paraId="72B813AA">
            <w:pPr>
              <w:spacing w:line="240" w:lineRule="auto"/>
              <w:jc w:val="center"/>
              <w:rPr>
                <w:snapToGrid w:val="0"/>
                <w:sz w:val="24"/>
              </w:rPr>
            </w:pPr>
            <w:r>
              <w:rPr>
                <w:snapToGrid w:val="0"/>
                <w:sz w:val="24"/>
              </w:rPr>
              <w:drawing>
                <wp:inline distT="0" distB="0" distL="114300" distR="114300">
                  <wp:extent cx="4449445" cy="2809875"/>
                  <wp:effectExtent l="0" t="0" r="8255" b="952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7"/>
                          <a:stretch>
                            <a:fillRect/>
                          </a:stretch>
                        </pic:blipFill>
                        <pic:spPr>
                          <a:xfrm>
                            <a:off x="0" y="0"/>
                            <a:ext cx="4449445" cy="2809875"/>
                          </a:xfrm>
                          <a:prstGeom prst="rect">
                            <a:avLst/>
                          </a:prstGeom>
                          <a:noFill/>
                          <a:ln>
                            <a:noFill/>
                          </a:ln>
                        </pic:spPr>
                      </pic:pic>
                    </a:graphicData>
                  </a:graphic>
                </wp:inline>
              </w:drawing>
            </w:r>
          </w:p>
          <w:p w14:paraId="0B7B0B6D">
            <w:pPr>
              <w:spacing w:line="240" w:lineRule="auto"/>
              <w:ind w:firstLine="422" w:firstLineChars="200"/>
              <w:jc w:val="center"/>
              <w:rPr>
                <w:b/>
                <w:snapToGrid w:val="0"/>
                <w:sz w:val="21"/>
                <w:szCs w:val="21"/>
              </w:rPr>
            </w:pPr>
            <w:r>
              <w:rPr>
                <w:rFonts w:hint="eastAsia"/>
                <w:b/>
                <w:snapToGrid w:val="0"/>
                <w:sz w:val="21"/>
                <w:szCs w:val="21"/>
              </w:rPr>
              <w:t>图</w:t>
            </w:r>
            <w:r>
              <w:rPr>
                <w:rFonts w:hint="eastAsia"/>
                <w:b/>
                <w:snapToGrid w:val="0"/>
                <w:sz w:val="21"/>
                <w:szCs w:val="21"/>
                <w:lang w:val="en-US" w:eastAsia="zh-CN"/>
              </w:rPr>
              <w:t>4</w:t>
            </w:r>
            <w:r>
              <w:rPr>
                <w:b/>
                <w:snapToGrid w:val="0"/>
                <w:sz w:val="21"/>
                <w:szCs w:val="21"/>
              </w:rPr>
              <w:t>-</w:t>
            </w:r>
            <w:r>
              <w:rPr>
                <w:rFonts w:hint="eastAsia"/>
                <w:b/>
                <w:snapToGrid w:val="0"/>
                <w:sz w:val="21"/>
                <w:szCs w:val="21"/>
                <w:lang w:val="en-US" w:eastAsia="zh-CN"/>
              </w:rPr>
              <w:t>2</w:t>
            </w:r>
            <w:r>
              <w:rPr>
                <w:b/>
                <w:snapToGrid w:val="0"/>
                <w:sz w:val="21"/>
                <w:szCs w:val="21"/>
              </w:rPr>
              <w:t xml:space="preserve"> </w:t>
            </w:r>
            <w:r>
              <w:rPr>
                <w:rFonts w:hint="eastAsia"/>
                <w:b/>
                <w:snapToGrid w:val="0"/>
                <w:sz w:val="21"/>
                <w:szCs w:val="21"/>
              </w:rPr>
              <w:t>固镇经济开发区</w:t>
            </w:r>
            <w:r>
              <w:rPr>
                <w:b/>
                <w:snapToGrid w:val="0"/>
                <w:sz w:val="21"/>
                <w:szCs w:val="21"/>
              </w:rPr>
              <w:t>污水处理厂工艺图</w:t>
            </w:r>
          </w:p>
          <w:p w14:paraId="75A2769C">
            <w:pPr>
              <w:adjustRightInd w:val="0"/>
              <w:snapToGrid w:val="0"/>
              <w:spacing w:line="360" w:lineRule="auto"/>
              <w:ind w:firstLine="480" w:firstLineChars="200"/>
              <w:rPr>
                <w:rFonts w:hint="eastAsia"/>
                <w:b/>
                <w:color w:val="auto"/>
                <w:sz w:val="24"/>
                <w:lang w:eastAsia="zh-CN"/>
              </w:rPr>
            </w:pPr>
            <w:r>
              <w:rPr>
                <w:rFonts w:hint="eastAsia"/>
                <w:snapToGrid w:val="0"/>
                <w:color w:val="auto"/>
                <w:kern w:val="0"/>
                <w:sz w:val="24"/>
              </w:rPr>
              <w:t>综上，本项目</w:t>
            </w:r>
            <w:r>
              <w:rPr>
                <w:rFonts w:hint="eastAsia"/>
                <w:snapToGrid w:val="0"/>
                <w:color w:val="auto"/>
                <w:kern w:val="0"/>
                <w:sz w:val="24"/>
                <w:lang w:eastAsia="zh-CN"/>
              </w:rPr>
              <w:t>位于</w:t>
            </w:r>
            <w:r>
              <w:rPr>
                <w:snapToGrid w:val="0"/>
                <w:color w:val="auto"/>
                <w:sz w:val="24"/>
              </w:rPr>
              <w:t>固镇经济开发区</w:t>
            </w:r>
            <w:r>
              <w:rPr>
                <w:rFonts w:hint="eastAsia"/>
                <w:snapToGrid w:val="0"/>
                <w:color w:val="auto"/>
                <w:sz w:val="24"/>
                <w:lang w:eastAsia="zh-CN"/>
              </w:rPr>
              <w:t>，</w:t>
            </w:r>
            <w:r>
              <w:rPr>
                <w:rFonts w:hint="eastAsia"/>
                <w:color w:val="auto"/>
                <w:sz w:val="24"/>
                <w:szCs w:val="24"/>
                <w:lang w:eastAsia="zh-CN"/>
              </w:rPr>
              <w:t>项目废水总排放量为</w:t>
            </w:r>
            <w:r>
              <w:rPr>
                <w:rFonts w:hint="eastAsia"/>
                <w:color w:val="auto"/>
                <w:sz w:val="24"/>
                <w:szCs w:val="24"/>
                <w:lang w:val="en-US" w:eastAsia="zh-CN"/>
              </w:rPr>
              <w:t>201351</w:t>
            </w:r>
            <w:r>
              <w:rPr>
                <w:color w:val="auto"/>
                <w:sz w:val="24"/>
                <w:szCs w:val="24"/>
              </w:rPr>
              <w:t>t/a</w:t>
            </w:r>
            <w:r>
              <w:rPr>
                <w:rFonts w:hint="eastAsia"/>
                <w:color w:val="auto"/>
                <w:sz w:val="24"/>
                <w:szCs w:val="24"/>
                <w:lang w:eastAsia="zh-CN"/>
              </w:rPr>
              <w:t>（</w:t>
            </w:r>
            <w:r>
              <w:rPr>
                <w:rFonts w:hint="eastAsia"/>
                <w:color w:val="auto"/>
                <w:sz w:val="24"/>
                <w:szCs w:val="24"/>
                <w:lang w:val="en-US" w:eastAsia="zh-CN"/>
              </w:rPr>
              <w:t>671.17t/d）</w:t>
            </w:r>
            <w:r>
              <w:rPr>
                <w:rFonts w:hint="eastAsia"/>
                <w:color w:val="auto"/>
                <w:sz w:val="24"/>
                <w:szCs w:val="24"/>
                <w:lang w:eastAsia="zh-CN"/>
              </w:rPr>
              <w:t>，</w:t>
            </w:r>
            <w:r>
              <w:rPr>
                <w:rFonts w:hint="eastAsia"/>
                <w:b w:val="0"/>
                <w:bCs/>
                <w:color w:val="auto"/>
                <w:sz w:val="24"/>
                <w:szCs w:val="24"/>
              </w:rPr>
              <w:t>项目生活污水经</w:t>
            </w:r>
            <w:r>
              <w:rPr>
                <w:rFonts w:hint="eastAsia"/>
                <w:b w:val="0"/>
                <w:bCs/>
                <w:color w:val="auto"/>
                <w:sz w:val="24"/>
                <w:szCs w:val="24"/>
                <w:lang w:eastAsia="zh-CN"/>
              </w:rPr>
              <w:t>隔油池、</w:t>
            </w:r>
            <w:r>
              <w:rPr>
                <w:rFonts w:hint="eastAsia"/>
                <w:b w:val="0"/>
                <w:bCs/>
                <w:color w:val="auto"/>
                <w:sz w:val="24"/>
                <w:szCs w:val="24"/>
              </w:rPr>
              <w:t>化粪池</w:t>
            </w:r>
            <w:r>
              <w:rPr>
                <w:rFonts w:hint="eastAsia"/>
                <w:color w:val="auto"/>
                <w:sz w:val="24"/>
                <w:szCs w:val="24"/>
                <w:lang w:eastAsia="zh-CN"/>
              </w:rPr>
              <w:t>预处理，酸性废水和喷淋废水采用液碱在中和罐进行中和至中性后进入调节池，与纯水制备浓水、反冲洗废水、循环冷却排水、生活污水、初期雨水一同排入园区污水管网，</w:t>
            </w:r>
            <w:r>
              <w:rPr>
                <w:snapToGrid w:val="0"/>
                <w:color w:val="auto"/>
                <w:sz w:val="24"/>
              </w:rPr>
              <w:t>固镇经济开发区污水处理厂</w:t>
            </w:r>
            <w:r>
              <w:rPr>
                <w:rFonts w:hint="eastAsia"/>
                <w:snapToGrid w:val="0"/>
                <w:color w:val="auto"/>
                <w:kern w:val="0"/>
                <w:sz w:val="24"/>
              </w:rPr>
              <w:t>处理，经处理达到《城镇污水处理厂污染物排放标准》（G</w:t>
            </w:r>
            <w:r>
              <w:rPr>
                <w:snapToGrid w:val="0"/>
                <w:color w:val="auto"/>
                <w:kern w:val="0"/>
                <w:sz w:val="24"/>
              </w:rPr>
              <w:t>B18918-2002</w:t>
            </w:r>
            <w:r>
              <w:rPr>
                <w:rFonts w:hint="eastAsia"/>
                <w:snapToGrid w:val="0"/>
                <w:color w:val="auto"/>
                <w:kern w:val="0"/>
                <w:sz w:val="24"/>
              </w:rPr>
              <w:t>）中的一级A标准后排入北淝河</w:t>
            </w:r>
            <w:r>
              <w:rPr>
                <w:rFonts w:hint="eastAsia"/>
                <w:snapToGrid w:val="0"/>
                <w:color w:val="auto"/>
                <w:kern w:val="0"/>
                <w:sz w:val="24"/>
                <w:lang w:eastAsia="zh-CN"/>
              </w:rPr>
              <w:t>下段</w:t>
            </w:r>
            <w:r>
              <w:rPr>
                <w:rFonts w:hint="eastAsia"/>
                <w:snapToGrid w:val="0"/>
                <w:color w:val="auto"/>
                <w:kern w:val="0"/>
                <w:sz w:val="24"/>
              </w:rPr>
              <w:t>，对区域内地表水环境影响</w:t>
            </w:r>
            <w:r>
              <w:rPr>
                <w:rFonts w:hint="eastAsia"/>
                <w:snapToGrid w:val="0"/>
                <w:color w:val="auto"/>
                <w:kern w:val="0"/>
                <w:sz w:val="24"/>
                <w:lang w:eastAsia="zh-CN"/>
              </w:rPr>
              <w:t>是可接受的</w:t>
            </w:r>
            <w:r>
              <w:rPr>
                <w:rFonts w:hint="eastAsia"/>
                <w:snapToGrid w:val="0"/>
                <w:color w:val="auto"/>
                <w:kern w:val="0"/>
                <w:sz w:val="24"/>
              </w:rPr>
              <w:t>。</w:t>
            </w:r>
          </w:p>
          <w:p w14:paraId="508A2D7F">
            <w:pPr>
              <w:adjustRightInd w:val="0"/>
              <w:spacing w:line="360" w:lineRule="auto"/>
              <w:jc w:val="left"/>
              <w:rPr>
                <w:rFonts w:hint="eastAsia" w:eastAsia="宋体"/>
                <w:color w:val="auto"/>
                <w:kern w:val="0"/>
                <w:sz w:val="24"/>
                <w:szCs w:val="24"/>
                <w:lang w:eastAsia="zh-CN"/>
              </w:rPr>
            </w:pPr>
            <w:r>
              <w:rPr>
                <w:rFonts w:hint="eastAsia"/>
                <w:b/>
                <w:color w:val="auto"/>
                <w:kern w:val="0"/>
                <w:sz w:val="24"/>
                <w:szCs w:val="24"/>
              </w:rPr>
              <w:t>2.</w:t>
            </w:r>
            <w:r>
              <w:rPr>
                <w:rFonts w:hint="eastAsia"/>
                <w:b/>
                <w:color w:val="auto"/>
                <w:kern w:val="0"/>
                <w:sz w:val="24"/>
                <w:szCs w:val="24"/>
                <w:lang w:val="en-US" w:eastAsia="zh-CN"/>
              </w:rPr>
              <w:t>3</w:t>
            </w:r>
            <w:r>
              <w:rPr>
                <w:rFonts w:hint="eastAsia"/>
                <w:b/>
                <w:color w:val="auto"/>
                <w:kern w:val="0"/>
                <w:sz w:val="24"/>
                <w:szCs w:val="24"/>
              </w:rPr>
              <w:t>废水监测</w:t>
            </w:r>
            <w:r>
              <w:rPr>
                <w:rFonts w:hint="eastAsia"/>
                <w:b/>
                <w:color w:val="auto"/>
                <w:kern w:val="0"/>
                <w:sz w:val="24"/>
                <w:szCs w:val="24"/>
                <w:lang w:eastAsia="zh-CN"/>
              </w:rPr>
              <w:t>计划</w:t>
            </w:r>
          </w:p>
          <w:p w14:paraId="39DF62B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left"/>
              <w:textAlignment w:val="auto"/>
              <w:rPr>
                <w:rFonts w:hint="eastAsia" w:cs="Times New Roman"/>
                <w:color w:val="auto"/>
                <w:sz w:val="24"/>
                <w:szCs w:val="24"/>
                <w:highlight w:val="none"/>
                <w:lang w:val="en-US" w:eastAsia="zh-CN"/>
              </w:rPr>
            </w:pPr>
            <w:r>
              <w:rPr>
                <w:rFonts w:hint="default" w:ascii="Times New Roman" w:hAnsi="Times New Roman" w:eastAsia="宋体" w:cs="Times New Roman"/>
                <w:bCs/>
                <w:color w:val="auto"/>
                <w:sz w:val="24"/>
                <w:szCs w:val="20"/>
                <w:lang w:val="en-US" w:eastAsia="zh-CN"/>
              </w:rPr>
              <w:t>参考《排污单位自</w:t>
            </w:r>
            <w:r>
              <w:rPr>
                <w:rFonts w:hint="default" w:ascii="Times New Roman" w:hAnsi="Times New Roman" w:eastAsia="宋体" w:cs="Times New Roman"/>
                <w:bCs/>
                <w:sz w:val="24"/>
                <w:szCs w:val="20"/>
                <w:lang w:val="en-US" w:eastAsia="zh-CN"/>
              </w:rPr>
              <w:t xml:space="preserve">行监测技术指南 </w:t>
            </w:r>
            <w:r>
              <w:rPr>
                <w:rFonts w:hint="default" w:ascii="Times New Roman" w:hAnsi="Times New Roman" w:eastAsia="宋体" w:cs="Times New Roman"/>
                <w:color w:val="auto"/>
                <w:kern w:val="0"/>
                <w:sz w:val="24"/>
                <w:lang w:val="en-US" w:eastAsia="zh-CN"/>
              </w:rPr>
              <w:t>总则</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HJ 819-2017</w:t>
            </w:r>
            <w:r>
              <w:rPr>
                <w:rFonts w:hint="eastAsia" w:ascii="Times New Roman" w:hAnsi="Times New Roman" w:eastAsia="宋体" w:cs="Times New Roman"/>
                <w:color w:val="auto"/>
                <w:kern w:val="0"/>
                <w:sz w:val="24"/>
                <w:lang w:val="en-US" w:eastAsia="zh-CN"/>
              </w:rPr>
              <w:t>）</w:t>
            </w:r>
            <w:r>
              <w:rPr>
                <w:rFonts w:hint="eastAsia" w:cs="Times New Roman"/>
                <w:bCs/>
                <w:color w:val="auto"/>
                <w:sz w:val="24"/>
                <w:szCs w:val="20"/>
                <w:lang w:val="en-US" w:eastAsia="zh-CN"/>
              </w:rPr>
              <w:t>和</w:t>
            </w:r>
            <w:r>
              <w:rPr>
                <w:rFonts w:hint="default" w:ascii="Times New Roman" w:hAnsi="Times New Roman" w:eastAsia="宋体" w:cs="Times New Roman"/>
                <w:snapToGrid w:val="0"/>
                <w:kern w:val="0"/>
                <w:sz w:val="24"/>
                <w:szCs w:val="24"/>
              </w:rPr>
              <w:t>《</w:t>
            </w:r>
            <w:r>
              <w:rPr>
                <w:rFonts w:hint="default" w:ascii="Times New Roman" w:hAnsi="Times New Roman" w:eastAsia="宋体" w:cs="Times New Roman"/>
                <w:bCs/>
                <w:color w:val="auto"/>
                <w:sz w:val="24"/>
                <w:szCs w:val="20"/>
                <w:lang w:val="en-US" w:eastAsia="zh-CN"/>
              </w:rPr>
              <w:t>排污单位自</w:t>
            </w:r>
            <w:r>
              <w:rPr>
                <w:rFonts w:hint="default" w:ascii="Times New Roman" w:hAnsi="Times New Roman" w:eastAsia="宋体" w:cs="Times New Roman"/>
                <w:bCs/>
                <w:sz w:val="24"/>
                <w:szCs w:val="20"/>
                <w:lang w:val="en-US" w:eastAsia="zh-CN"/>
              </w:rPr>
              <w:t>行监测技术指南</w:t>
            </w:r>
            <w:r>
              <w:rPr>
                <w:rFonts w:hint="default" w:ascii="Times New Roman" w:hAnsi="Times New Roman" w:eastAsia="宋体" w:cs="Times New Roman"/>
                <w:snapToGrid w:val="0"/>
                <w:kern w:val="0"/>
                <w:sz w:val="24"/>
                <w:szCs w:val="24"/>
              </w:rPr>
              <w:t xml:space="preserve"> </w:t>
            </w:r>
            <w:r>
              <w:rPr>
                <w:rFonts w:hint="eastAsia" w:cs="Times New Roman"/>
                <w:snapToGrid w:val="0"/>
                <w:kern w:val="0"/>
                <w:sz w:val="24"/>
                <w:szCs w:val="24"/>
                <w:lang w:eastAsia="zh-CN"/>
              </w:rPr>
              <w:t>电子工业</w:t>
            </w:r>
            <w:r>
              <w:rPr>
                <w:rFonts w:hint="default" w:ascii="Times New Roman" w:hAnsi="Times New Roman" w:eastAsia="宋体" w:cs="Times New Roman"/>
                <w:snapToGrid w:val="0"/>
                <w:kern w:val="0"/>
                <w:sz w:val="24"/>
                <w:szCs w:val="24"/>
              </w:rPr>
              <w:t>》（HJ1</w:t>
            </w:r>
            <w:r>
              <w:rPr>
                <w:rFonts w:hint="eastAsia" w:cs="Times New Roman"/>
                <w:snapToGrid w:val="0"/>
                <w:kern w:val="0"/>
                <w:sz w:val="24"/>
                <w:szCs w:val="24"/>
                <w:lang w:val="en-US" w:eastAsia="zh-CN"/>
              </w:rPr>
              <w:t>253</w:t>
            </w:r>
            <w:r>
              <w:rPr>
                <w:rFonts w:hint="default" w:ascii="Times New Roman" w:hAnsi="Times New Roman" w:eastAsia="宋体" w:cs="Times New Roman"/>
                <w:snapToGrid w:val="0"/>
                <w:kern w:val="0"/>
                <w:sz w:val="24"/>
                <w:szCs w:val="24"/>
              </w:rPr>
              <w:t>—202</w:t>
            </w:r>
            <w:r>
              <w:rPr>
                <w:rFonts w:hint="eastAsia" w:cs="Times New Roman"/>
                <w:snapToGrid w:val="0"/>
                <w:kern w:val="0"/>
                <w:sz w:val="24"/>
                <w:szCs w:val="24"/>
                <w:lang w:val="en-US" w:eastAsia="zh-CN"/>
              </w:rPr>
              <w:t>2</w:t>
            </w:r>
            <w:r>
              <w:rPr>
                <w:rFonts w:hint="default" w:ascii="Times New Roman" w:hAnsi="Times New Roman" w:eastAsia="宋体" w:cs="Times New Roman"/>
                <w:snapToGrid w:val="0"/>
                <w:kern w:val="0"/>
                <w:sz w:val="24"/>
                <w:szCs w:val="24"/>
              </w:rPr>
              <w:t>）</w:t>
            </w:r>
            <w:r>
              <w:rPr>
                <w:rFonts w:hint="eastAsia" w:ascii="Times New Roman" w:hAnsi="Times New Roman" w:eastAsia="宋体" w:cs="Times New Roman"/>
                <w:bCs/>
                <w:color w:val="auto"/>
                <w:sz w:val="24"/>
                <w:szCs w:val="20"/>
                <w:lang w:val="en-US" w:eastAsia="zh-CN"/>
              </w:rPr>
              <w:t>，</w:t>
            </w:r>
            <w:r>
              <w:rPr>
                <w:rFonts w:hint="default" w:ascii="Times New Roman" w:hAnsi="Times New Roman" w:eastAsia="宋体" w:cs="Times New Roman"/>
                <w:color w:val="auto"/>
                <w:kern w:val="0"/>
                <w:sz w:val="24"/>
              </w:rPr>
              <w:t>项</w:t>
            </w:r>
            <w:r>
              <w:rPr>
                <w:rFonts w:hint="eastAsia"/>
                <w:color w:val="auto"/>
                <w:kern w:val="0"/>
                <w:sz w:val="24"/>
              </w:rPr>
              <w:t>目</w:t>
            </w:r>
            <w:r>
              <w:rPr>
                <w:rFonts w:hint="eastAsia"/>
                <w:color w:val="auto"/>
                <w:kern w:val="0"/>
                <w:sz w:val="24"/>
                <w:lang w:eastAsia="zh-CN"/>
              </w:rPr>
              <w:t>废水</w:t>
            </w:r>
            <w:r>
              <w:rPr>
                <w:rFonts w:hint="eastAsia"/>
                <w:color w:val="auto"/>
                <w:kern w:val="0"/>
                <w:sz w:val="24"/>
              </w:rPr>
              <w:t>监测情况见下表。</w:t>
            </w:r>
          </w:p>
          <w:p w14:paraId="5F1F5640">
            <w:pPr>
              <w:spacing w:line="240" w:lineRule="auto"/>
              <w:ind w:right="42" w:rightChars="2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 4-</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eastAsia"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地表水环境监测计划及记录信息</w:t>
            </w:r>
          </w:p>
          <w:tbl>
            <w:tblPr>
              <w:tblStyle w:val="26"/>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1155"/>
              <w:gridCol w:w="1755"/>
              <w:gridCol w:w="1443"/>
              <w:gridCol w:w="3475"/>
            </w:tblGrid>
            <w:tr w14:paraId="6607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9" w:type="dxa"/>
                  <w:vAlign w:val="center"/>
                </w:tcPr>
                <w:p w14:paraId="3AAE9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监测项目</w:t>
                  </w:r>
                </w:p>
              </w:tc>
              <w:tc>
                <w:tcPr>
                  <w:tcW w:w="1155" w:type="dxa"/>
                  <w:vAlign w:val="center"/>
                </w:tcPr>
                <w:p w14:paraId="270D3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监测点位</w:t>
                  </w:r>
                </w:p>
              </w:tc>
              <w:tc>
                <w:tcPr>
                  <w:tcW w:w="1755" w:type="dxa"/>
                  <w:vAlign w:val="center"/>
                </w:tcPr>
                <w:p w14:paraId="251EE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监测指标</w:t>
                  </w:r>
                </w:p>
              </w:tc>
              <w:tc>
                <w:tcPr>
                  <w:tcW w:w="1443" w:type="dxa"/>
                  <w:vAlign w:val="center"/>
                </w:tcPr>
                <w:p w14:paraId="7D52E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监测频次</w:t>
                  </w:r>
                </w:p>
              </w:tc>
              <w:tc>
                <w:tcPr>
                  <w:tcW w:w="3475" w:type="dxa"/>
                  <w:vAlign w:val="center"/>
                </w:tcPr>
                <w:p w14:paraId="500CD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执行标准</w:t>
                  </w:r>
                </w:p>
              </w:tc>
            </w:tr>
            <w:tr w14:paraId="6AEE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9" w:type="dxa"/>
                  <w:vAlign w:val="center"/>
                </w:tcPr>
                <w:p w14:paraId="5F739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废水</w:t>
                  </w:r>
                </w:p>
              </w:tc>
              <w:tc>
                <w:tcPr>
                  <w:tcW w:w="1155" w:type="dxa"/>
                  <w:vAlign w:val="center"/>
                </w:tcPr>
                <w:p w14:paraId="5455E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企业废水总排放口</w:t>
                  </w:r>
                </w:p>
              </w:tc>
              <w:tc>
                <w:tcPr>
                  <w:tcW w:w="1755" w:type="dxa"/>
                  <w:vAlign w:val="center"/>
                </w:tcPr>
                <w:p w14:paraId="446A72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000000" w:themeColor="text1"/>
                      <w:sz w:val="21"/>
                      <w:szCs w:val="21"/>
                      <w:highlight w:val="none"/>
                      <w:lang w:eastAsia="zh-CN"/>
                      <w14:textFill>
                        <w14:solidFill>
                          <w14:schemeClr w14:val="tx1"/>
                        </w14:solidFill>
                      </w14:textFill>
                    </w:rPr>
                  </w:pPr>
                  <w:r>
                    <w:rPr>
                      <w:bCs/>
                      <w:szCs w:val="21"/>
                    </w:rPr>
                    <w:t>pH值、</w:t>
                  </w:r>
                  <w:r>
                    <w:rPr>
                      <w:rFonts w:hint="eastAsia"/>
                      <w:color w:val="000000" w:themeColor="text1"/>
                      <w:sz w:val="21"/>
                      <w:szCs w:val="21"/>
                      <w:highlight w:val="none"/>
                      <w14:textFill>
                        <w14:solidFill>
                          <w14:schemeClr w14:val="tx1"/>
                        </w14:solidFill>
                      </w14:textFill>
                    </w:rPr>
                    <w:t>COD、</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w:t>
                  </w:r>
                  <w:r>
                    <w:rPr>
                      <w:rFonts w:hint="eastAsia"/>
                      <w:color w:val="000000" w:themeColor="text1"/>
                      <w:sz w:val="21"/>
                      <w:szCs w:val="21"/>
                      <w:highlight w:val="none"/>
                      <w14:textFill>
                        <w14:solidFill>
                          <w14:schemeClr w14:val="tx1"/>
                        </w14:solidFill>
                      </w14:textFill>
                    </w:rPr>
                    <w:t>SS、</w:t>
                  </w:r>
                  <w:r>
                    <w:rPr>
                      <w:kern w:val="0"/>
                      <w:szCs w:val="21"/>
                    </w:rPr>
                    <w:t>NH</w:t>
                  </w:r>
                  <w:r>
                    <w:rPr>
                      <w:kern w:val="0"/>
                      <w:szCs w:val="21"/>
                      <w:vertAlign w:val="subscript"/>
                    </w:rPr>
                    <w:t>3</w:t>
                  </w:r>
                  <w:r>
                    <w:rPr>
                      <w:kern w:val="0"/>
                      <w:szCs w:val="21"/>
                    </w:rPr>
                    <w:t>-N</w:t>
                  </w:r>
                  <w:r>
                    <w:rPr>
                      <w:rFonts w:hint="eastAsia"/>
                      <w:kern w:val="0"/>
                      <w:szCs w:val="21"/>
                      <w:lang w:eastAsia="zh-CN"/>
                    </w:rPr>
                    <w:t>、动植物油、总磷</w:t>
                  </w:r>
                </w:p>
              </w:tc>
              <w:tc>
                <w:tcPr>
                  <w:tcW w:w="1443" w:type="dxa"/>
                  <w:vAlign w:val="center"/>
                </w:tcPr>
                <w:p w14:paraId="58BA84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安装在线监测设施开展自动监测</w:t>
                  </w:r>
                </w:p>
              </w:tc>
              <w:tc>
                <w:tcPr>
                  <w:tcW w:w="3475" w:type="dxa"/>
                  <w:vAlign w:val="center"/>
                </w:tcPr>
                <w:p w14:paraId="49BC07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auto"/>
                      <w:kern w:val="0"/>
                      <w:sz w:val="21"/>
                      <w:szCs w:val="21"/>
                    </w:rPr>
                    <w:t>《</w:t>
                  </w:r>
                  <w:r>
                    <w:rPr>
                      <w:rFonts w:hint="eastAsia" w:cs="Times New Roman"/>
                      <w:color w:val="auto"/>
                      <w:sz w:val="21"/>
                      <w:szCs w:val="21"/>
                      <w:lang w:eastAsia="zh-CN"/>
                    </w:rPr>
                    <w:t>电子工业水污染物</w:t>
                  </w:r>
                  <w:r>
                    <w:rPr>
                      <w:rFonts w:ascii="Times New Roman" w:hAnsi="Times New Roman" w:eastAsia="宋体" w:cs="Times New Roman"/>
                      <w:color w:val="auto"/>
                      <w:sz w:val="21"/>
                      <w:szCs w:val="21"/>
                    </w:rPr>
                    <w:t>排放标准》（GB</w:t>
                  </w:r>
                  <w:r>
                    <w:rPr>
                      <w:rFonts w:hint="eastAsia" w:cs="Times New Roman"/>
                      <w:color w:val="auto"/>
                      <w:sz w:val="21"/>
                      <w:szCs w:val="21"/>
                      <w:lang w:val="en-US" w:eastAsia="zh-CN"/>
                    </w:rPr>
                    <w:t>39731</w:t>
                  </w:r>
                  <w:r>
                    <w:rPr>
                      <w:rFonts w:ascii="Times New Roman" w:hAnsi="Times New Roman" w:eastAsia="宋体" w:cs="Times New Roman"/>
                      <w:color w:val="auto"/>
                      <w:sz w:val="21"/>
                      <w:szCs w:val="21"/>
                    </w:rPr>
                    <w:t>-</w:t>
                  </w:r>
                  <w:r>
                    <w:rPr>
                      <w:rFonts w:hint="eastAsia" w:cs="Times New Roman"/>
                      <w:color w:val="auto"/>
                      <w:sz w:val="21"/>
                      <w:szCs w:val="21"/>
                      <w:lang w:val="en-US" w:eastAsia="zh-CN"/>
                    </w:rPr>
                    <w:t>2020</w:t>
                  </w:r>
                  <w:r>
                    <w:rPr>
                      <w:rFonts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rPr>
                    <w:t>以及</w:t>
                  </w:r>
                  <w:r>
                    <w:rPr>
                      <w:rFonts w:hint="eastAsia" w:cs="Times New Roman"/>
                      <w:snapToGrid w:val="0"/>
                      <w:color w:val="auto"/>
                      <w:kern w:val="0"/>
                      <w:sz w:val="21"/>
                      <w:szCs w:val="21"/>
                      <w:lang w:eastAsia="zh-CN"/>
                    </w:rPr>
                    <w:t>固镇经济开发区北区</w:t>
                  </w:r>
                  <w:r>
                    <w:rPr>
                      <w:rFonts w:hint="default" w:ascii="Times New Roman" w:hAnsi="Times New Roman" w:eastAsia="宋体" w:cs="Times New Roman"/>
                      <w:snapToGrid w:val="0"/>
                      <w:color w:val="auto"/>
                      <w:kern w:val="0"/>
                      <w:sz w:val="21"/>
                      <w:szCs w:val="21"/>
                    </w:rPr>
                    <w:t>污水处理厂</w:t>
                  </w:r>
                  <w:r>
                    <w:rPr>
                      <w:rFonts w:hint="default" w:ascii="Times New Roman" w:hAnsi="Times New Roman" w:eastAsia="宋体" w:cs="Times New Roman"/>
                      <w:color w:val="auto"/>
                      <w:sz w:val="21"/>
                      <w:szCs w:val="21"/>
                      <w:highlight w:val="none"/>
                      <w:lang w:eastAsia="zh-CN"/>
                    </w:rPr>
                    <w:t>接管标准</w:t>
                  </w:r>
                </w:p>
              </w:tc>
            </w:tr>
          </w:tbl>
          <w:p w14:paraId="6FD493E1">
            <w:pPr>
              <w:adjustRightInd w:val="0"/>
              <w:snapToGrid w:val="0"/>
              <w:spacing w:line="240" w:lineRule="auto"/>
              <w:jc w:val="left"/>
              <w:rPr>
                <w:rFonts w:hAnsi="宋体"/>
                <w:b/>
                <w:color w:val="auto"/>
                <w:kern w:val="0"/>
                <w:sz w:val="24"/>
                <w:szCs w:val="24"/>
              </w:rPr>
            </w:pPr>
            <w:r>
              <w:rPr>
                <w:rFonts w:hint="eastAsia" w:hAnsi="宋体"/>
                <w:b/>
                <w:color w:val="auto"/>
                <w:kern w:val="0"/>
                <w:sz w:val="24"/>
                <w:szCs w:val="24"/>
              </w:rPr>
              <w:t>3、噪声</w:t>
            </w:r>
          </w:p>
          <w:p w14:paraId="0007EEBD">
            <w:pPr>
              <w:tabs>
                <w:tab w:val="left" w:pos="900"/>
              </w:tabs>
              <w:spacing w:line="360" w:lineRule="auto"/>
              <w:jc w:val="left"/>
              <w:rPr>
                <w:b/>
                <w:sz w:val="24"/>
                <w:szCs w:val="24"/>
              </w:rPr>
            </w:pPr>
            <w:r>
              <w:rPr>
                <w:rFonts w:hint="eastAsia"/>
                <w:b/>
                <w:color w:val="auto"/>
                <w:sz w:val="24"/>
                <w:szCs w:val="24"/>
              </w:rPr>
              <w:t>3.1噪声源强及降噪</w:t>
            </w:r>
            <w:r>
              <w:rPr>
                <w:rFonts w:hint="eastAsia"/>
                <w:b/>
                <w:sz w:val="24"/>
                <w:szCs w:val="24"/>
              </w:rPr>
              <w:t>措施</w:t>
            </w:r>
          </w:p>
          <w:p w14:paraId="098E97A4">
            <w:pPr>
              <w:adjustRightInd w:val="0"/>
              <w:snapToGrid w:val="0"/>
              <w:spacing w:line="360" w:lineRule="auto"/>
              <w:ind w:firstLine="480" w:firstLineChars="200"/>
              <w:rPr>
                <w:rFonts w:hint="default" w:ascii="Times New Roman" w:hAnsi="Times New Roman" w:eastAsia="宋体" w:cs="Times New Roman"/>
                <w:b/>
                <w:smallCaps/>
                <w:color w:val="auto"/>
                <w:sz w:val="24"/>
                <w:lang w:eastAsia="zh-CN"/>
              </w:rPr>
            </w:pPr>
            <w:r>
              <w:rPr>
                <w:rFonts w:hint="default" w:ascii="Times New Roman" w:hAnsi="Times New Roman" w:eastAsia="宋体" w:cs="Times New Roman"/>
                <w:color w:val="auto"/>
                <w:sz w:val="24"/>
                <w:lang w:eastAsia="zh-CN"/>
              </w:rPr>
              <w:t>本项目噪声</w:t>
            </w:r>
            <w:r>
              <w:rPr>
                <w:sz w:val="24"/>
              </w:rPr>
              <w:t>主要</w:t>
            </w:r>
            <w:r>
              <w:rPr>
                <w:rFonts w:hint="eastAsia"/>
                <w:sz w:val="24"/>
              </w:rPr>
              <w:t>来自</w:t>
            </w:r>
            <w:r>
              <w:rPr>
                <w:sz w:val="24"/>
              </w:rPr>
              <w:t>设备运行过程中产生的噪声，因此必须</w:t>
            </w:r>
            <w:r>
              <w:rPr>
                <w:rFonts w:hint="default" w:ascii="Times New Roman" w:hAnsi="Times New Roman" w:eastAsia="宋体" w:cs="Times New Roman"/>
                <w:color w:val="auto"/>
                <w:sz w:val="24"/>
              </w:rPr>
              <w:t>厂房布局、隔声、减振、降噪、设备维护等方面考虑噪声防治措施。具体噪声源见下表</w:t>
            </w:r>
            <w:r>
              <w:rPr>
                <w:rFonts w:hint="default" w:ascii="Times New Roman" w:hAnsi="Times New Roman" w:eastAsia="宋体" w:cs="Times New Roman"/>
                <w:color w:val="auto"/>
                <w:sz w:val="24"/>
                <w:lang w:eastAsia="zh-CN"/>
              </w:rPr>
              <w:t>：</w:t>
            </w:r>
          </w:p>
          <w:p w14:paraId="5D17D2CD">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b/>
                <w:smallCaps/>
                <w:color w:val="auto"/>
                <w:sz w:val="21"/>
                <w:szCs w:val="21"/>
              </w:rPr>
              <w:t>表</w:t>
            </w:r>
            <w:r>
              <w:rPr>
                <w:rFonts w:hint="default" w:ascii="Times New Roman" w:hAnsi="Times New Roman" w:eastAsia="宋体" w:cs="Times New Roman"/>
                <w:b/>
                <w:bCs/>
                <w:color w:val="auto"/>
                <w:sz w:val="21"/>
                <w:szCs w:val="21"/>
              </w:rPr>
              <w:t>4-</w:t>
            </w:r>
            <w:r>
              <w:rPr>
                <w:rFonts w:hint="eastAsia" w:cs="Times New Roman"/>
                <w:b/>
                <w:bCs/>
                <w:color w:val="auto"/>
                <w:sz w:val="21"/>
                <w:szCs w:val="21"/>
                <w:lang w:val="en-US" w:eastAsia="zh-CN"/>
              </w:rPr>
              <w:t xml:space="preserve">12 </w:t>
            </w:r>
            <w:r>
              <w:rPr>
                <w:rFonts w:hint="default" w:ascii="Times New Roman" w:hAnsi="Times New Roman" w:eastAsia="宋体" w:cs="Times New Roman"/>
                <w:b/>
                <w:smallCaps/>
                <w:color w:val="auto"/>
                <w:sz w:val="21"/>
                <w:szCs w:val="21"/>
              </w:rPr>
              <w:t xml:space="preserve"> </w:t>
            </w:r>
            <w:r>
              <w:rPr>
                <w:rFonts w:hint="default" w:ascii="Times New Roman" w:hAnsi="Times New Roman" w:eastAsia="宋体" w:cs="Times New Roman"/>
                <w:b/>
                <w:smallCaps/>
                <w:color w:val="auto"/>
                <w:sz w:val="21"/>
                <w:szCs w:val="21"/>
                <w:lang w:eastAsia="zh-CN"/>
              </w:rPr>
              <w:t>项</w:t>
            </w:r>
            <w:r>
              <w:rPr>
                <w:rFonts w:hint="default" w:ascii="Times New Roman" w:hAnsi="Times New Roman" w:eastAsia="宋体" w:cs="Times New Roman"/>
                <w:b/>
                <w:smallCaps/>
                <w:color w:val="auto"/>
                <w:sz w:val="21"/>
                <w:szCs w:val="21"/>
              </w:rPr>
              <w:t>目噪声源的平均声压级</w:t>
            </w:r>
          </w:p>
          <w:tbl>
            <w:tblPr>
              <w:tblStyle w:val="25"/>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316"/>
              <w:gridCol w:w="1264"/>
              <w:gridCol w:w="1200"/>
              <w:gridCol w:w="1365"/>
              <w:gridCol w:w="1215"/>
              <w:gridCol w:w="902"/>
            </w:tblGrid>
            <w:tr w14:paraId="66BA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60C26AA3">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序号</w:t>
                  </w:r>
                </w:p>
              </w:tc>
              <w:tc>
                <w:tcPr>
                  <w:tcW w:w="2316" w:type="dxa"/>
                  <w:noWrap w:val="0"/>
                  <w:vAlign w:val="center"/>
                </w:tcPr>
                <w:p w14:paraId="0A411107">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设备名称</w:t>
                  </w:r>
                </w:p>
              </w:tc>
              <w:tc>
                <w:tcPr>
                  <w:tcW w:w="1264" w:type="dxa"/>
                  <w:noWrap w:val="0"/>
                  <w:vAlign w:val="center"/>
                </w:tcPr>
                <w:p w14:paraId="1FB8976C">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数量</w:t>
                  </w:r>
                  <w:r>
                    <w:rPr>
                      <w:rFonts w:hint="eastAsia" w:cs="Times New Roman"/>
                      <w:b w:val="0"/>
                      <w:bCs/>
                      <w:snapToGrid w:val="0"/>
                      <w:color w:val="auto"/>
                      <w:kern w:val="0"/>
                      <w:sz w:val="21"/>
                      <w:szCs w:val="21"/>
                      <w:highlight w:val="none"/>
                      <w:lang w:val="en-US" w:eastAsia="zh-CN"/>
                    </w:rPr>
                    <w:t>（台/套）</w:t>
                  </w:r>
                </w:p>
              </w:tc>
              <w:tc>
                <w:tcPr>
                  <w:tcW w:w="1200" w:type="dxa"/>
                  <w:noWrap w:val="0"/>
                  <w:vAlign w:val="center"/>
                </w:tcPr>
                <w:p w14:paraId="69E1932C">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噪声声压级dB（A）</w:t>
                  </w:r>
                </w:p>
              </w:tc>
              <w:tc>
                <w:tcPr>
                  <w:tcW w:w="1365" w:type="dxa"/>
                  <w:noWrap w:val="0"/>
                  <w:vAlign w:val="center"/>
                </w:tcPr>
                <w:p w14:paraId="5CADB9BA">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噪声防治措施</w:t>
                  </w:r>
                </w:p>
              </w:tc>
              <w:tc>
                <w:tcPr>
                  <w:tcW w:w="1215" w:type="dxa"/>
                  <w:noWrap w:val="0"/>
                  <w:vAlign w:val="center"/>
                </w:tcPr>
                <w:p w14:paraId="2B492F6E">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排放强度</w:t>
                  </w:r>
                </w:p>
                <w:p w14:paraId="3D7478B1">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dB（A）</w:t>
                  </w:r>
                </w:p>
              </w:tc>
              <w:tc>
                <w:tcPr>
                  <w:tcW w:w="902" w:type="dxa"/>
                  <w:noWrap w:val="0"/>
                  <w:vAlign w:val="center"/>
                </w:tcPr>
                <w:p w14:paraId="720FE75A">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持续时间h/a</w:t>
                  </w:r>
                </w:p>
              </w:tc>
            </w:tr>
            <w:tr w14:paraId="78FC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8C76C78">
                  <w:pPr>
                    <w:spacing w:line="240" w:lineRule="auto"/>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b w:val="0"/>
                      <w:bCs/>
                      <w:sz w:val="21"/>
                      <w:szCs w:val="21"/>
                      <w:highlight w:val="none"/>
                    </w:rPr>
                    <w:t>1</w:t>
                  </w:r>
                </w:p>
              </w:tc>
              <w:tc>
                <w:tcPr>
                  <w:tcW w:w="2316" w:type="dxa"/>
                  <w:noWrap w:val="0"/>
                  <w:vAlign w:val="center"/>
                </w:tcPr>
                <w:p w14:paraId="3A533B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宋体"/>
                      <w:b w:val="0"/>
                      <w:bCs/>
                      <w:color w:val="auto"/>
                      <w:sz w:val="21"/>
                      <w:szCs w:val="21"/>
                      <w:highlight w:val="none"/>
                      <w:vertAlign w:val="baseline"/>
                      <w:lang w:val="en-US" w:eastAsia="zh-CN"/>
                    </w:rPr>
                    <w:t>除磁机</w:t>
                  </w:r>
                </w:p>
              </w:tc>
              <w:tc>
                <w:tcPr>
                  <w:tcW w:w="1264" w:type="dxa"/>
                  <w:noWrap w:val="0"/>
                  <w:vAlign w:val="center"/>
                </w:tcPr>
                <w:p w14:paraId="57F488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宋体"/>
                      <w:b w:val="0"/>
                      <w:bCs/>
                      <w:color w:val="auto"/>
                      <w:sz w:val="21"/>
                      <w:szCs w:val="21"/>
                      <w:highlight w:val="none"/>
                      <w:vertAlign w:val="baseline"/>
                      <w:lang w:val="en-US" w:eastAsia="zh-CN"/>
                    </w:rPr>
                    <w:t>30</w:t>
                  </w:r>
                </w:p>
              </w:tc>
              <w:tc>
                <w:tcPr>
                  <w:tcW w:w="1200" w:type="dxa"/>
                  <w:noWrap w:val="0"/>
                  <w:vAlign w:val="center"/>
                </w:tcPr>
                <w:p w14:paraId="59BE134D">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80</w:t>
                  </w:r>
                </w:p>
              </w:tc>
              <w:tc>
                <w:tcPr>
                  <w:tcW w:w="1365" w:type="dxa"/>
                  <w:vMerge w:val="restart"/>
                  <w:noWrap w:val="0"/>
                  <w:vAlign w:val="center"/>
                </w:tcPr>
                <w:p w14:paraId="71F6DD2D">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b w:val="0"/>
                      <w:bCs/>
                      <w:color w:val="auto"/>
                      <w:sz w:val="21"/>
                      <w:szCs w:val="21"/>
                    </w:rPr>
                    <w:t>厂房内生产设备选用低噪声设备，加装基础减振垫，厂房隔声</w:t>
                  </w:r>
                </w:p>
              </w:tc>
              <w:tc>
                <w:tcPr>
                  <w:tcW w:w="1215" w:type="dxa"/>
                  <w:noWrap w:val="0"/>
                  <w:vAlign w:val="center"/>
                </w:tcPr>
                <w:p w14:paraId="20961B7C">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5166C533">
                  <w:pPr>
                    <w:adjustRightInd w:val="0"/>
                    <w:snapToGrid w:val="0"/>
                    <w:jc w:val="center"/>
                    <w:rPr>
                      <w:rFonts w:hint="default"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2826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680DB76D">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2</w:t>
                  </w:r>
                </w:p>
              </w:tc>
              <w:tc>
                <w:tcPr>
                  <w:tcW w:w="2316" w:type="dxa"/>
                  <w:noWrap w:val="0"/>
                  <w:vAlign w:val="center"/>
                </w:tcPr>
                <w:p w14:paraId="4EDEA6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活化系统</w:t>
                  </w:r>
                </w:p>
              </w:tc>
              <w:tc>
                <w:tcPr>
                  <w:tcW w:w="1264" w:type="dxa"/>
                  <w:noWrap w:val="0"/>
                  <w:vAlign w:val="center"/>
                </w:tcPr>
                <w:p w14:paraId="26E5F6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15</w:t>
                  </w:r>
                </w:p>
              </w:tc>
              <w:tc>
                <w:tcPr>
                  <w:tcW w:w="1200" w:type="dxa"/>
                  <w:noWrap w:val="0"/>
                  <w:vAlign w:val="center"/>
                </w:tcPr>
                <w:p w14:paraId="05C74E3D">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3C6B3987">
                  <w:pPr>
                    <w:adjustRightInd w:val="0"/>
                    <w:snapToGrid w:val="0"/>
                    <w:jc w:val="center"/>
                    <w:rPr>
                      <w:rFonts w:hint="eastAsia"/>
                      <w:b w:val="0"/>
                      <w:bCs/>
                      <w:color w:val="auto"/>
                      <w:sz w:val="21"/>
                      <w:szCs w:val="21"/>
                    </w:rPr>
                  </w:pPr>
                </w:p>
              </w:tc>
              <w:tc>
                <w:tcPr>
                  <w:tcW w:w="1215" w:type="dxa"/>
                  <w:noWrap w:val="0"/>
                  <w:vAlign w:val="center"/>
                </w:tcPr>
                <w:p w14:paraId="03EB4067">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486B1CB1">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4BEA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5D7C36AE">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3</w:t>
                  </w:r>
                </w:p>
              </w:tc>
              <w:tc>
                <w:tcPr>
                  <w:tcW w:w="2316" w:type="dxa"/>
                  <w:noWrap w:val="0"/>
                  <w:vAlign w:val="center"/>
                </w:tcPr>
                <w:p w14:paraId="77185F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酸洗系统</w:t>
                  </w:r>
                </w:p>
              </w:tc>
              <w:tc>
                <w:tcPr>
                  <w:tcW w:w="1264" w:type="dxa"/>
                  <w:noWrap w:val="0"/>
                  <w:vAlign w:val="center"/>
                </w:tcPr>
                <w:p w14:paraId="589480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5</w:t>
                  </w:r>
                </w:p>
              </w:tc>
              <w:tc>
                <w:tcPr>
                  <w:tcW w:w="1200" w:type="dxa"/>
                  <w:noWrap w:val="0"/>
                  <w:vAlign w:val="center"/>
                </w:tcPr>
                <w:p w14:paraId="57E02117">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257C76AD">
                  <w:pPr>
                    <w:adjustRightInd w:val="0"/>
                    <w:snapToGrid w:val="0"/>
                    <w:jc w:val="center"/>
                    <w:rPr>
                      <w:rFonts w:hint="eastAsia"/>
                      <w:b w:val="0"/>
                      <w:bCs/>
                      <w:color w:val="auto"/>
                      <w:sz w:val="21"/>
                      <w:szCs w:val="21"/>
                    </w:rPr>
                  </w:pPr>
                </w:p>
              </w:tc>
              <w:tc>
                <w:tcPr>
                  <w:tcW w:w="1215" w:type="dxa"/>
                  <w:noWrap w:val="0"/>
                  <w:vAlign w:val="center"/>
                </w:tcPr>
                <w:p w14:paraId="246425F4">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14774EB4">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66A7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1A4769AE">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4</w:t>
                  </w:r>
                </w:p>
              </w:tc>
              <w:tc>
                <w:tcPr>
                  <w:tcW w:w="2316" w:type="dxa"/>
                  <w:noWrap w:val="0"/>
                  <w:vAlign w:val="center"/>
                </w:tcPr>
                <w:p w14:paraId="67B0E3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离心机</w:t>
                  </w:r>
                </w:p>
              </w:tc>
              <w:tc>
                <w:tcPr>
                  <w:tcW w:w="1264" w:type="dxa"/>
                  <w:noWrap w:val="0"/>
                  <w:vAlign w:val="center"/>
                </w:tcPr>
                <w:p w14:paraId="37E7DD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ascii="Times New Roman" w:hAnsi="Times New Roman" w:eastAsia="宋体" w:cs="宋体"/>
                      <w:b w:val="0"/>
                      <w:bCs/>
                      <w:color w:val="auto"/>
                      <w:sz w:val="21"/>
                      <w:szCs w:val="21"/>
                      <w:highlight w:val="none"/>
                      <w:vertAlign w:val="baseline"/>
                      <w:lang w:val="en-US" w:eastAsia="zh-CN"/>
                    </w:rPr>
                    <w:t>1</w:t>
                  </w:r>
                  <w:r>
                    <w:rPr>
                      <w:rFonts w:hint="eastAsia" w:cs="宋体"/>
                      <w:b w:val="0"/>
                      <w:bCs/>
                      <w:color w:val="auto"/>
                      <w:sz w:val="21"/>
                      <w:szCs w:val="21"/>
                      <w:highlight w:val="none"/>
                      <w:vertAlign w:val="baseline"/>
                      <w:lang w:val="en-US" w:eastAsia="zh-CN"/>
                    </w:rPr>
                    <w:t>5</w:t>
                  </w:r>
                </w:p>
              </w:tc>
              <w:tc>
                <w:tcPr>
                  <w:tcW w:w="1200" w:type="dxa"/>
                  <w:noWrap w:val="0"/>
                  <w:vAlign w:val="center"/>
                </w:tcPr>
                <w:p w14:paraId="10973E8B">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80</w:t>
                  </w:r>
                </w:p>
              </w:tc>
              <w:tc>
                <w:tcPr>
                  <w:tcW w:w="1365" w:type="dxa"/>
                  <w:vMerge w:val="continue"/>
                  <w:noWrap w:val="0"/>
                  <w:vAlign w:val="center"/>
                </w:tcPr>
                <w:p w14:paraId="61E50263">
                  <w:pPr>
                    <w:adjustRightInd w:val="0"/>
                    <w:snapToGrid w:val="0"/>
                    <w:jc w:val="center"/>
                    <w:rPr>
                      <w:rFonts w:hint="eastAsia"/>
                      <w:b w:val="0"/>
                      <w:bCs/>
                      <w:color w:val="auto"/>
                      <w:sz w:val="21"/>
                      <w:szCs w:val="21"/>
                    </w:rPr>
                  </w:pPr>
                </w:p>
              </w:tc>
              <w:tc>
                <w:tcPr>
                  <w:tcW w:w="1215" w:type="dxa"/>
                  <w:noWrap w:val="0"/>
                  <w:vAlign w:val="center"/>
                </w:tcPr>
                <w:p w14:paraId="5B5F242E">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01423985">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05F0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040616A">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5</w:t>
                  </w:r>
                </w:p>
              </w:tc>
              <w:tc>
                <w:tcPr>
                  <w:tcW w:w="2316" w:type="dxa"/>
                  <w:noWrap w:val="0"/>
                  <w:vAlign w:val="center"/>
                </w:tcPr>
                <w:p w14:paraId="67A6ED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干燥回转炉</w:t>
                  </w:r>
                </w:p>
              </w:tc>
              <w:tc>
                <w:tcPr>
                  <w:tcW w:w="1264" w:type="dxa"/>
                  <w:noWrap w:val="0"/>
                  <w:vAlign w:val="center"/>
                </w:tcPr>
                <w:p w14:paraId="32D10D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5</w:t>
                  </w:r>
                </w:p>
              </w:tc>
              <w:tc>
                <w:tcPr>
                  <w:tcW w:w="1200" w:type="dxa"/>
                  <w:noWrap w:val="0"/>
                  <w:vAlign w:val="center"/>
                </w:tcPr>
                <w:p w14:paraId="24A9A42E">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80</w:t>
                  </w:r>
                </w:p>
              </w:tc>
              <w:tc>
                <w:tcPr>
                  <w:tcW w:w="1365" w:type="dxa"/>
                  <w:vMerge w:val="continue"/>
                  <w:noWrap w:val="0"/>
                  <w:vAlign w:val="center"/>
                </w:tcPr>
                <w:p w14:paraId="2DE3BF6C">
                  <w:pPr>
                    <w:adjustRightInd w:val="0"/>
                    <w:snapToGrid w:val="0"/>
                    <w:jc w:val="center"/>
                    <w:rPr>
                      <w:rFonts w:hint="eastAsia"/>
                      <w:b w:val="0"/>
                      <w:bCs/>
                      <w:color w:val="auto"/>
                      <w:sz w:val="21"/>
                      <w:szCs w:val="21"/>
                    </w:rPr>
                  </w:pPr>
                </w:p>
              </w:tc>
              <w:tc>
                <w:tcPr>
                  <w:tcW w:w="1215" w:type="dxa"/>
                  <w:noWrap w:val="0"/>
                  <w:vAlign w:val="center"/>
                </w:tcPr>
                <w:p w14:paraId="24F92860">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4F55DCD7">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6DDA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558D822C">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6</w:t>
                  </w:r>
                </w:p>
              </w:tc>
              <w:tc>
                <w:tcPr>
                  <w:tcW w:w="2316" w:type="dxa"/>
                  <w:noWrap w:val="0"/>
                  <w:vAlign w:val="center"/>
                </w:tcPr>
                <w:p w14:paraId="614994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辊道炉</w:t>
                  </w:r>
                </w:p>
              </w:tc>
              <w:tc>
                <w:tcPr>
                  <w:tcW w:w="1264" w:type="dxa"/>
                  <w:noWrap w:val="0"/>
                  <w:vAlign w:val="center"/>
                </w:tcPr>
                <w:p w14:paraId="0DBF2B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10</w:t>
                  </w:r>
                </w:p>
              </w:tc>
              <w:tc>
                <w:tcPr>
                  <w:tcW w:w="1200" w:type="dxa"/>
                  <w:noWrap w:val="0"/>
                  <w:vAlign w:val="center"/>
                </w:tcPr>
                <w:p w14:paraId="69F2D67D">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64E0E73B">
                  <w:pPr>
                    <w:adjustRightInd w:val="0"/>
                    <w:snapToGrid w:val="0"/>
                    <w:jc w:val="center"/>
                    <w:rPr>
                      <w:rFonts w:hint="eastAsia"/>
                      <w:b w:val="0"/>
                      <w:bCs/>
                      <w:color w:val="auto"/>
                      <w:sz w:val="21"/>
                      <w:szCs w:val="21"/>
                    </w:rPr>
                  </w:pPr>
                </w:p>
              </w:tc>
              <w:tc>
                <w:tcPr>
                  <w:tcW w:w="1215" w:type="dxa"/>
                  <w:noWrap w:val="0"/>
                  <w:vAlign w:val="center"/>
                </w:tcPr>
                <w:p w14:paraId="7B2B239A">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2989F506">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5E03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86A657D">
                  <w:pPr>
                    <w:spacing w:line="240" w:lineRule="auto"/>
                    <w:jc w:val="center"/>
                    <w:rPr>
                      <w:rFonts w:hint="default" w:ascii="Times New Roman" w:hAnsi="Times New Roman" w:cs="Times New Roman"/>
                      <w:b w:val="0"/>
                      <w:bCs/>
                      <w:sz w:val="21"/>
                      <w:szCs w:val="21"/>
                    </w:rPr>
                  </w:pPr>
                  <w:r>
                    <w:rPr>
                      <w:rFonts w:hint="eastAsia"/>
                      <w:b w:val="0"/>
                      <w:bCs/>
                      <w:color w:val="auto"/>
                      <w:sz w:val="21"/>
                      <w:szCs w:val="21"/>
                      <w:highlight w:val="none"/>
                    </w:rPr>
                    <w:t>7</w:t>
                  </w:r>
                </w:p>
              </w:tc>
              <w:tc>
                <w:tcPr>
                  <w:tcW w:w="2316" w:type="dxa"/>
                  <w:noWrap w:val="0"/>
                  <w:vAlign w:val="center"/>
                </w:tcPr>
                <w:p w14:paraId="3C52C7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空压机</w:t>
                  </w:r>
                </w:p>
              </w:tc>
              <w:tc>
                <w:tcPr>
                  <w:tcW w:w="1264" w:type="dxa"/>
                  <w:noWrap w:val="0"/>
                  <w:vAlign w:val="center"/>
                </w:tcPr>
                <w:p w14:paraId="1824A5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5</w:t>
                  </w:r>
                </w:p>
              </w:tc>
              <w:tc>
                <w:tcPr>
                  <w:tcW w:w="1200" w:type="dxa"/>
                  <w:noWrap w:val="0"/>
                  <w:vAlign w:val="center"/>
                </w:tcPr>
                <w:p w14:paraId="0CF57D5B">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7D75E9B4">
                  <w:pPr>
                    <w:adjustRightInd w:val="0"/>
                    <w:snapToGrid w:val="0"/>
                    <w:jc w:val="center"/>
                    <w:rPr>
                      <w:rFonts w:hint="eastAsia"/>
                      <w:b w:val="0"/>
                      <w:bCs/>
                      <w:color w:val="auto"/>
                      <w:sz w:val="21"/>
                      <w:szCs w:val="21"/>
                    </w:rPr>
                  </w:pPr>
                </w:p>
              </w:tc>
              <w:tc>
                <w:tcPr>
                  <w:tcW w:w="1215" w:type="dxa"/>
                  <w:noWrap w:val="0"/>
                  <w:vAlign w:val="center"/>
                </w:tcPr>
                <w:p w14:paraId="188B95F4">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0EA2DCF5">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5CD6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0C15FED">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8</w:t>
                  </w:r>
                </w:p>
              </w:tc>
              <w:tc>
                <w:tcPr>
                  <w:tcW w:w="2316" w:type="dxa"/>
                  <w:noWrap w:val="0"/>
                  <w:vAlign w:val="center"/>
                </w:tcPr>
                <w:p w14:paraId="22DA14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制氮</w:t>
                  </w:r>
                  <w:r>
                    <w:rPr>
                      <w:rFonts w:hint="eastAsia" w:ascii="Times New Roman" w:hAnsi="Times New Roman" w:eastAsia="宋体" w:cs="宋体"/>
                      <w:b w:val="0"/>
                      <w:bCs/>
                      <w:color w:val="auto"/>
                      <w:sz w:val="21"/>
                      <w:szCs w:val="21"/>
                      <w:highlight w:val="none"/>
                      <w:vertAlign w:val="baseline"/>
                      <w:lang w:val="en-US" w:eastAsia="zh-CN"/>
                    </w:rPr>
                    <w:t>机</w:t>
                  </w:r>
                </w:p>
              </w:tc>
              <w:tc>
                <w:tcPr>
                  <w:tcW w:w="1264" w:type="dxa"/>
                  <w:noWrap w:val="0"/>
                  <w:vAlign w:val="center"/>
                </w:tcPr>
                <w:p w14:paraId="120AF1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3</w:t>
                  </w:r>
                </w:p>
              </w:tc>
              <w:tc>
                <w:tcPr>
                  <w:tcW w:w="1200" w:type="dxa"/>
                  <w:noWrap w:val="0"/>
                  <w:vAlign w:val="center"/>
                </w:tcPr>
                <w:p w14:paraId="7CC8A734">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272E9F41">
                  <w:pPr>
                    <w:adjustRightInd w:val="0"/>
                    <w:snapToGrid w:val="0"/>
                    <w:jc w:val="center"/>
                    <w:rPr>
                      <w:rFonts w:hint="eastAsia"/>
                      <w:b w:val="0"/>
                      <w:bCs/>
                      <w:color w:val="auto"/>
                      <w:sz w:val="21"/>
                      <w:szCs w:val="21"/>
                    </w:rPr>
                  </w:pPr>
                </w:p>
              </w:tc>
              <w:tc>
                <w:tcPr>
                  <w:tcW w:w="1215" w:type="dxa"/>
                  <w:noWrap w:val="0"/>
                  <w:vAlign w:val="center"/>
                </w:tcPr>
                <w:p w14:paraId="2A226A63">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02E93032">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56C2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47592351">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9</w:t>
                  </w:r>
                </w:p>
              </w:tc>
              <w:tc>
                <w:tcPr>
                  <w:tcW w:w="2316" w:type="dxa"/>
                  <w:noWrap w:val="0"/>
                  <w:vAlign w:val="center"/>
                </w:tcPr>
                <w:p w14:paraId="31C509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粉碎系统</w:t>
                  </w:r>
                </w:p>
              </w:tc>
              <w:tc>
                <w:tcPr>
                  <w:tcW w:w="1264" w:type="dxa"/>
                  <w:noWrap w:val="0"/>
                  <w:vAlign w:val="center"/>
                </w:tcPr>
                <w:p w14:paraId="485757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10</w:t>
                  </w:r>
                </w:p>
              </w:tc>
              <w:tc>
                <w:tcPr>
                  <w:tcW w:w="1200" w:type="dxa"/>
                  <w:noWrap w:val="0"/>
                  <w:vAlign w:val="center"/>
                </w:tcPr>
                <w:p w14:paraId="1050D98E">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1365" w:type="dxa"/>
                  <w:vMerge w:val="continue"/>
                  <w:noWrap w:val="0"/>
                  <w:vAlign w:val="center"/>
                </w:tcPr>
                <w:p w14:paraId="4C48DF30">
                  <w:pPr>
                    <w:adjustRightInd w:val="0"/>
                    <w:snapToGrid w:val="0"/>
                    <w:jc w:val="center"/>
                    <w:rPr>
                      <w:rFonts w:hint="eastAsia"/>
                      <w:b w:val="0"/>
                      <w:bCs/>
                      <w:color w:val="auto"/>
                      <w:sz w:val="21"/>
                      <w:szCs w:val="21"/>
                    </w:rPr>
                  </w:pPr>
                </w:p>
              </w:tc>
              <w:tc>
                <w:tcPr>
                  <w:tcW w:w="1215" w:type="dxa"/>
                  <w:noWrap w:val="0"/>
                  <w:vAlign w:val="center"/>
                </w:tcPr>
                <w:p w14:paraId="14059E0F">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3DA37A6D">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2B26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25613ECC">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10</w:t>
                  </w:r>
                </w:p>
              </w:tc>
              <w:tc>
                <w:tcPr>
                  <w:tcW w:w="2316" w:type="dxa"/>
                  <w:noWrap w:val="0"/>
                  <w:vAlign w:val="center"/>
                </w:tcPr>
                <w:p w14:paraId="681785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真空包装机</w:t>
                  </w:r>
                </w:p>
              </w:tc>
              <w:tc>
                <w:tcPr>
                  <w:tcW w:w="1264" w:type="dxa"/>
                  <w:noWrap w:val="0"/>
                  <w:vAlign w:val="center"/>
                </w:tcPr>
                <w:p w14:paraId="03E671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ascii="Times New Roman" w:hAnsi="Times New Roman" w:eastAsia="宋体" w:cs="宋体"/>
                      <w:b w:val="0"/>
                      <w:bCs/>
                      <w:color w:val="auto"/>
                      <w:sz w:val="21"/>
                      <w:szCs w:val="21"/>
                      <w:highlight w:val="none"/>
                      <w:vertAlign w:val="baseline"/>
                      <w:lang w:val="en-US" w:eastAsia="zh-CN"/>
                    </w:rPr>
                    <w:t>1</w:t>
                  </w:r>
                  <w:r>
                    <w:rPr>
                      <w:rFonts w:hint="eastAsia" w:cs="宋体"/>
                      <w:b w:val="0"/>
                      <w:bCs/>
                      <w:color w:val="auto"/>
                      <w:sz w:val="21"/>
                      <w:szCs w:val="21"/>
                      <w:highlight w:val="none"/>
                      <w:vertAlign w:val="baseline"/>
                      <w:lang w:val="en-US" w:eastAsia="zh-CN"/>
                    </w:rPr>
                    <w:t>0</w:t>
                  </w:r>
                </w:p>
              </w:tc>
              <w:tc>
                <w:tcPr>
                  <w:tcW w:w="1200" w:type="dxa"/>
                  <w:noWrap w:val="0"/>
                  <w:vAlign w:val="center"/>
                </w:tcPr>
                <w:p w14:paraId="6341D133">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80</w:t>
                  </w:r>
                </w:p>
              </w:tc>
              <w:tc>
                <w:tcPr>
                  <w:tcW w:w="1365" w:type="dxa"/>
                  <w:vMerge w:val="continue"/>
                  <w:noWrap w:val="0"/>
                  <w:vAlign w:val="center"/>
                </w:tcPr>
                <w:p w14:paraId="395EF05D">
                  <w:pPr>
                    <w:adjustRightInd w:val="0"/>
                    <w:snapToGrid w:val="0"/>
                    <w:jc w:val="center"/>
                    <w:rPr>
                      <w:rFonts w:hint="eastAsia"/>
                      <w:b w:val="0"/>
                      <w:bCs/>
                      <w:color w:val="auto"/>
                      <w:sz w:val="21"/>
                      <w:szCs w:val="21"/>
                    </w:rPr>
                  </w:pPr>
                </w:p>
              </w:tc>
              <w:tc>
                <w:tcPr>
                  <w:tcW w:w="1215" w:type="dxa"/>
                  <w:noWrap w:val="0"/>
                  <w:vAlign w:val="center"/>
                </w:tcPr>
                <w:p w14:paraId="29D1B755">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65</w:t>
                  </w:r>
                </w:p>
              </w:tc>
              <w:tc>
                <w:tcPr>
                  <w:tcW w:w="902" w:type="dxa"/>
                  <w:noWrap w:val="0"/>
                  <w:vAlign w:val="center"/>
                </w:tcPr>
                <w:p w14:paraId="531D2849">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6CE7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9144891">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11</w:t>
                  </w:r>
                </w:p>
              </w:tc>
              <w:tc>
                <w:tcPr>
                  <w:tcW w:w="2316" w:type="dxa"/>
                  <w:noWrap w:val="0"/>
                  <w:vAlign w:val="center"/>
                </w:tcPr>
                <w:p w14:paraId="447088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cs="宋体"/>
                      <w:b w:val="0"/>
                      <w:bCs/>
                      <w:color w:val="auto"/>
                      <w:sz w:val="21"/>
                      <w:szCs w:val="21"/>
                      <w:highlight w:val="none"/>
                      <w:vertAlign w:val="baseline"/>
                      <w:lang w:val="en-US" w:eastAsia="zh-CN"/>
                    </w:rPr>
                    <w:t>蒸汽发生器</w:t>
                  </w:r>
                </w:p>
              </w:tc>
              <w:tc>
                <w:tcPr>
                  <w:tcW w:w="1264" w:type="dxa"/>
                  <w:noWrap w:val="0"/>
                  <w:vAlign w:val="center"/>
                </w:tcPr>
                <w:p w14:paraId="197290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1</w:t>
                  </w:r>
                  <w:r>
                    <w:rPr>
                      <w:rFonts w:hint="eastAsia" w:ascii="Times New Roman" w:hAnsi="Times New Roman" w:eastAsia="宋体" w:cs="宋体"/>
                      <w:b w:val="0"/>
                      <w:bCs/>
                      <w:color w:val="auto"/>
                      <w:sz w:val="21"/>
                      <w:szCs w:val="21"/>
                      <w:highlight w:val="none"/>
                      <w:vertAlign w:val="baseline"/>
                      <w:lang w:val="en-US" w:eastAsia="zh-CN"/>
                    </w:rPr>
                    <w:t>5</w:t>
                  </w:r>
                </w:p>
              </w:tc>
              <w:tc>
                <w:tcPr>
                  <w:tcW w:w="1200" w:type="dxa"/>
                  <w:noWrap w:val="0"/>
                  <w:vAlign w:val="center"/>
                </w:tcPr>
                <w:p w14:paraId="03526A46">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206E9E39">
                  <w:pPr>
                    <w:adjustRightInd w:val="0"/>
                    <w:snapToGrid w:val="0"/>
                    <w:jc w:val="center"/>
                    <w:rPr>
                      <w:rFonts w:hint="eastAsia"/>
                      <w:b w:val="0"/>
                      <w:bCs/>
                      <w:color w:val="auto"/>
                      <w:sz w:val="21"/>
                      <w:szCs w:val="21"/>
                    </w:rPr>
                  </w:pPr>
                </w:p>
              </w:tc>
              <w:tc>
                <w:tcPr>
                  <w:tcW w:w="1215" w:type="dxa"/>
                  <w:noWrap w:val="0"/>
                  <w:vAlign w:val="center"/>
                </w:tcPr>
                <w:p w14:paraId="3CCBBCAE">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58E441E9">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375E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69E0A4B8">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12</w:t>
                  </w:r>
                </w:p>
              </w:tc>
              <w:tc>
                <w:tcPr>
                  <w:tcW w:w="2316" w:type="dxa"/>
                  <w:noWrap w:val="0"/>
                  <w:vAlign w:val="top"/>
                </w:tcPr>
                <w:p w14:paraId="7B68ABE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b w:val="0"/>
                      <w:bCs w:val="0"/>
                      <w:color w:val="auto"/>
                      <w:sz w:val="21"/>
                      <w:szCs w:val="21"/>
                      <w:lang w:val="en-US" w:eastAsia="zh-CN"/>
                    </w:rPr>
                  </w:pPr>
                  <w:r>
                    <w:rPr>
                      <w:rFonts w:hint="default" w:ascii="Times New Roman" w:hAnsi="Times New Roman" w:eastAsia="宋体" w:cs="Times New Roman"/>
                      <w:spacing w:val="5"/>
                      <w:sz w:val="21"/>
                      <w:szCs w:val="21"/>
                    </w:rPr>
                    <w:t>冷却水塔</w:t>
                  </w:r>
                </w:p>
              </w:tc>
              <w:tc>
                <w:tcPr>
                  <w:tcW w:w="1264" w:type="dxa"/>
                  <w:noWrap w:val="0"/>
                  <w:vAlign w:val="center"/>
                </w:tcPr>
                <w:p w14:paraId="41865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b w:val="0"/>
                      <w:bCs/>
                      <w:color w:val="auto"/>
                      <w:kern w:val="2"/>
                      <w:sz w:val="21"/>
                      <w:szCs w:val="21"/>
                      <w:lang w:val="en-US" w:eastAsia="zh-CN" w:bidi="ar-SA"/>
                    </w:rPr>
                  </w:pPr>
                  <w:r>
                    <w:rPr>
                      <w:rFonts w:hint="eastAsia" w:cs="Times New Roman"/>
                      <w:b w:val="0"/>
                      <w:bCs/>
                      <w:color w:val="auto"/>
                      <w:sz w:val="21"/>
                      <w:szCs w:val="21"/>
                      <w:highlight w:val="none"/>
                      <w:lang w:val="en-US" w:eastAsia="zh-CN"/>
                    </w:rPr>
                    <w:t>5</w:t>
                  </w:r>
                </w:p>
              </w:tc>
              <w:tc>
                <w:tcPr>
                  <w:tcW w:w="1200" w:type="dxa"/>
                  <w:noWrap w:val="0"/>
                  <w:vAlign w:val="center"/>
                </w:tcPr>
                <w:p w14:paraId="2D4CCAE5">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80</w:t>
                  </w:r>
                </w:p>
              </w:tc>
              <w:tc>
                <w:tcPr>
                  <w:tcW w:w="1365" w:type="dxa"/>
                  <w:vMerge w:val="continue"/>
                  <w:noWrap w:val="0"/>
                  <w:vAlign w:val="center"/>
                </w:tcPr>
                <w:p w14:paraId="7B8B080A">
                  <w:pPr>
                    <w:adjustRightInd w:val="0"/>
                    <w:snapToGrid w:val="0"/>
                    <w:jc w:val="center"/>
                    <w:rPr>
                      <w:rFonts w:hint="eastAsia"/>
                      <w:b w:val="0"/>
                      <w:bCs/>
                      <w:color w:val="auto"/>
                      <w:sz w:val="21"/>
                      <w:szCs w:val="21"/>
                    </w:rPr>
                  </w:pPr>
                </w:p>
              </w:tc>
              <w:tc>
                <w:tcPr>
                  <w:tcW w:w="1215" w:type="dxa"/>
                  <w:noWrap w:val="0"/>
                  <w:vAlign w:val="center"/>
                </w:tcPr>
                <w:p w14:paraId="67FC0631">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79DE3C7A">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6F73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8B62E9D">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1</w:t>
                  </w:r>
                  <w:r>
                    <w:rPr>
                      <w:b w:val="0"/>
                      <w:bCs/>
                      <w:sz w:val="21"/>
                      <w:szCs w:val="21"/>
                      <w:highlight w:val="none"/>
                    </w:rPr>
                    <w:t>3</w:t>
                  </w:r>
                </w:p>
              </w:tc>
              <w:tc>
                <w:tcPr>
                  <w:tcW w:w="2316" w:type="dxa"/>
                  <w:noWrap w:val="0"/>
                  <w:vAlign w:val="top"/>
                </w:tcPr>
                <w:p w14:paraId="58F7064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b w:val="0"/>
                      <w:bCs w:val="0"/>
                      <w:color w:val="auto"/>
                      <w:sz w:val="21"/>
                      <w:szCs w:val="21"/>
                      <w:lang w:val="en-US" w:eastAsia="zh-CN"/>
                    </w:rPr>
                  </w:pPr>
                  <w:r>
                    <w:rPr>
                      <w:rFonts w:hint="default" w:ascii="Times New Roman" w:hAnsi="Times New Roman" w:eastAsia="宋体" w:cs="Times New Roman"/>
                      <w:spacing w:val="5"/>
                      <w:sz w:val="21"/>
                      <w:szCs w:val="21"/>
                    </w:rPr>
                    <w:t>制纯水机</w:t>
                  </w:r>
                </w:p>
              </w:tc>
              <w:tc>
                <w:tcPr>
                  <w:tcW w:w="1264" w:type="dxa"/>
                  <w:noWrap w:val="0"/>
                  <w:vAlign w:val="center"/>
                </w:tcPr>
                <w:p w14:paraId="2D9D0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kern w:val="2"/>
                      <w:sz w:val="21"/>
                      <w:szCs w:val="21"/>
                      <w:lang w:val="en-US" w:eastAsia="zh-CN" w:bidi="ar-SA"/>
                    </w:rPr>
                  </w:pPr>
                  <w:r>
                    <w:rPr>
                      <w:rFonts w:hint="eastAsia" w:cs="Times New Roman"/>
                      <w:b w:val="0"/>
                      <w:bCs/>
                      <w:color w:val="auto"/>
                      <w:sz w:val="21"/>
                      <w:szCs w:val="21"/>
                      <w:highlight w:val="none"/>
                      <w:lang w:val="en-US" w:eastAsia="zh-CN"/>
                    </w:rPr>
                    <w:t>5</w:t>
                  </w:r>
                </w:p>
              </w:tc>
              <w:tc>
                <w:tcPr>
                  <w:tcW w:w="1200" w:type="dxa"/>
                  <w:noWrap w:val="0"/>
                  <w:vAlign w:val="center"/>
                </w:tcPr>
                <w:p w14:paraId="1CDD5AB8">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75</w:t>
                  </w:r>
                </w:p>
              </w:tc>
              <w:tc>
                <w:tcPr>
                  <w:tcW w:w="1365" w:type="dxa"/>
                  <w:vMerge w:val="continue"/>
                  <w:noWrap w:val="0"/>
                  <w:vAlign w:val="center"/>
                </w:tcPr>
                <w:p w14:paraId="3DC42006">
                  <w:pPr>
                    <w:adjustRightInd w:val="0"/>
                    <w:snapToGrid w:val="0"/>
                    <w:jc w:val="center"/>
                    <w:rPr>
                      <w:rFonts w:hint="eastAsia"/>
                      <w:b w:val="0"/>
                      <w:bCs/>
                      <w:color w:val="auto"/>
                      <w:sz w:val="21"/>
                      <w:szCs w:val="21"/>
                    </w:rPr>
                  </w:pPr>
                </w:p>
              </w:tc>
              <w:tc>
                <w:tcPr>
                  <w:tcW w:w="1215" w:type="dxa"/>
                  <w:noWrap w:val="0"/>
                  <w:vAlign w:val="center"/>
                </w:tcPr>
                <w:p w14:paraId="1AB7CDCE">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0</w:t>
                  </w:r>
                </w:p>
              </w:tc>
              <w:tc>
                <w:tcPr>
                  <w:tcW w:w="902" w:type="dxa"/>
                  <w:noWrap w:val="0"/>
                  <w:vAlign w:val="center"/>
                </w:tcPr>
                <w:p w14:paraId="0B666B5F">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r w14:paraId="201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5" w:type="dxa"/>
                  <w:noWrap w:val="0"/>
                  <w:vAlign w:val="center"/>
                </w:tcPr>
                <w:p w14:paraId="0B0D5D84">
                  <w:pPr>
                    <w:spacing w:line="240" w:lineRule="auto"/>
                    <w:jc w:val="center"/>
                    <w:rPr>
                      <w:rFonts w:hint="default" w:ascii="Times New Roman" w:hAnsi="Times New Roman" w:cs="Times New Roman"/>
                      <w:b w:val="0"/>
                      <w:bCs/>
                      <w:sz w:val="21"/>
                      <w:szCs w:val="21"/>
                    </w:rPr>
                  </w:pPr>
                  <w:r>
                    <w:rPr>
                      <w:rFonts w:hint="eastAsia"/>
                      <w:b w:val="0"/>
                      <w:bCs/>
                      <w:sz w:val="21"/>
                      <w:szCs w:val="21"/>
                      <w:highlight w:val="none"/>
                    </w:rPr>
                    <w:t>1</w:t>
                  </w:r>
                  <w:r>
                    <w:rPr>
                      <w:b w:val="0"/>
                      <w:bCs/>
                      <w:sz w:val="21"/>
                      <w:szCs w:val="21"/>
                      <w:highlight w:val="none"/>
                    </w:rPr>
                    <w:t>4</w:t>
                  </w:r>
                </w:p>
              </w:tc>
              <w:tc>
                <w:tcPr>
                  <w:tcW w:w="2316" w:type="dxa"/>
                  <w:noWrap w:val="0"/>
                  <w:vAlign w:val="center"/>
                </w:tcPr>
                <w:p w14:paraId="74FB5F56">
                  <w:pPr>
                    <w:spacing w:line="240" w:lineRule="auto"/>
                    <w:jc w:val="center"/>
                    <w:rPr>
                      <w:rFonts w:hint="eastAsia"/>
                      <w:b w:val="0"/>
                      <w:bCs w:val="0"/>
                      <w:color w:val="auto"/>
                      <w:sz w:val="21"/>
                      <w:szCs w:val="21"/>
                      <w:lang w:val="en-US" w:eastAsia="zh-CN"/>
                    </w:rPr>
                  </w:pPr>
                  <w:r>
                    <w:rPr>
                      <w:rFonts w:hint="eastAsia" w:cs="Times New Roman"/>
                      <w:b w:val="0"/>
                      <w:bCs/>
                      <w:sz w:val="21"/>
                      <w:szCs w:val="21"/>
                      <w:highlight w:val="none"/>
                      <w:lang w:eastAsia="zh-CN"/>
                    </w:rPr>
                    <w:t>风机</w:t>
                  </w:r>
                </w:p>
              </w:tc>
              <w:tc>
                <w:tcPr>
                  <w:tcW w:w="1264" w:type="dxa"/>
                  <w:noWrap w:val="0"/>
                  <w:vAlign w:val="center"/>
                </w:tcPr>
                <w:p w14:paraId="75D11A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cs="Times New Roman"/>
                      <w:b w:val="0"/>
                      <w:bCs/>
                      <w:color w:val="auto"/>
                      <w:kern w:val="2"/>
                      <w:sz w:val="21"/>
                      <w:szCs w:val="21"/>
                      <w:lang w:val="en-US" w:eastAsia="zh-CN" w:bidi="ar-SA"/>
                    </w:rPr>
                  </w:pPr>
                  <w:r>
                    <w:rPr>
                      <w:rFonts w:hint="eastAsia" w:cs="宋体"/>
                      <w:b w:val="0"/>
                      <w:bCs/>
                      <w:color w:val="auto"/>
                      <w:sz w:val="21"/>
                      <w:szCs w:val="21"/>
                      <w:highlight w:val="none"/>
                      <w:vertAlign w:val="baseline"/>
                      <w:lang w:val="en-US" w:eastAsia="zh-CN"/>
                    </w:rPr>
                    <w:t>2</w:t>
                  </w:r>
                </w:p>
              </w:tc>
              <w:tc>
                <w:tcPr>
                  <w:tcW w:w="1200" w:type="dxa"/>
                  <w:noWrap w:val="0"/>
                  <w:vAlign w:val="center"/>
                </w:tcPr>
                <w:p w14:paraId="6BB13246">
                  <w:pPr>
                    <w:adjustRightInd w:val="0"/>
                    <w:snapToGrid w:val="0"/>
                    <w:jc w:val="center"/>
                    <w:rPr>
                      <w:rFonts w:hint="default"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85</w:t>
                  </w:r>
                </w:p>
              </w:tc>
              <w:tc>
                <w:tcPr>
                  <w:tcW w:w="1365" w:type="dxa"/>
                  <w:vMerge w:val="continue"/>
                  <w:noWrap w:val="0"/>
                  <w:vAlign w:val="center"/>
                </w:tcPr>
                <w:p w14:paraId="4F6CEA33">
                  <w:pPr>
                    <w:adjustRightInd w:val="0"/>
                    <w:snapToGrid w:val="0"/>
                    <w:jc w:val="center"/>
                    <w:rPr>
                      <w:rFonts w:hint="eastAsia"/>
                      <w:b w:val="0"/>
                      <w:bCs/>
                      <w:color w:val="auto"/>
                      <w:sz w:val="21"/>
                      <w:szCs w:val="21"/>
                    </w:rPr>
                  </w:pPr>
                </w:p>
              </w:tc>
              <w:tc>
                <w:tcPr>
                  <w:tcW w:w="1215" w:type="dxa"/>
                  <w:noWrap w:val="0"/>
                  <w:vAlign w:val="center"/>
                </w:tcPr>
                <w:p w14:paraId="112EC0A2">
                  <w:pPr>
                    <w:adjustRightInd w:val="0"/>
                    <w:snapToGrid w:val="0"/>
                    <w:jc w:val="center"/>
                    <w:rPr>
                      <w:rFonts w:hint="eastAsia"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6</w:t>
                  </w:r>
                  <w:r>
                    <w:rPr>
                      <w:rFonts w:hint="eastAsia" w:cs="Times New Roman"/>
                      <w:b w:val="0"/>
                      <w:bCs/>
                      <w:snapToGrid w:val="0"/>
                      <w:color w:val="auto"/>
                      <w:kern w:val="0"/>
                      <w:sz w:val="21"/>
                      <w:szCs w:val="21"/>
                      <w:highlight w:val="none"/>
                      <w:lang w:val="en-US" w:eastAsia="zh-CN"/>
                    </w:rPr>
                    <w:t>5</w:t>
                  </w:r>
                </w:p>
              </w:tc>
              <w:tc>
                <w:tcPr>
                  <w:tcW w:w="902" w:type="dxa"/>
                  <w:noWrap w:val="0"/>
                  <w:vAlign w:val="center"/>
                </w:tcPr>
                <w:p w14:paraId="20871CFE">
                  <w:pPr>
                    <w:adjustRightInd w:val="0"/>
                    <w:snapToGrid w:val="0"/>
                    <w:jc w:val="center"/>
                    <w:rPr>
                      <w:rFonts w:hint="eastAsia" w:cs="Times New Roman"/>
                      <w:b w:val="0"/>
                      <w:bCs/>
                      <w:snapToGrid w:val="0"/>
                      <w:color w:val="auto"/>
                      <w:kern w:val="0"/>
                      <w:sz w:val="21"/>
                      <w:szCs w:val="21"/>
                      <w:highlight w:val="none"/>
                      <w:lang w:val="en-US" w:eastAsia="zh-CN"/>
                    </w:rPr>
                  </w:pPr>
                  <w:r>
                    <w:rPr>
                      <w:rFonts w:hint="eastAsia" w:cs="Times New Roman"/>
                      <w:b w:val="0"/>
                      <w:bCs/>
                      <w:snapToGrid w:val="0"/>
                      <w:color w:val="auto"/>
                      <w:kern w:val="0"/>
                      <w:sz w:val="21"/>
                      <w:szCs w:val="21"/>
                      <w:highlight w:val="none"/>
                      <w:lang w:val="en-US" w:eastAsia="zh-CN"/>
                    </w:rPr>
                    <w:t>7200</w:t>
                  </w:r>
                </w:p>
              </w:tc>
            </w:tr>
          </w:tbl>
          <w:p w14:paraId="6A1D27E7">
            <w:pPr>
              <w:adjustRightInd w:val="0"/>
              <w:snapToGrid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3.2</w:t>
            </w:r>
            <w:r>
              <w:rPr>
                <w:rFonts w:hint="default" w:ascii="Times New Roman" w:hAnsi="Times New Roman" w:eastAsia="宋体" w:cs="Times New Roman"/>
                <w:b/>
                <w:bCs/>
                <w:color w:val="auto"/>
                <w:sz w:val="24"/>
                <w:szCs w:val="24"/>
              </w:rPr>
              <w:t>厂界达标情况</w:t>
            </w:r>
          </w:p>
          <w:p w14:paraId="109442E0">
            <w:pPr>
              <w:pStyle w:val="68"/>
              <w:numPr>
                <w:ilvl w:val="0"/>
                <w:numId w:val="0"/>
              </w:num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项目通过选择低噪声设备，加强厂房隔音建设，</w:t>
            </w:r>
            <w:r>
              <w:rPr>
                <w:sz w:val="24"/>
              </w:rPr>
              <w:t>安装设备时采取减振措施，在各设备上安装消音器，减少设备运行时的振动噪声</w:t>
            </w:r>
            <w:r>
              <w:rPr>
                <w:rFonts w:hint="eastAsia"/>
                <w:sz w:val="24"/>
                <w:lang w:eastAsia="zh-CN"/>
              </w:rPr>
              <w:t>。</w:t>
            </w:r>
            <w:r>
              <w:rPr>
                <w:rFonts w:hint="default" w:ascii="Times New Roman" w:hAnsi="Times New Roman" w:eastAsia="宋体" w:cs="Times New Roman"/>
                <w:color w:val="auto"/>
                <w:sz w:val="24"/>
                <w:szCs w:val="24"/>
              </w:rPr>
              <w:t>具体措施如下：</w:t>
            </w:r>
          </w:p>
          <w:p w14:paraId="7EC836A1">
            <w:pPr>
              <w:pStyle w:val="68"/>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（1）控制噪声源</w:t>
            </w:r>
          </w:p>
          <w:p w14:paraId="4531965C">
            <w:pPr>
              <w:pStyle w:val="68"/>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在满足工艺设计的前提下，尽量选用低噪声型号的设备。</w:t>
            </w:r>
          </w:p>
          <w:p w14:paraId="127B8F84">
            <w:pPr>
              <w:pStyle w:val="68"/>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阻隔</w:t>
            </w:r>
            <w:r>
              <w:rPr>
                <w:rFonts w:hint="default" w:ascii="Times New Roman" w:hAnsi="Times New Roman" w:eastAsia="宋体" w:cs="Times New Roman"/>
                <w:color w:val="auto"/>
                <w:sz w:val="24"/>
                <w:szCs w:val="24"/>
              </w:rPr>
              <w:t>屏蔽、吸纳作用</w:t>
            </w:r>
          </w:p>
          <w:p w14:paraId="19A03A1D">
            <w:pPr>
              <w:pStyle w:val="68"/>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厂内总平面设计中，充分考虑地形、声源方向性及泵房噪声强弱，利用建构筑物等对噪声的屏蔽、吸纳作用，进行合理布局，以起到降低噪声影响的作用。做好厂区周围土地利用规划，不宜在厂区及卫生防护距离内建设居住区、学校、医院等敏感性建筑物。</w:t>
            </w:r>
          </w:p>
          <w:p w14:paraId="0E9FD0E8">
            <w:pPr>
              <w:keepNext w:val="0"/>
              <w:keepLines w:val="0"/>
              <w:pageBreakBefore w:val="0"/>
              <w:widowControl w:val="0"/>
              <w:kinsoku/>
              <w:wordWrap/>
              <w:overflowPunct/>
              <w:topLinePunct w:val="0"/>
              <w:autoSpaceDE/>
              <w:autoSpaceDN/>
              <w:bidi w:val="0"/>
              <w:spacing w:line="360" w:lineRule="auto"/>
              <w:ind w:left="0" w:right="0" w:rightChars="0" w:firstLine="480" w:firstLineChars="200"/>
              <w:jc w:val="left"/>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auto"/>
                <w:sz w:val="24"/>
                <w:szCs w:val="24"/>
              </w:rPr>
              <w:t>项目在认真落实上述噪声治理措施后，厂界噪声满足《工业企业厂界环境噪声排放标准》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GB12348-2008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中规定的3类区排放限值。</w:t>
            </w:r>
          </w:p>
          <w:p w14:paraId="7D0C1F1C">
            <w:pPr>
              <w:spacing w:line="360" w:lineRule="auto"/>
              <w:rPr>
                <w:b/>
                <w:sz w:val="24"/>
                <w:szCs w:val="24"/>
              </w:rPr>
            </w:pPr>
            <w:r>
              <w:rPr>
                <w:rFonts w:hint="eastAsia"/>
                <w:b/>
                <w:sz w:val="24"/>
                <w:szCs w:val="24"/>
              </w:rPr>
              <w:t>3.</w:t>
            </w:r>
            <w:r>
              <w:rPr>
                <w:rFonts w:hint="eastAsia"/>
                <w:b/>
                <w:sz w:val="24"/>
                <w:szCs w:val="24"/>
                <w:lang w:val="en-US" w:eastAsia="zh-CN"/>
              </w:rPr>
              <w:t>3</w:t>
            </w:r>
            <w:r>
              <w:rPr>
                <w:rFonts w:hint="eastAsia"/>
                <w:b/>
                <w:sz w:val="24"/>
                <w:szCs w:val="24"/>
              </w:rPr>
              <w:t>噪声监测</w:t>
            </w:r>
          </w:p>
          <w:p w14:paraId="79AFBDAB">
            <w:pPr>
              <w:adjustRightInd w:val="0"/>
              <w:snapToGrid w:val="0"/>
              <w:spacing w:line="360" w:lineRule="auto"/>
              <w:ind w:firstLine="480" w:firstLineChars="200"/>
              <w:rPr>
                <w:sz w:val="24"/>
                <w:szCs w:val="24"/>
              </w:rPr>
            </w:pPr>
            <w:r>
              <w:rPr>
                <w:sz w:val="24"/>
              </w:rPr>
              <w:t>本项目</w:t>
            </w:r>
            <w:r>
              <w:rPr>
                <w:rFonts w:hint="eastAsia"/>
                <w:sz w:val="24"/>
              </w:rPr>
              <w:t>噪声</w:t>
            </w:r>
            <w:r>
              <w:rPr>
                <w:sz w:val="24"/>
              </w:rPr>
              <w:t>监测参照</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z w:val="24"/>
                <w:szCs w:val="20"/>
                <w:lang w:val="en-US" w:eastAsia="zh-CN"/>
              </w:rPr>
              <w:t>排污单位自</w:t>
            </w:r>
            <w:r>
              <w:rPr>
                <w:rFonts w:hint="default" w:ascii="Times New Roman" w:hAnsi="Times New Roman" w:eastAsia="宋体" w:cs="Times New Roman"/>
                <w:bCs/>
                <w:sz w:val="24"/>
                <w:szCs w:val="20"/>
                <w:lang w:val="en-US" w:eastAsia="zh-CN"/>
              </w:rPr>
              <w:t>行监测技术指南</w:t>
            </w:r>
            <w:r>
              <w:rPr>
                <w:rFonts w:hint="default" w:ascii="Times New Roman" w:hAnsi="Times New Roman" w:eastAsia="宋体" w:cs="Times New Roman"/>
                <w:color w:val="auto"/>
                <w:kern w:val="0"/>
                <w:sz w:val="24"/>
                <w:szCs w:val="24"/>
                <w:lang w:val="en-US" w:eastAsia="zh-CN"/>
              </w:rPr>
              <w:t xml:space="preserve"> </w:t>
            </w:r>
            <w:r>
              <w:rPr>
                <w:bCs/>
                <w:sz w:val="24"/>
                <w:szCs w:val="24"/>
                <w:lang w:val="en-US" w:eastAsia="zh-CN"/>
              </w:rPr>
              <w:t>总则》（HJ819-2017</w:t>
            </w:r>
            <w:r>
              <w:rPr>
                <w:bCs/>
                <w:color w:val="auto"/>
                <w:sz w:val="24"/>
                <w:szCs w:val="24"/>
                <w:lang w:val="en-US" w:eastAsia="zh-CN"/>
              </w:rPr>
              <w:t>）</w:t>
            </w:r>
            <w:r>
              <w:rPr>
                <w:rFonts w:hint="eastAsia"/>
                <w:bCs/>
                <w:color w:val="auto"/>
                <w:sz w:val="24"/>
                <w:szCs w:val="24"/>
                <w:lang w:val="en-US" w:eastAsia="zh-CN"/>
              </w:rPr>
              <w:t>和</w:t>
            </w:r>
            <w:r>
              <w:rPr>
                <w:rFonts w:hint="default" w:ascii="Times New Roman" w:hAnsi="Times New Roman" w:eastAsia="宋体" w:cs="Times New Roman"/>
                <w:snapToGrid w:val="0"/>
                <w:kern w:val="0"/>
                <w:sz w:val="24"/>
                <w:szCs w:val="24"/>
              </w:rPr>
              <w:t>《</w:t>
            </w:r>
            <w:r>
              <w:rPr>
                <w:rFonts w:hint="default" w:ascii="Times New Roman" w:hAnsi="Times New Roman" w:eastAsia="宋体" w:cs="Times New Roman"/>
                <w:bCs/>
                <w:color w:val="auto"/>
                <w:sz w:val="24"/>
                <w:szCs w:val="20"/>
                <w:lang w:val="en-US" w:eastAsia="zh-CN"/>
              </w:rPr>
              <w:t>排污单位自</w:t>
            </w:r>
            <w:r>
              <w:rPr>
                <w:rFonts w:hint="default" w:ascii="Times New Roman" w:hAnsi="Times New Roman" w:eastAsia="宋体" w:cs="Times New Roman"/>
                <w:bCs/>
                <w:sz w:val="24"/>
                <w:szCs w:val="20"/>
                <w:lang w:val="en-US" w:eastAsia="zh-CN"/>
              </w:rPr>
              <w:t>行监测技术指南</w:t>
            </w:r>
            <w:r>
              <w:rPr>
                <w:rFonts w:hint="default" w:ascii="Times New Roman" w:hAnsi="Times New Roman" w:eastAsia="宋体" w:cs="Times New Roman"/>
                <w:snapToGrid w:val="0"/>
                <w:kern w:val="0"/>
                <w:sz w:val="24"/>
                <w:szCs w:val="24"/>
              </w:rPr>
              <w:t xml:space="preserve"> </w:t>
            </w:r>
            <w:r>
              <w:rPr>
                <w:rFonts w:hint="eastAsia" w:cs="Times New Roman"/>
                <w:snapToGrid w:val="0"/>
                <w:kern w:val="0"/>
                <w:sz w:val="24"/>
                <w:szCs w:val="24"/>
                <w:lang w:eastAsia="zh-CN"/>
              </w:rPr>
              <w:t>电子工业</w:t>
            </w:r>
            <w:r>
              <w:rPr>
                <w:rFonts w:hint="default" w:ascii="Times New Roman" w:hAnsi="Times New Roman" w:eastAsia="宋体" w:cs="Times New Roman"/>
                <w:snapToGrid w:val="0"/>
                <w:kern w:val="0"/>
                <w:sz w:val="24"/>
                <w:szCs w:val="24"/>
              </w:rPr>
              <w:t>》（HJ1</w:t>
            </w:r>
            <w:r>
              <w:rPr>
                <w:rFonts w:hint="eastAsia" w:cs="Times New Roman"/>
                <w:snapToGrid w:val="0"/>
                <w:kern w:val="0"/>
                <w:sz w:val="24"/>
                <w:szCs w:val="24"/>
                <w:lang w:val="en-US" w:eastAsia="zh-CN"/>
              </w:rPr>
              <w:t>253</w:t>
            </w:r>
            <w:r>
              <w:rPr>
                <w:rFonts w:hint="default" w:ascii="Times New Roman" w:hAnsi="Times New Roman" w:eastAsia="宋体" w:cs="Times New Roman"/>
                <w:snapToGrid w:val="0"/>
                <w:kern w:val="0"/>
                <w:sz w:val="24"/>
                <w:szCs w:val="24"/>
              </w:rPr>
              <w:t>—202</w:t>
            </w:r>
            <w:r>
              <w:rPr>
                <w:rFonts w:hint="eastAsia" w:cs="Times New Roman"/>
                <w:snapToGrid w:val="0"/>
                <w:kern w:val="0"/>
                <w:sz w:val="24"/>
                <w:szCs w:val="24"/>
                <w:lang w:val="en-US" w:eastAsia="zh-CN"/>
              </w:rPr>
              <w:t>2</w:t>
            </w:r>
            <w:r>
              <w:rPr>
                <w:rFonts w:hint="default" w:ascii="Times New Roman" w:hAnsi="Times New Roman" w:eastAsia="宋体" w:cs="Times New Roman"/>
                <w:snapToGrid w:val="0"/>
                <w:kern w:val="0"/>
                <w:sz w:val="24"/>
                <w:szCs w:val="24"/>
              </w:rPr>
              <w:t>）</w:t>
            </w:r>
            <w:r>
              <w:rPr>
                <w:sz w:val="24"/>
                <w:szCs w:val="24"/>
              </w:rPr>
              <w:t>，</w:t>
            </w:r>
            <w:r>
              <w:rPr>
                <w:kern w:val="0"/>
                <w:sz w:val="24"/>
              </w:rPr>
              <w:t>根</w:t>
            </w:r>
            <w:r>
              <w:rPr>
                <w:sz w:val="24"/>
              </w:rPr>
              <w:t>据本项目污染特征制定营运期的环境监测计划见下表</w:t>
            </w:r>
            <w:r>
              <w:rPr>
                <w:sz w:val="24"/>
                <w:szCs w:val="24"/>
              </w:rPr>
              <w:t>：</w:t>
            </w:r>
          </w:p>
          <w:p w14:paraId="7606379F">
            <w:pPr>
              <w:adjustRightInd w:val="0"/>
              <w:spacing w:line="240" w:lineRule="auto"/>
              <w:ind w:firstLine="519" w:firstLineChars="246"/>
              <w:jc w:val="center"/>
              <w:rPr>
                <w:b/>
                <w:kern w:val="0"/>
                <w:sz w:val="21"/>
                <w:szCs w:val="21"/>
              </w:rPr>
            </w:pPr>
            <w:r>
              <w:rPr>
                <w:rFonts w:hint="eastAsia"/>
                <w:b/>
                <w:kern w:val="0"/>
                <w:sz w:val="21"/>
                <w:szCs w:val="21"/>
              </w:rPr>
              <w:t>表4-</w:t>
            </w:r>
            <w:r>
              <w:rPr>
                <w:rFonts w:hint="eastAsia"/>
                <w:b/>
                <w:kern w:val="0"/>
                <w:sz w:val="21"/>
                <w:szCs w:val="21"/>
                <w:lang w:val="en-US" w:eastAsia="zh-CN"/>
              </w:rPr>
              <w:t xml:space="preserve">13 </w:t>
            </w:r>
            <w:r>
              <w:rPr>
                <w:rFonts w:hint="eastAsia"/>
                <w:b/>
                <w:kern w:val="0"/>
                <w:sz w:val="21"/>
                <w:szCs w:val="21"/>
              </w:rPr>
              <w:t>噪声监测一览表</w:t>
            </w:r>
          </w:p>
          <w:tbl>
            <w:tblPr>
              <w:tblStyle w:val="25"/>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58"/>
              <w:gridCol w:w="1205"/>
              <w:gridCol w:w="1498"/>
              <w:gridCol w:w="3530"/>
            </w:tblGrid>
            <w:tr w14:paraId="43E4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8" w:type="pct"/>
                  <w:vAlign w:val="center"/>
                </w:tcPr>
                <w:p w14:paraId="2C9E9F3D">
                  <w:pPr>
                    <w:adjustRightInd w:val="0"/>
                    <w:rPr>
                      <w:kern w:val="0"/>
                      <w:szCs w:val="21"/>
                    </w:rPr>
                  </w:pPr>
                  <w:r>
                    <w:rPr>
                      <w:kern w:val="0"/>
                      <w:szCs w:val="21"/>
                    </w:rPr>
                    <w:t>监测项目</w:t>
                  </w:r>
                </w:p>
              </w:tc>
              <w:tc>
                <w:tcPr>
                  <w:tcW w:w="714" w:type="pct"/>
                  <w:vAlign w:val="center"/>
                </w:tcPr>
                <w:p w14:paraId="5A1E8382">
                  <w:pPr>
                    <w:adjustRightInd w:val="0"/>
                    <w:jc w:val="center"/>
                    <w:rPr>
                      <w:kern w:val="0"/>
                      <w:szCs w:val="21"/>
                    </w:rPr>
                  </w:pPr>
                  <w:r>
                    <w:rPr>
                      <w:kern w:val="0"/>
                      <w:szCs w:val="21"/>
                    </w:rPr>
                    <w:t>监测点位</w:t>
                  </w:r>
                </w:p>
              </w:tc>
              <w:tc>
                <w:tcPr>
                  <w:tcW w:w="683" w:type="pct"/>
                  <w:vAlign w:val="center"/>
                </w:tcPr>
                <w:p w14:paraId="16D2496F">
                  <w:pPr>
                    <w:adjustRightInd w:val="0"/>
                    <w:jc w:val="center"/>
                    <w:rPr>
                      <w:kern w:val="0"/>
                      <w:szCs w:val="21"/>
                    </w:rPr>
                  </w:pPr>
                  <w:r>
                    <w:rPr>
                      <w:kern w:val="0"/>
                      <w:szCs w:val="21"/>
                    </w:rPr>
                    <w:t>监测因子</w:t>
                  </w:r>
                </w:p>
              </w:tc>
              <w:tc>
                <w:tcPr>
                  <w:tcW w:w="850" w:type="pct"/>
                  <w:vAlign w:val="center"/>
                </w:tcPr>
                <w:p w14:paraId="7995EEB5">
                  <w:pPr>
                    <w:adjustRightInd w:val="0"/>
                    <w:jc w:val="center"/>
                    <w:rPr>
                      <w:kern w:val="0"/>
                      <w:szCs w:val="21"/>
                    </w:rPr>
                  </w:pPr>
                  <w:r>
                    <w:rPr>
                      <w:kern w:val="0"/>
                      <w:szCs w:val="21"/>
                    </w:rPr>
                    <w:t>监测频次</w:t>
                  </w:r>
                </w:p>
              </w:tc>
              <w:tc>
                <w:tcPr>
                  <w:tcW w:w="2003" w:type="pct"/>
                  <w:vAlign w:val="center"/>
                </w:tcPr>
                <w:p w14:paraId="1F957C90">
                  <w:pPr>
                    <w:adjustRightInd w:val="0"/>
                    <w:jc w:val="center"/>
                    <w:rPr>
                      <w:kern w:val="0"/>
                      <w:szCs w:val="21"/>
                    </w:rPr>
                  </w:pPr>
                  <w:r>
                    <w:rPr>
                      <w:kern w:val="0"/>
                      <w:szCs w:val="21"/>
                    </w:rPr>
                    <w:t>排放标准</w:t>
                  </w:r>
                </w:p>
              </w:tc>
            </w:tr>
            <w:tr w14:paraId="7925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8" w:type="pct"/>
                  <w:vAlign w:val="center"/>
                </w:tcPr>
                <w:p w14:paraId="1A158290">
                  <w:pPr>
                    <w:adjustRightInd w:val="0"/>
                    <w:jc w:val="center"/>
                    <w:rPr>
                      <w:kern w:val="0"/>
                      <w:szCs w:val="21"/>
                    </w:rPr>
                  </w:pPr>
                  <w:r>
                    <w:rPr>
                      <w:rFonts w:hint="eastAsia"/>
                      <w:kern w:val="0"/>
                      <w:szCs w:val="21"/>
                    </w:rPr>
                    <w:t>噪声</w:t>
                  </w:r>
                </w:p>
              </w:tc>
              <w:tc>
                <w:tcPr>
                  <w:tcW w:w="714" w:type="pct"/>
                  <w:vAlign w:val="center"/>
                </w:tcPr>
                <w:p w14:paraId="43421176">
                  <w:pPr>
                    <w:adjustRightInd w:val="0"/>
                    <w:jc w:val="center"/>
                    <w:rPr>
                      <w:kern w:val="0"/>
                      <w:szCs w:val="21"/>
                    </w:rPr>
                  </w:pPr>
                  <w:r>
                    <w:rPr>
                      <w:kern w:val="0"/>
                      <w:szCs w:val="21"/>
                    </w:rPr>
                    <w:t>厂界</w:t>
                  </w:r>
                </w:p>
              </w:tc>
              <w:tc>
                <w:tcPr>
                  <w:tcW w:w="683" w:type="pct"/>
                  <w:vAlign w:val="center"/>
                </w:tcPr>
                <w:p w14:paraId="526A1002">
                  <w:pPr>
                    <w:adjustRightInd w:val="0"/>
                    <w:jc w:val="center"/>
                    <w:rPr>
                      <w:kern w:val="0"/>
                      <w:szCs w:val="21"/>
                    </w:rPr>
                  </w:pPr>
                  <w:r>
                    <w:rPr>
                      <w:bCs/>
                      <w:szCs w:val="21"/>
                    </w:rPr>
                    <w:t>等效连续A声级</w:t>
                  </w:r>
                </w:p>
              </w:tc>
              <w:tc>
                <w:tcPr>
                  <w:tcW w:w="850" w:type="pct"/>
                  <w:vAlign w:val="center"/>
                </w:tcPr>
                <w:p w14:paraId="2025BCDF">
                  <w:pPr>
                    <w:adjustRightInd w:val="0"/>
                    <w:jc w:val="center"/>
                    <w:rPr>
                      <w:kern w:val="0"/>
                      <w:szCs w:val="21"/>
                    </w:rPr>
                  </w:pPr>
                  <w:r>
                    <w:rPr>
                      <w:kern w:val="0"/>
                      <w:szCs w:val="21"/>
                    </w:rPr>
                    <w:t>1次/</w:t>
                  </w:r>
                  <w:r>
                    <w:rPr>
                      <w:rFonts w:hint="eastAsia"/>
                      <w:kern w:val="0"/>
                      <w:szCs w:val="21"/>
                    </w:rPr>
                    <w:t>季度</w:t>
                  </w:r>
                </w:p>
              </w:tc>
              <w:tc>
                <w:tcPr>
                  <w:tcW w:w="2003" w:type="pct"/>
                  <w:vAlign w:val="center"/>
                </w:tcPr>
                <w:p w14:paraId="4A17DB78">
                  <w:pPr>
                    <w:adjustRightInd w:val="0"/>
                    <w:jc w:val="center"/>
                    <w:rPr>
                      <w:kern w:val="0"/>
                      <w:szCs w:val="21"/>
                    </w:rPr>
                  </w:pPr>
                  <w:r>
                    <w:rPr>
                      <w:kern w:val="0"/>
                      <w:szCs w:val="21"/>
                    </w:rPr>
                    <w:t>《工业企业厂界环境噪声排放标准》（GB12348-2008）中的</w:t>
                  </w:r>
                  <w:r>
                    <w:rPr>
                      <w:rFonts w:hint="eastAsia"/>
                      <w:kern w:val="0"/>
                      <w:szCs w:val="21"/>
                    </w:rPr>
                    <w:t>3</w:t>
                  </w:r>
                  <w:r>
                    <w:rPr>
                      <w:kern w:val="0"/>
                      <w:szCs w:val="21"/>
                    </w:rPr>
                    <w:fldChar w:fldCharType="begin"/>
                  </w:r>
                  <w:r>
                    <w:rPr>
                      <w:kern w:val="0"/>
                      <w:szCs w:val="21"/>
                    </w:rPr>
                    <w:instrText xml:space="preserve"> = 3 \* ROMAN </w:instrText>
                  </w:r>
                  <w:r>
                    <w:rPr>
                      <w:kern w:val="0"/>
                      <w:szCs w:val="21"/>
                    </w:rPr>
                    <w:fldChar w:fldCharType="end"/>
                  </w:r>
                  <w:r>
                    <w:rPr>
                      <w:kern w:val="0"/>
                      <w:szCs w:val="21"/>
                    </w:rPr>
                    <w:t>类标准</w:t>
                  </w:r>
                </w:p>
              </w:tc>
            </w:tr>
          </w:tbl>
          <w:p w14:paraId="66054799">
            <w:pPr>
              <w:adjustRightInd w:val="0"/>
              <w:snapToGrid w:val="0"/>
              <w:spacing w:line="360" w:lineRule="auto"/>
              <w:jc w:val="left"/>
              <w:rPr>
                <w:rFonts w:hAnsi="宋体"/>
                <w:b/>
                <w:color w:val="auto"/>
                <w:kern w:val="0"/>
                <w:sz w:val="24"/>
                <w:szCs w:val="24"/>
              </w:rPr>
            </w:pPr>
            <w:r>
              <w:rPr>
                <w:rFonts w:hint="eastAsia" w:hAnsi="宋体"/>
                <w:b/>
                <w:color w:val="auto"/>
                <w:kern w:val="0"/>
                <w:sz w:val="24"/>
                <w:szCs w:val="24"/>
              </w:rPr>
              <w:t>4、固体废物</w:t>
            </w:r>
          </w:p>
          <w:p w14:paraId="60190848">
            <w:pPr>
              <w:spacing w:line="360" w:lineRule="auto"/>
              <w:ind w:firstLine="480"/>
              <w:rPr>
                <w:bCs/>
                <w:color w:val="auto"/>
                <w:sz w:val="24"/>
                <w:szCs w:val="24"/>
              </w:rPr>
            </w:pPr>
            <w:r>
              <w:rPr>
                <w:rFonts w:hint="eastAsia"/>
                <w:b/>
                <w:bCs/>
                <w:color w:val="auto"/>
                <w:sz w:val="24"/>
                <w:szCs w:val="24"/>
              </w:rPr>
              <w:t>生活垃圾：</w:t>
            </w:r>
            <w:r>
              <w:rPr>
                <w:bCs/>
                <w:color w:val="auto"/>
                <w:sz w:val="24"/>
                <w:szCs w:val="24"/>
              </w:rPr>
              <w:t>本项目工作人员</w:t>
            </w:r>
            <w:r>
              <w:rPr>
                <w:rFonts w:hint="eastAsia"/>
                <w:bCs/>
                <w:color w:val="auto"/>
                <w:sz w:val="24"/>
                <w:szCs w:val="24"/>
                <w:lang w:val="en-US" w:eastAsia="zh-CN"/>
              </w:rPr>
              <w:t>80</w:t>
            </w:r>
            <w:r>
              <w:rPr>
                <w:bCs/>
                <w:color w:val="auto"/>
                <w:sz w:val="24"/>
                <w:szCs w:val="24"/>
              </w:rPr>
              <w:t>人，生活垃圾每人每天产生量按0.</w:t>
            </w:r>
            <w:r>
              <w:rPr>
                <w:rFonts w:hint="eastAsia"/>
                <w:bCs/>
                <w:color w:val="auto"/>
                <w:sz w:val="24"/>
                <w:szCs w:val="24"/>
                <w:lang w:val="en-US" w:eastAsia="zh-CN"/>
              </w:rPr>
              <w:t>5</w:t>
            </w:r>
            <w:r>
              <w:rPr>
                <w:bCs/>
                <w:color w:val="auto"/>
                <w:sz w:val="24"/>
                <w:szCs w:val="24"/>
              </w:rPr>
              <w:t>kg计算，则生活垃圾产生量约</w:t>
            </w:r>
            <w:r>
              <w:rPr>
                <w:rFonts w:hint="eastAsia"/>
                <w:bCs/>
                <w:color w:val="auto"/>
                <w:sz w:val="24"/>
                <w:szCs w:val="24"/>
                <w:lang w:val="en-US" w:eastAsia="zh-CN"/>
              </w:rPr>
              <w:t>12</w:t>
            </w:r>
            <w:r>
              <w:rPr>
                <w:bCs/>
                <w:color w:val="auto"/>
                <w:sz w:val="24"/>
                <w:szCs w:val="24"/>
              </w:rPr>
              <w:t>t/a</w:t>
            </w:r>
            <w:r>
              <w:rPr>
                <w:rFonts w:hint="eastAsia"/>
                <w:bCs/>
                <w:color w:val="auto"/>
                <w:sz w:val="24"/>
                <w:szCs w:val="24"/>
              </w:rPr>
              <w:t>，委托环卫部门统一清运处理；</w:t>
            </w:r>
          </w:p>
          <w:p w14:paraId="4095B861">
            <w:pPr>
              <w:spacing w:line="360" w:lineRule="auto"/>
              <w:ind w:firstLine="480"/>
              <w:rPr>
                <w:rFonts w:hint="eastAsia"/>
                <w:bCs/>
                <w:color w:val="auto"/>
                <w:sz w:val="24"/>
                <w:szCs w:val="24"/>
                <w:lang w:eastAsia="zh-CN"/>
              </w:rPr>
            </w:pPr>
            <w:r>
              <w:rPr>
                <w:rFonts w:hint="eastAsia"/>
                <w:b/>
                <w:bCs/>
                <w:color w:val="auto"/>
                <w:sz w:val="24"/>
                <w:szCs w:val="24"/>
              </w:rPr>
              <w:t>一般工业固废：</w:t>
            </w:r>
          </w:p>
          <w:p w14:paraId="1674A0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吨袋：项目原料多孔炭采用吨袋包装，</w:t>
            </w:r>
            <w:r>
              <w:rPr>
                <w:rFonts w:hint="default" w:ascii="Times New Roman" w:hAnsi="Times New Roman" w:eastAsia="宋体" w:cs="Times New Roman"/>
                <w:color w:val="auto"/>
                <w:spacing w:val="7"/>
                <w:sz w:val="24"/>
                <w:szCs w:val="24"/>
              </w:rPr>
              <w:t>根据《固体废物鉴别标准 通则》（</w:t>
            </w:r>
            <w:r>
              <w:rPr>
                <w:rFonts w:hint="default" w:ascii="Times New Roman" w:hAnsi="Times New Roman" w:eastAsia="宋体" w:cs="Times New Roman"/>
                <w:color w:val="auto"/>
                <w:sz w:val="24"/>
                <w:szCs w:val="24"/>
              </w:rPr>
              <w:t>GB</w:t>
            </w:r>
            <w:r>
              <w:rPr>
                <w:rFonts w:hint="default" w:ascii="Times New Roman" w:hAnsi="Times New Roman" w:eastAsia="宋体" w:cs="Times New Roman"/>
                <w:color w:val="auto"/>
                <w:spacing w:val="7"/>
                <w:sz w:val="24"/>
                <w:szCs w:val="24"/>
              </w:rPr>
              <w:t>34330-2017</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lang w:val="en-US" w:eastAsia="zh-CN"/>
              </w:rPr>
              <w:t>“第6条不作为固体废物管理的物质6.1以下物质不作为固体废物处理：a）任何不需要修复和加工即可用于其原始用途的物质，或者在产生点经过修复和加工后满足国家、地方制定或行业同行的产品质量标准，并且用于其原始用途的物质”</w:t>
            </w:r>
            <w:r>
              <w:rPr>
                <w:rFonts w:hint="default" w:ascii="Times New Roman" w:hAnsi="Times New Roman" w:eastAsia="宋体" w:cs="Times New Roman"/>
                <w:color w:val="auto"/>
                <w:spacing w:val="7"/>
                <w:sz w:val="24"/>
                <w:szCs w:val="24"/>
              </w:rPr>
              <w:t>。</w:t>
            </w:r>
            <w:r>
              <w:rPr>
                <w:rFonts w:hint="default" w:ascii="Times New Roman" w:hAnsi="Times New Roman" w:eastAsia="宋体" w:cs="Times New Roman"/>
                <w:color w:val="auto"/>
                <w:spacing w:val="9"/>
                <w:sz w:val="24"/>
                <w:szCs w:val="24"/>
              </w:rPr>
              <w:t>本项目</w:t>
            </w:r>
            <w:r>
              <w:rPr>
                <w:rFonts w:hint="default" w:ascii="Times New Roman" w:hAnsi="Times New Roman" w:eastAsia="宋体" w:cs="Times New Roman"/>
                <w:bCs/>
                <w:color w:val="auto"/>
                <w:sz w:val="24"/>
                <w:szCs w:val="24"/>
                <w:lang w:eastAsia="zh-CN"/>
              </w:rPr>
              <w:t>吨袋循环使用</w:t>
            </w:r>
            <w:r>
              <w:rPr>
                <w:rFonts w:hint="eastAsia" w:ascii="Times New Roman" w:hAnsi="Times New Roman" w:eastAsia="宋体" w:cs="Times New Roman"/>
                <w:bCs/>
                <w:color w:val="auto"/>
                <w:sz w:val="24"/>
                <w:szCs w:val="24"/>
                <w:lang w:eastAsia="zh-CN"/>
              </w:rPr>
              <w:t>，可</w:t>
            </w:r>
            <w:r>
              <w:rPr>
                <w:rFonts w:hint="default" w:ascii="Times New Roman" w:hAnsi="Times New Roman" w:eastAsia="宋体" w:cs="Times New Roman"/>
                <w:color w:val="auto"/>
                <w:spacing w:val="9"/>
                <w:sz w:val="24"/>
                <w:szCs w:val="24"/>
              </w:rPr>
              <w:t>不作为</w:t>
            </w:r>
            <w:r>
              <w:rPr>
                <w:rFonts w:hint="eastAsia" w:ascii="Times New Roman" w:hAnsi="Times New Roman" w:eastAsia="宋体" w:cs="Times New Roman"/>
                <w:color w:val="auto"/>
                <w:spacing w:val="9"/>
                <w:sz w:val="24"/>
                <w:szCs w:val="24"/>
                <w:lang w:eastAsia="zh-CN"/>
              </w:rPr>
              <w:t>固体废物</w:t>
            </w:r>
            <w:r>
              <w:rPr>
                <w:rFonts w:hint="default" w:ascii="Times New Roman" w:hAnsi="Times New Roman" w:eastAsia="宋体" w:cs="Times New Roman"/>
                <w:color w:val="auto"/>
                <w:spacing w:val="9"/>
                <w:sz w:val="24"/>
                <w:szCs w:val="24"/>
              </w:rPr>
              <w:t>考虑</w:t>
            </w:r>
            <w:r>
              <w:rPr>
                <w:rFonts w:hint="default" w:ascii="Times New Roman" w:hAnsi="Times New Roman" w:eastAsia="宋体" w:cs="Times New Roman"/>
                <w:bCs/>
                <w:color w:val="auto"/>
                <w:sz w:val="24"/>
                <w:szCs w:val="24"/>
                <w:lang w:val="en-US" w:eastAsia="zh-CN"/>
              </w:rPr>
              <w:t>。</w:t>
            </w:r>
          </w:p>
          <w:p w14:paraId="6246E3D8">
            <w:pPr>
              <w:spacing w:line="360" w:lineRule="auto"/>
              <w:ind w:firstLine="480"/>
              <w:rPr>
                <w:rFonts w:hint="eastAsia"/>
                <w:bCs/>
                <w:color w:val="auto"/>
                <w:sz w:val="24"/>
                <w:szCs w:val="24"/>
                <w:lang w:val="en-US" w:eastAsia="zh-CN"/>
              </w:rPr>
            </w:pPr>
            <w:r>
              <w:rPr>
                <w:rFonts w:hint="eastAsia"/>
                <w:bCs/>
                <w:color w:val="auto"/>
                <w:sz w:val="24"/>
                <w:szCs w:val="24"/>
                <w:lang w:eastAsia="zh-CN"/>
              </w:rPr>
              <w:t>废铁屑：</w:t>
            </w:r>
            <w:r>
              <w:rPr>
                <w:rFonts w:hint="eastAsia"/>
                <w:color w:val="auto"/>
                <w:spacing w:val="0"/>
                <w:position w:val="0"/>
                <w:sz w:val="24"/>
                <w:highlight w:val="none"/>
                <w:lang w:eastAsia="zh-CN"/>
              </w:rPr>
              <w:t>项目除磁过程中产生少量废铁屑，产生量约占多孔炭的</w:t>
            </w:r>
            <w:r>
              <w:rPr>
                <w:rFonts w:hint="eastAsia"/>
                <w:color w:val="auto"/>
                <w:spacing w:val="0"/>
                <w:position w:val="0"/>
                <w:sz w:val="24"/>
                <w:highlight w:val="none"/>
                <w:lang w:val="en-US" w:eastAsia="zh-CN"/>
              </w:rPr>
              <w:t>0.5%，则废铁屑产生量为45</w:t>
            </w:r>
            <w:r>
              <w:rPr>
                <w:rFonts w:hint="eastAsia"/>
                <w:color w:val="auto"/>
                <w:spacing w:val="0"/>
                <w:position w:val="0"/>
                <w:sz w:val="24"/>
                <w:highlight w:val="none"/>
                <w:lang w:eastAsia="zh-CN"/>
              </w:rPr>
              <w:t>t/a，</w:t>
            </w:r>
            <w:r>
              <w:rPr>
                <w:rFonts w:hint="eastAsia"/>
                <w:bCs/>
                <w:color w:val="auto"/>
                <w:sz w:val="24"/>
                <w:szCs w:val="24"/>
                <w:lang w:val="en-US" w:eastAsia="zh-CN"/>
              </w:rPr>
              <w:t>收集后</w:t>
            </w:r>
            <w:r>
              <w:rPr>
                <w:rFonts w:hint="eastAsia"/>
                <w:bCs/>
                <w:color w:val="auto"/>
                <w:sz w:val="24"/>
                <w:szCs w:val="24"/>
                <w:lang w:eastAsia="zh-CN"/>
              </w:rPr>
              <w:t>由物资公司</w:t>
            </w:r>
            <w:r>
              <w:rPr>
                <w:rFonts w:hint="eastAsia"/>
                <w:bCs/>
                <w:color w:val="auto"/>
                <w:sz w:val="24"/>
                <w:szCs w:val="24"/>
              </w:rPr>
              <w:t>回收利用</w:t>
            </w:r>
            <w:r>
              <w:rPr>
                <w:rFonts w:hint="eastAsia"/>
                <w:bCs/>
                <w:color w:val="auto"/>
                <w:sz w:val="24"/>
                <w:szCs w:val="24"/>
                <w:lang w:val="en-US" w:eastAsia="zh-CN"/>
              </w:rPr>
              <w:t>。</w:t>
            </w:r>
          </w:p>
          <w:p w14:paraId="0097BF28">
            <w:pPr>
              <w:spacing w:line="360" w:lineRule="auto"/>
              <w:ind w:firstLine="480"/>
              <w:rPr>
                <w:rFonts w:hint="default"/>
                <w:bCs/>
                <w:color w:val="auto"/>
                <w:sz w:val="24"/>
                <w:szCs w:val="24"/>
                <w:lang w:val="en-US" w:eastAsia="zh-CN"/>
              </w:rPr>
            </w:pPr>
            <w:r>
              <w:rPr>
                <w:rFonts w:hint="eastAsia"/>
                <w:bCs/>
                <w:color w:val="auto"/>
                <w:sz w:val="24"/>
                <w:szCs w:val="24"/>
                <w:lang w:val="en-US" w:eastAsia="zh-CN"/>
              </w:rPr>
              <w:t>废分子筛：项目制氮机运营期会产生废分子筛，产生量约0.2</w:t>
            </w:r>
            <w:r>
              <w:rPr>
                <w:rFonts w:hint="eastAsia"/>
                <w:color w:val="auto"/>
                <w:spacing w:val="0"/>
                <w:position w:val="0"/>
                <w:sz w:val="24"/>
                <w:highlight w:val="none"/>
                <w:lang w:eastAsia="zh-CN"/>
              </w:rPr>
              <w:t>t/a，</w:t>
            </w:r>
            <w:r>
              <w:rPr>
                <w:rFonts w:hint="eastAsia"/>
                <w:bCs/>
                <w:color w:val="auto"/>
                <w:sz w:val="24"/>
                <w:szCs w:val="24"/>
                <w:lang w:val="en-US" w:eastAsia="zh-CN"/>
              </w:rPr>
              <w:t>收集后</w:t>
            </w:r>
            <w:r>
              <w:rPr>
                <w:rFonts w:hint="eastAsia"/>
                <w:bCs/>
                <w:color w:val="auto"/>
                <w:sz w:val="24"/>
                <w:szCs w:val="24"/>
                <w:lang w:eastAsia="zh-CN"/>
              </w:rPr>
              <w:t>由物资公司</w:t>
            </w:r>
            <w:r>
              <w:rPr>
                <w:rFonts w:hint="eastAsia"/>
                <w:bCs/>
                <w:color w:val="auto"/>
                <w:sz w:val="24"/>
                <w:szCs w:val="24"/>
              </w:rPr>
              <w:t>回收利用</w:t>
            </w:r>
            <w:r>
              <w:rPr>
                <w:rFonts w:hint="eastAsia"/>
                <w:bCs/>
                <w:color w:val="auto"/>
                <w:sz w:val="24"/>
                <w:szCs w:val="24"/>
                <w:lang w:val="en-US" w:eastAsia="zh-CN"/>
              </w:rPr>
              <w:t>。</w:t>
            </w:r>
          </w:p>
          <w:p w14:paraId="54973831">
            <w:pPr>
              <w:spacing w:line="360" w:lineRule="auto"/>
              <w:ind w:firstLine="480"/>
              <w:rPr>
                <w:rFonts w:hint="default"/>
                <w:bCs/>
                <w:color w:val="auto"/>
                <w:sz w:val="24"/>
                <w:szCs w:val="24"/>
                <w:lang w:val="en-US" w:eastAsia="zh-CN"/>
              </w:rPr>
            </w:pPr>
            <w:r>
              <w:rPr>
                <w:rFonts w:hint="eastAsia"/>
                <w:bCs/>
                <w:color w:val="auto"/>
                <w:sz w:val="24"/>
                <w:szCs w:val="24"/>
                <w:lang w:val="en-US" w:eastAsia="zh-CN"/>
              </w:rPr>
              <w:t>废离子交换树脂：项目纯水制备会产生一定量的废离子交换树脂，产生量约0.1</w:t>
            </w:r>
            <w:r>
              <w:rPr>
                <w:rFonts w:hint="eastAsia"/>
                <w:color w:val="auto"/>
                <w:spacing w:val="0"/>
                <w:position w:val="0"/>
                <w:sz w:val="24"/>
                <w:highlight w:val="none"/>
                <w:lang w:eastAsia="zh-CN"/>
              </w:rPr>
              <w:t>t/a，</w:t>
            </w:r>
            <w:r>
              <w:rPr>
                <w:rFonts w:hint="eastAsia"/>
                <w:bCs/>
                <w:color w:val="auto"/>
                <w:sz w:val="24"/>
                <w:szCs w:val="24"/>
                <w:lang w:val="en-US" w:eastAsia="zh-CN"/>
              </w:rPr>
              <w:t>收集后</w:t>
            </w:r>
            <w:r>
              <w:rPr>
                <w:rFonts w:hint="eastAsia"/>
                <w:bCs/>
                <w:color w:val="auto"/>
                <w:sz w:val="24"/>
                <w:szCs w:val="24"/>
                <w:lang w:eastAsia="zh-CN"/>
              </w:rPr>
              <w:t>由物资公司</w:t>
            </w:r>
            <w:r>
              <w:rPr>
                <w:rFonts w:hint="eastAsia"/>
                <w:bCs/>
                <w:color w:val="auto"/>
                <w:sz w:val="24"/>
                <w:szCs w:val="24"/>
              </w:rPr>
              <w:t>回收利用</w:t>
            </w:r>
            <w:r>
              <w:rPr>
                <w:rFonts w:hint="eastAsia"/>
                <w:bCs/>
                <w:color w:val="auto"/>
                <w:sz w:val="24"/>
                <w:szCs w:val="24"/>
                <w:lang w:val="en-US" w:eastAsia="zh-CN"/>
              </w:rPr>
              <w:t>。</w:t>
            </w:r>
          </w:p>
          <w:p w14:paraId="63A7F773">
            <w:pPr>
              <w:spacing w:line="360" w:lineRule="auto"/>
              <w:ind w:firstLine="480"/>
              <w:rPr>
                <w:rFonts w:hint="default"/>
                <w:bCs/>
                <w:color w:val="auto"/>
                <w:sz w:val="24"/>
                <w:szCs w:val="24"/>
                <w:lang w:val="en-US" w:eastAsia="zh-CN"/>
              </w:rPr>
            </w:pPr>
            <w:r>
              <w:rPr>
                <w:rFonts w:hint="eastAsia"/>
                <w:bCs/>
                <w:color w:val="auto"/>
                <w:sz w:val="24"/>
                <w:szCs w:val="24"/>
                <w:lang w:val="en-US" w:eastAsia="zh-CN"/>
              </w:rPr>
              <w:t>除尘灰：</w:t>
            </w:r>
            <w:r>
              <w:rPr>
                <w:rFonts w:hint="eastAsia"/>
                <w:color w:val="auto"/>
                <w:spacing w:val="0"/>
                <w:position w:val="0"/>
                <w:sz w:val="24"/>
                <w:highlight w:val="none"/>
                <w:lang w:eastAsia="zh-CN"/>
              </w:rPr>
              <w:t>由前文工程分析可知，除尘器收集粉尘量约</w:t>
            </w:r>
            <w:r>
              <w:rPr>
                <w:rFonts w:hint="eastAsia"/>
                <w:color w:val="auto"/>
                <w:spacing w:val="0"/>
                <w:position w:val="0"/>
                <w:sz w:val="24"/>
                <w:highlight w:val="none"/>
                <w:lang w:val="en-US" w:eastAsia="zh-CN"/>
              </w:rPr>
              <w:t>10.6</w:t>
            </w:r>
            <w:r>
              <w:rPr>
                <w:rFonts w:hint="eastAsia"/>
                <w:color w:val="auto"/>
                <w:spacing w:val="0"/>
                <w:position w:val="0"/>
                <w:sz w:val="24"/>
                <w:highlight w:val="none"/>
                <w:lang w:eastAsia="zh-CN"/>
              </w:rPr>
              <w:t>t/a，</w:t>
            </w:r>
            <w:r>
              <w:rPr>
                <w:rFonts w:hint="eastAsia"/>
                <w:bCs/>
                <w:color w:val="auto"/>
                <w:sz w:val="24"/>
                <w:szCs w:val="24"/>
                <w:lang w:val="en-US" w:eastAsia="zh-CN"/>
              </w:rPr>
              <w:t>收集后</w:t>
            </w:r>
            <w:r>
              <w:rPr>
                <w:rFonts w:hint="eastAsia"/>
                <w:bCs/>
                <w:color w:val="auto"/>
                <w:sz w:val="24"/>
                <w:szCs w:val="24"/>
                <w:lang w:eastAsia="zh-CN"/>
              </w:rPr>
              <w:t>回用于生产</w:t>
            </w:r>
            <w:r>
              <w:rPr>
                <w:rFonts w:hint="eastAsia"/>
                <w:bCs/>
                <w:color w:val="auto"/>
                <w:sz w:val="24"/>
                <w:szCs w:val="24"/>
                <w:lang w:val="en-US" w:eastAsia="zh-CN"/>
              </w:rPr>
              <w:t>。</w:t>
            </w:r>
          </w:p>
          <w:p w14:paraId="21E2E87E">
            <w:pPr>
              <w:spacing w:line="360" w:lineRule="auto"/>
              <w:ind w:firstLine="480"/>
              <w:rPr>
                <w:color w:val="auto"/>
                <w:sz w:val="24"/>
                <w:szCs w:val="24"/>
              </w:rPr>
            </w:pPr>
            <w:r>
              <w:rPr>
                <w:rFonts w:hint="eastAsia"/>
                <w:b/>
                <w:bCs/>
                <w:color w:val="auto"/>
                <w:sz w:val="24"/>
                <w:szCs w:val="24"/>
              </w:rPr>
              <w:t>危险废物：</w:t>
            </w:r>
          </w:p>
          <w:p w14:paraId="51EEDE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szCs w:val="24"/>
                <w:lang w:val="en-US" w:eastAsia="zh-CN"/>
              </w:rPr>
            </w:pPr>
            <w:r>
              <w:rPr>
                <w:rFonts w:hint="eastAsia" w:cs="Times New Roman"/>
                <w:color w:val="auto"/>
                <w:sz w:val="24"/>
                <w:szCs w:val="24"/>
                <w:lang w:val="en-US" w:eastAsia="zh-CN"/>
              </w:rPr>
              <w:t>废机油、废机油桶：</w:t>
            </w:r>
            <w:r>
              <w:rPr>
                <w:rFonts w:hint="eastAsia"/>
                <w:color w:val="auto"/>
                <w:spacing w:val="0"/>
                <w:position w:val="0"/>
                <w:sz w:val="24"/>
                <w:highlight w:val="none"/>
                <w:lang w:eastAsia="zh-CN"/>
              </w:rPr>
              <w:t>项目对生产设进行备维修过程中会产生少量废机油和废机油桶，</w:t>
            </w:r>
            <w:r>
              <w:rPr>
                <w:rFonts w:hint="eastAsia"/>
                <w:bCs/>
                <w:color w:val="auto"/>
                <w:sz w:val="24"/>
                <w:szCs w:val="24"/>
              </w:rPr>
              <w:t>根据企业提供资料，</w:t>
            </w:r>
            <w:r>
              <w:rPr>
                <w:rFonts w:hint="eastAsia"/>
                <w:color w:val="auto"/>
                <w:spacing w:val="0"/>
                <w:position w:val="0"/>
                <w:sz w:val="24"/>
                <w:highlight w:val="none"/>
                <w:lang w:eastAsia="zh-CN"/>
              </w:rPr>
              <w:t>废机油量约0.</w:t>
            </w:r>
            <w:r>
              <w:rPr>
                <w:rFonts w:hint="eastAsia"/>
                <w:color w:val="auto"/>
                <w:spacing w:val="0"/>
                <w:position w:val="0"/>
                <w:sz w:val="24"/>
                <w:highlight w:val="none"/>
                <w:lang w:val="en-US" w:eastAsia="zh-CN"/>
              </w:rPr>
              <w:t>2</w:t>
            </w:r>
            <w:r>
              <w:rPr>
                <w:rFonts w:hint="eastAsia"/>
                <w:color w:val="auto"/>
                <w:spacing w:val="0"/>
                <w:position w:val="0"/>
                <w:sz w:val="24"/>
                <w:highlight w:val="none"/>
                <w:lang w:eastAsia="zh-CN"/>
              </w:rPr>
              <w:t>t/a，废机油桶量0.</w:t>
            </w:r>
            <w:r>
              <w:rPr>
                <w:rFonts w:hint="eastAsia"/>
                <w:color w:val="auto"/>
                <w:spacing w:val="0"/>
                <w:position w:val="0"/>
                <w:sz w:val="24"/>
                <w:highlight w:val="none"/>
                <w:lang w:val="en-US" w:eastAsia="zh-CN"/>
              </w:rPr>
              <w:t>02</w:t>
            </w:r>
            <w:r>
              <w:rPr>
                <w:rFonts w:hint="eastAsia"/>
                <w:color w:val="auto"/>
                <w:spacing w:val="0"/>
                <w:position w:val="0"/>
                <w:sz w:val="24"/>
                <w:highlight w:val="none"/>
                <w:lang w:eastAsia="zh-CN"/>
              </w:rPr>
              <w:t>t/a。</w:t>
            </w:r>
            <w:r>
              <w:rPr>
                <w:rFonts w:hint="default" w:ascii="Times New Roman" w:hAnsi="Times New Roman" w:cs="Times New Roman"/>
                <w:bCs/>
                <w:color w:val="auto"/>
                <w:sz w:val="24"/>
                <w:szCs w:val="24"/>
              </w:rPr>
              <w:t>根据《国家危险废物名录》（2021版）</w:t>
            </w:r>
            <w:r>
              <w:rPr>
                <w:rFonts w:hint="eastAsia" w:ascii="Times New Roman" w:hAnsi="Times New Roman" w:cs="Times New Roman"/>
                <w:bCs/>
                <w:color w:val="auto"/>
                <w:sz w:val="24"/>
                <w:szCs w:val="24"/>
                <w:lang w:eastAsia="zh-CN"/>
              </w:rPr>
              <w:t>，</w:t>
            </w:r>
            <w:r>
              <w:rPr>
                <w:rFonts w:hint="eastAsia"/>
                <w:color w:val="auto"/>
                <w:spacing w:val="0"/>
                <w:position w:val="0"/>
                <w:sz w:val="24"/>
                <w:highlight w:val="none"/>
                <w:lang w:eastAsia="zh-CN"/>
              </w:rPr>
              <w:t>废机油废物类别为HW08，危废代码为900-</w:t>
            </w:r>
            <w:r>
              <w:rPr>
                <w:rFonts w:hint="eastAsia"/>
                <w:color w:val="000000"/>
                <w:spacing w:val="0"/>
                <w:position w:val="0"/>
                <w:sz w:val="24"/>
                <w:highlight w:val="none"/>
                <w:lang w:eastAsia="zh-CN"/>
              </w:rPr>
              <w:t>21</w:t>
            </w:r>
            <w:r>
              <w:rPr>
                <w:rFonts w:hint="eastAsia"/>
                <w:color w:val="000000"/>
                <w:spacing w:val="0"/>
                <w:position w:val="0"/>
                <w:sz w:val="24"/>
                <w:highlight w:val="none"/>
                <w:lang w:val="en-US" w:eastAsia="zh-CN"/>
              </w:rPr>
              <w:t>7</w:t>
            </w:r>
            <w:r>
              <w:rPr>
                <w:rFonts w:hint="eastAsia"/>
                <w:color w:val="000000"/>
                <w:spacing w:val="0"/>
                <w:position w:val="0"/>
                <w:sz w:val="24"/>
                <w:highlight w:val="none"/>
                <w:lang w:eastAsia="zh-CN"/>
              </w:rPr>
              <w:t>-08；废机油桶废物类别为HW</w:t>
            </w:r>
            <w:r>
              <w:rPr>
                <w:rFonts w:hint="eastAsia"/>
                <w:color w:val="000000"/>
                <w:spacing w:val="0"/>
                <w:position w:val="0"/>
                <w:sz w:val="24"/>
                <w:highlight w:val="none"/>
                <w:lang w:val="en-US" w:eastAsia="zh-CN"/>
              </w:rPr>
              <w:t>08</w:t>
            </w:r>
            <w:r>
              <w:rPr>
                <w:rFonts w:hint="eastAsia"/>
                <w:color w:val="000000"/>
                <w:spacing w:val="0"/>
                <w:position w:val="0"/>
                <w:sz w:val="24"/>
                <w:highlight w:val="none"/>
                <w:lang w:eastAsia="zh-CN"/>
              </w:rPr>
              <w:t>，</w:t>
            </w:r>
            <w:r>
              <w:rPr>
                <w:rFonts w:hint="eastAsia" w:ascii="Times New Roman" w:hAnsi="Times New Roman" w:eastAsia="宋体" w:cs="Times New Roman"/>
                <w:color w:val="000000"/>
                <w:spacing w:val="0"/>
                <w:position w:val="0"/>
                <w:sz w:val="24"/>
                <w:highlight w:val="none"/>
                <w:lang w:val="en-US" w:eastAsia="zh-CN"/>
              </w:rPr>
              <w:t>危废代码为900-249-08</w:t>
            </w:r>
            <w:r>
              <w:rPr>
                <w:rFonts w:hint="eastAsia"/>
                <w:color w:val="000000"/>
                <w:spacing w:val="0"/>
                <w:position w:val="0"/>
                <w:sz w:val="24"/>
                <w:highlight w:val="none"/>
                <w:lang w:eastAsia="zh-CN"/>
              </w:rPr>
              <w:t>。</w:t>
            </w:r>
            <w:r>
              <w:rPr>
                <w:rFonts w:hint="eastAsia" w:cs="Times New Roman"/>
                <w:bCs/>
                <w:sz w:val="24"/>
                <w:szCs w:val="24"/>
                <w:highlight w:val="none"/>
                <w:lang w:eastAsia="zh-CN"/>
              </w:rPr>
              <w:t>收集后</w:t>
            </w:r>
            <w:r>
              <w:rPr>
                <w:rFonts w:hint="default" w:ascii="Times New Roman" w:hAnsi="Times New Roman" w:cs="Times New Roman"/>
                <w:sz w:val="24"/>
                <w:szCs w:val="24"/>
              </w:rPr>
              <w:t>暂存于危废</w:t>
            </w:r>
            <w:r>
              <w:rPr>
                <w:rFonts w:hint="eastAsia" w:cs="Times New Roman"/>
                <w:sz w:val="24"/>
                <w:szCs w:val="24"/>
                <w:lang w:eastAsia="zh-CN"/>
              </w:rPr>
              <w:t>暂存</w:t>
            </w:r>
            <w:r>
              <w:rPr>
                <w:rFonts w:hint="default" w:ascii="Times New Roman" w:hAnsi="Times New Roman" w:cs="Times New Roman"/>
                <w:sz w:val="24"/>
                <w:szCs w:val="24"/>
              </w:rPr>
              <w:t>间，定期交由</w:t>
            </w:r>
            <w:r>
              <w:rPr>
                <w:rFonts w:hint="eastAsia" w:cs="Times New Roman"/>
                <w:bCs/>
                <w:sz w:val="24"/>
                <w:lang w:eastAsia="zh-CN"/>
              </w:rPr>
              <w:t>资质</w:t>
            </w:r>
            <w:r>
              <w:rPr>
                <w:rFonts w:hint="default" w:ascii="Times New Roman" w:hAnsi="Times New Roman" w:cs="Times New Roman"/>
                <w:bCs/>
                <w:sz w:val="24"/>
              </w:rPr>
              <w:t>单位</w:t>
            </w:r>
            <w:r>
              <w:rPr>
                <w:rFonts w:hint="eastAsia" w:cs="Times New Roman"/>
                <w:bCs/>
                <w:sz w:val="24"/>
                <w:lang w:eastAsia="zh-CN"/>
              </w:rPr>
              <w:t>处理。</w:t>
            </w:r>
          </w:p>
          <w:p w14:paraId="305D79FB">
            <w:pPr>
              <w:spacing w:line="240" w:lineRule="auto"/>
              <w:ind w:firstLine="480" w:firstLineChars="200"/>
              <w:jc w:val="center"/>
              <w:rPr>
                <w:rFonts w:hAnsi="宋体"/>
                <w:b/>
                <w:snapToGrid w:val="0"/>
                <w:color w:val="auto"/>
                <w:kern w:val="24"/>
                <w:sz w:val="21"/>
                <w:szCs w:val="21"/>
              </w:rPr>
            </w:pPr>
            <w:r>
              <w:rPr>
                <w:rFonts w:hint="eastAsia" w:cs="Times New Roman"/>
                <w:color w:val="auto"/>
                <w:sz w:val="24"/>
                <w:szCs w:val="24"/>
                <w:lang w:val="en-US" w:eastAsia="zh-CN"/>
              </w:rPr>
              <w:t xml:space="preserve"> </w:t>
            </w:r>
            <w:r>
              <w:rPr>
                <w:rFonts w:hint="eastAsia" w:hAnsi="宋体"/>
                <w:b/>
                <w:snapToGrid w:val="0"/>
                <w:color w:val="auto"/>
                <w:kern w:val="24"/>
                <w:sz w:val="21"/>
                <w:szCs w:val="21"/>
              </w:rPr>
              <w:t>表4-</w:t>
            </w:r>
            <w:r>
              <w:rPr>
                <w:rFonts w:hint="eastAsia" w:hAnsi="宋体"/>
                <w:b/>
                <w:snapToGrid w:val="0"/>
                <w:color w:val="auto"/>
                <w:kern w:val="24"/>
                <w:sz w:val="21"/>
                <w:szCs w:val="21"/>
                <w:lang w:val="en-US" w:eastAsia="zh-CN"/>
              </w:rPr>
              <w:t xml:space="preserve">14 </w:t>
            </w:r>
            <w:r>
              <w:rPr>
                <w:rFonts w:hint="eastAsia" w:hAnsi="宋体"/>
                <w:b/>
                <w:snapToGrid w:val="0"/>
                <w:color w:val="auto"/>
                <w:kern w:val="24"/>
                <w:sz w:val="21"/>
                <w:szCs w:val="21"/>
              </w:rPr>
              <w:t>项目固废产生情况一览表</w:t>
            </w:r>
          </w:p>
          <w:tbl>
            <w:tblPr>
              <w:tblStyle w:val="25"/>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85"/>
              <w:gridCol w:w="510"/>
              <w:gridCol w:w="1200"/>
              <w:gridCol w:w="990"/>
              <w:gridCol w:w="600"/>
              <w:gridCol w:w="660"/>
              <w:gridCol w:w="780"/>
              <w:gridCol w:w="690"/>
              <w:gridCol w:w="903"/>
              <w:gridCol w:w="763"/>
            </w:tblGrid>
            <w:tr w14:paraId="1CC0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vAlign w:val="center"/>
                </w:tcPr>
                <w:p w14:paraId="59D4CF33">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产生环节</w:t>
                  </w:r>
                </w:p>
              </w:tc>
              <w:tc>
                <w:tcPr>
                  <w:tcW w:w="1185" w:type="dxa"/>
                  <w:vAlign w:val="center"/>
                </w:tcPr>
                <w:p w14:paraId="641167B5">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固废名称</w:t>
                  </w:r>
                </w:p>
              </w:tc>
              <w:tc>
                <w:tcPr>
                  <w:tcW w:w="510" w:type="dxa"/>
                  <w:vAlign w:val="center"/>
                </w:tcPr>
                <w:p w14:paraId="3214C696">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固废类型</w:t>
                  </w:r>
                </w:p>
              </w:tc>
              <w:tc>
                <w:tcPr>
                  <w:tcW w:w="1200" w:type="dxa"/>
                  <w:vAlign w:val="center"/>
                </w:tcPr>
                <w:p w14:paraId="576073B2">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废物代码</w:t>
                  </w:r>
                </w:p>
              </w:tc>
              <w:tc>
                <w:tcPr>
                  <w:tcW w:w="990" w:type="dxa"/>
                  <w:vAlign w:val="center"/>
                </w:tcPr>
                <w:p w14:paraId="0CBC09C6">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主要有毒有害物质</w:t>
                  </w:r>
                </w:p>
              </w:tc>
              <w:tc>
                <w:tcPr>
                  <w:tcW w:w="600" w:type="dxa"/>
                  <w:vAlign w:val="center"/>
                </w:tcPr>
                <w:p w14:paraId="71204048">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物理性状</w:t>
                  </w:r>
                </w:p>
              </w:tc>
              <w:tc>
                <w:tcPr>
                  <w:tcW w:w="660" w:type="dxa"/>
                  <w:vAlign w:val="center"/>
                </w:tcPr>
                <w:p w14:paraId="696C9694">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危险特性</w:t>
                  </w:r>
                </w:p>
              </w:tc>
              <w:tc>
                <w:tcPr>
                  <w:tcW w:w="780" w:type="dxa"/>
                  <w:vAlign w:val="center"/>
                </w:tcPr>
                <w:p w14:paraId="2BAFEDEB">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产生量t/a</w:t>
                  </w:r>
                </w:p>
              </w:tc>
              <w:tc>
                <w:tcPr>
                  <w:tcW w:w="690" w:type="dxa"/>
                  <w:vAlign w:val="center"/>
                </w:tcPr>
                <w:p w14:paraId="5761ECF3">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贮存方式</w:t>
                  </w:r>
                </w:p>
              </w:tc>
              <w:tc>
                <w:tcPr>
                  <w:tcW w:w="903" w:type="dxa"/>
                  <w:vAlign w:val="center"/>
                </w:tcPr>
                <w:p w14:paraId="5F6267F3">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snapToGrid w:val="0"/>
                      <w:color w:val="auto"/>
                      <w:kern w:val="24"/>
                      <w:szCs w:val="21"/>
                    </w:rPr>
                    <w:t>处置方式</w:t>
                  </w:r>
                </w:p>
              </w:tc>
              <w:tc>
                <w:tcPr>
                  <w:tcW w:w="763" w:type="dxa"/>
                  <w:vAlign w:val="center"/>
                </w:tcPr>
                <w:p w14:paraId="08EAB64C">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eastAsia"/>
                      <w:snapToGrid w:val="0"/>
                      <w:color w:val="auto"/>
                      <w:kern w:val="24"/>
                      <w:szCs w:val="21"/>
                    </w:rPr>
                    <w:t>处置量</w:t>
                  </w:r>
                  <w:r>
                    <w:rPr>
                      <w:snapToGrid w:val="0"/>
                      <w:color w:val="auto"/>
                      <w:kern w:val="24"/>
                      <w:szCs w:val="21"/>
                    </w:rPr>
                    <w:t>t/a</w:t>
                  </w:r>
                </w:p>
              </w:tc>
            </w:tr>
            <w:tr w14:paraId="704B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vAlign w:val="center"/>
                </w:tcPr>
                <w:p w14:paraId="3CF266A5">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snapToGrid w:val="0"/>
                      <w:kern w:val="24"/>
                      <w:szCs w:val="21"/>
                    </w:rPr>
                  </w:pPr>
                  <w:r>
                    <w:rPr>
                      <w:snapToGrid w:val="0"/>
                      <w:kern w:val="24"/>
                      <w:szCs w:val="21"/>
                    </w:rPr>
                    <w:t>办公生活</w:t>
                  </w:r>
                </w:p>
              </w:tc>
              <w:tc>
                <w:tcPr>
                  <w:tcW w:w="1185" w:type="dxa"/>
                  <w:tcBorders>
                    <w:bottom w:val="single" w:color="auto" w:sz="4" w:space="0"/>
                  </w:tcBorders>
                  <w:vAlign w:val="center"/>
                </w:tcPr>
                <w:p w14:paraId="3E7B382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snapToGrid w:val="0"/>
                      <w:kern w:val="24"/>
                      <w:szCs w:val="21"/>
                    </w:rPr>
                  </w:pPr>
                  <w:r>
                    <w:rPr>
                      <w:snapToGrid w:val="0"/>
                      <w:kern w:val="24"/>
                      <w:szCs w:val="21"/>
                    </w:rPr>
                    <w:t>生活垃圾</w:t>
                  </w:r>
                </w:p>
              </w:tc>
              <w:tc>
                <w:tcPr>
                  <w:tcW w:w="510" w:type="dxa"/>
                  <w:vMerge w:val="restart"/>
                  <w:vAlign w:val="center"/>
                </w:tcPr>
                <w:p w14:paraId="0B012780">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r>
                    <w:rPr>
                      <w:snapToGrid w:val="0"/>
                      <w:kern w:val="24"/>
                      <w:szCs w:val="21"/>
                    </w:rPr>
                    <w:t>一般固废</w:t>
                  </w:r>
                </w:p>
              </w:tc>
              <w:tc>
                <w:tcPr>
                  <w:tcW w:w="1200" w:type="dxa"/>
                  <w:vAlign w:val="center"/>
                </w:tcPr>
                <w:p w14:paraId="4D91BC32">
                  <w:pPr>
                    <w:keepNext w:val="0"/>
                    <w:keepLines w:val="0"/>
                    <w:pageBreakBefore w:val="0"/>
                    <w:widowControl w:val="0"/>
                    <w:kinsoku/>
                    <w:wordWrap/>
                    <w:overflowPunct/>
                    <w:topLinePunct w:val="0"/>
                    <w:bidi w:val="0"/>
                    <w:snapToGrid/>
                    <w:ind w:left="-105" w:leftChars="-50" w:right="-105" w:rightChars="-50"/>
                    <w:jc w:val="center"/>
                    <w:textAlignment w:val="auto"/>
                    <w:rPr>
                      <w:snapToGrid w:val="0"/>
                      <w:color w:val="auto"/>
                      <w:kern w:val="24"/>
                      <w:szCs w:val="21"/>
                    </w:rPr>
                  </w:pPr>
                  <w:r>
                    <w:rPr>
                      <w:rFonts w:hint="default" w:ascii="Times New Roman" w:hAnsi="Times New Roman" w:eastAsia="宋体" w:cs="Times New Roman"/>
                      <w:color w:val="auto"/>
                      <w:szCs w:val="21"/>
                      <w:lang w:val="en-US" w:eastAsia="zh-CN"/>
                    </w:rPr>
                    <w:t>900-</w:t>
                  </w:r>
                  <w:r>
                    <w:rPr>
                      <w:rFonts w:hint="eastAsia" w:cs="Times New Roman"/>
                      <w:color w:val="auto"/>
                      <w:szCs w:val="21"/>
                      <w:lang w:val="en-US" w:eastAsia="zh-CN"/>
                    </w:rPr>
                    <w:t>099</w:t>
                  </w: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S64</w:t>
                  </w:r>
                </w:p>
              </w:tc>
              <w:tc>
                <w:tcPr>
                  <w:tcW w:w="990" w:type="dxa"/>
                  <w:vAlign w:val="center"/>
                </w:tcPr>
                <w:p w14:paraId="05F79A4D">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600" w:type="dxa"/>
                  <w:vAlign w:val="center"/>
                </w:tcPr>
                <w:p w14:paraId="61FDB7BC">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固</w:t>
                  </w:r>
                </w:p>
              </w:tc>
              <w:tc>
                <w:tcPr>
                  <w:tcW w:w="660" w:type="dxa"/>
                  <w:vAlign w:val="center"/>
                </w:tcPr>
                <w:p w14:paraId="08CB7B2D">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780" w:type="dxa"/>
                  <w:vAlign w:val="center"/>
                </w:tcPr>
                <w:p w14:paraId="288A2095">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kern w:val="24"/>
                      <w:szCs w:val="21"/>
                      <w:lang w:val="en-US" w:eastAsia="zh-CN"/>
                    </w:rPr>
                  </w:pPr>
                  <w:r>
                    <w:rPr>
                      <w:rFonts w:hint="eastAsia"/>
                      <w:snapToGrid w:val="0"/>
                      <w:kern w:val="24"/>
                      <w:szCs w:val="21"/>
                      <w:lang w:val="en-US" w:eastAsia="zh-CN"/>
                    </w:rPr>
                    <w:t>12</w:t>
                  </w:r>
                </w:p>
              </w:tc>
              <w:tc>
                <w:tcPr>
                  <w:tcW w:w="690" w:type="dxa"/>
                  <w:vAlign w:val="center"/>
                </w:tcPr>
                <w:p w14:paraId="1E2EA822">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rFonts w:hint="eastAsia"/>
                      <w:snapToGrid w:val="0"/>
                      <w:kern w:val="24"/>
                      <w:szCs w:val="21"/>
                    </w:rPr>
                    <w:t>垃圾桶</w:t>
                  </w:r>
                </w:p>
              </w:tc>
              <w:tc>
                <w:tcPr>
                  <w:tcW w:w="903" w:type="dxa"/>
                  <w:vAlign w:val="center"/>
                </w:tcPr>
                <w:p w14:paraId="11A0370C">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rFonts w:hint="eastAsia"/>
                      <w:snapToGrid w:val="0"/>
                      <w:kern w:val="24"/>
                      <w:szCs w:val="21"/>
                    </w:rPr>
                    <w:t>环卫清运</w:t>
                  </w:r>
                </w:p>
              </w:tc>
              <w:tc>
                <w:tcPr>
                  <w:tcW w:w="763" w:type="dxa"/>
                  <w:vAlign w:val="center"/>
                </w:tcPr>
                <w:p w14:paraId="1A137E6D">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snapToGrid w:val="0"/>
                      <w:kern w:val="24"/>
                      <w:sz w:val="21"/>
                      <w:szCs w:val="21"/>
                      <w:lang w:val="en-US" w:eastAsia="zh-CN" w:bidi="ar-SA"/>
                    </w:rPr>
                  </w:pPr>
                  <w:r>
                    <w:rPr>
                      <w:rFonts w:hint="eastAsia"/>
                      <w:snapToGrid w:val="0"/>
                      <w:kern w:val="24"/>
                      <w:szCs w:val="21"/>
                      <w:lang w:val="en-US" w:eastAsia="zh-CN"/>
                    </w:rPr>
                    <w:t>12</w:t>
                  </w:r>
                </w:p>
              </w:tc>
            </w:tr>
            <w:tr w14:paraId="2A27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56" w:type="dxa"/>
                  <w:vAlign w:val="center"/>
                </w:tcPr>
                <w:p w14:paraId="626C5E50">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kern w:val="2"/>
                      <w:lang w:eastAsia="zh-CN"/>
                    </w:rPr>
                  </w:pPr>
                  <w:r>
                    <w:rPr>
                      <w:rFonts w:hint="eastAsia"/>
                      <w:snapToGrid w:val="0"/>
                      <w:kern w:val="24"/>
                      <w:szCs w:val="21"/>
                      <w:lang w:eastAsia="zh-CN"/>
                    </w:rPr>
                    <w:t>除磁</w:t>
                  </w:r>
                </w:p>
              </w:tc>
              <w:tc>
                <w:tcPr>
                  <w:tcW w:w="1185" w:type="dxa"/>
                  <w:tcBorders>
                    <w:top w:val="single" w:color="auto" w:sz="4" w:space="0"/>
                    <w:bottom w:val="single" w:color="auto" w:sz="4" w:space="0"/>
                  </w:tcBorders>
                  <w:vAlign w:val="center"/>
                </w:tcPr>
                <w:p w14:paraId="2DADC88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snapToGrid w:val="0"/>
                      <w:kern w:val="24"/>
                      <w:szCs w:val="21"/>
                      <w:lang w:eastAsia="zh-CN"/>
                    </w:rPr>
                    <w:t>废铁屑</w:t>
                  </w:r>
                </w:p>
              </w:tc>
              <w:tc>
                <w:tcPr>
                  <w:tcW w:w="510" w:type="dxa"/>
                  <w:vMerge w:val="continue"/>
                  <w:vAlign w:val="center"/>
                </w:tcPr>
                <w:p w14:paraId="62B9E934">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1200" w:type="dxa"/>
                  <w:vAlign w:val="center"/>
                </w:tcPr>
                <w:p w14:paraId="3DC1EDFA">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w:t>
                  </w:r>
                  <w:r>
                    <w:rPr>
                      <w:rFonts w:hint="eastAsia" w:cs="Times New Roman"/>
                      <w:color w:val="auto"/>
                      <w:szCs w:val="21"/>
                      <w:lang w:val="en-US" w:eastAsia="zh-CN"/>
                    </w:rPr>
                    <w:t>0</w:t>
                  </w:r>
                  <w:r>
                    <w:rPr>
                      <w:rFonts w:hint="default" w:ascii="Times New Roman" w:hAnsi="Times New Roman" w:eastAsia="宋体" w:cs="Times New Roman"/>
                      <w:color w:val="auto"/>
                      <w:szCs w:val="21"/>
                      <w:lang w:val="en-US" w:eastAsia="zh-CN"/>
                    </w:rPr>
                    <w:t>99-</w:t>
                  </w:r>
                  <w:r>
                    <w:rPr>
                      <w:rFonts w:hint="eastAsia" w:cs="Times New Roman"/>
                      <w:color w:val="auto"/>
                      <w:szCs w:val="21"/>
                      <w:lang w:val="en-US" w:eastAsia="zh-CN"/>
                    </w:rPr>
                    <w:t>S59</w:t>
                  </w:r>
                </w:p>
              </w:tc>
              <w:tc>
                <w:tcPr>
                  <w:tcW w:w="990" w:type="dxa"/>
                  <w:vAlign w:val="center"/>
                </w:tcPr>
                <w:p w14:paraId="34229DFD">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600" w:type="dxa"/>
                  <w:vAlign w:val="center"/>
                </w:tcPr>
                <w:p w14:paraId="326BC253">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固</w:t>
                  </w:r>
                </w:p>
              </w:tc>
              <w:tc>
                <w:tcPr>
                  <w:tcW w:w="660" w:type="dxa"/>
                  <w:vAlign w:val="center"/>
                </w:tcPr>
                <w:p w14:paraId="15CAC85F">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780" w:type="dxa"/>
                  <w:vAlign w:val="center"/>
                </w:tcPr>
                <w:p w14:paraId="1ED795EE">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45</w:t>
                  </w:r>
                </w:p>
              </w:tc>
              <w:tc>
                <w:tcPr>
                  <w:tcW w:w="690" w:type="dxa"/>
                  <w:vMerge w:val="restart"/>
                  <w:vAlign w:val="center"/>
                </w:tcPr>
                <w:p w14:paraId="5215E2A3">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rPr>
                  </w:pPr>
                  <w:r>
                    <w:rPr>
                      <w:rFonts w:hint="eastAsia"/>
                      <w:snapToGrid w:val="0"/>
                      <w:kern w:val="24"/>
                      <w:szCs w:val="21"/>
                    </w:rPr>
                    <w:t>一般固废暂存间</w:t>
                  </w:r>
                </w:p>
              </w:tc>
              <w:tc>
                <w:tcPr>
                  <w:tcW w:w="903" w:type="dxa"/>
                  <w:vMerge w:val="restart"/>
                  <w:vAlign w:val="center"/>
                </w:tcPr>
                <w:p w14:paraId="723464C2">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kern w:val="24"/>
                      <w:szCs w:val="21"/>
                      <w:lang w:eastAsia="zh-CN"/>
                    </w:rPr>
                  </w:pPr>
                  <w:r>
                    <w:rPr>
                      <w:rFonts w:hint="eastAsia"/>
                      <w:snapToGrid w:val="0"/>
                      <w:kern w:val="24"/>
                      <w:szCs w:val="21"/>
                      <w:lang w:eastAsia="zh-CN"/>
                    </w:rPr>
                    <w:t>由物资公司回收利用</w:t>
                  </w:r>
                </w:p>
              </w:tc>
              <w:tc>
                <w:tcPr>
                  <w:tcW w:w="763" w:type="dxa"/>
                  <w:vAlign w:val="center"/>
                </w:tcPr>
                <w:p w14:paraId="0874003B">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val="en-US" w:eastAsia="zh-CN"/>
                    </w:rPr>
                  </w:pPr>
                  <w:r>
                    <w:rPr>
                      <w:rFonts w:hint="eastAsia"/>
                      <w:snapToGrid w:val="0"/>
                      <w:color w:val="auto"/>
                      <w:kern w:val="24"/>
                      <w:szCs w:val="21"/>
                      <w:lang w:val="en-US" w:eastAsia="zh-CN"/>
                    </w:rPr>
                    <w:t>45</w:t>
                  </w:r>
                </w:p>
              </w:tc>
            </w:tr>
            <w:tr w14:paraId="3B53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56" w:type="dxa"/>
                  <w:vAlign w:val="center"/>
                </w:tcPr>
                <w:p w14:paraId="26235D61">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napToGrid w:val="0"/>
                      <w:kern w:val="24"/>
                      <w:szCs w:val="21"/>
                      <w:lang w:eastAsia="zh-CN"/>
                    </w:rPr>
                  </w:pPr>
                  <w:r>
                    <w:rPr>
                      <w:rFonts w:hint="eastAsia"/>
                      <w:lang w:eastAsia="zh-CN"/>
                    </w:rPr>
                    <w:t>制氮</w:t>
                  </w:r>
                </w:p>
              </w:tc>
              <w:tc>
                <w:tcPr>
                  <w:tcW w:w="1185" w:type="dxa"/>
                  <w:tcBorders>
                    <w:top w:val="single" w:color="auto" w:sz="4" w:space="0"/>
                    <w:bottom w:val="single" w:color="auto" w:sz="4" w:space="0"/>
                  </w:tcBorders>
                  <w:vAlign w:val="center"/>
                </w:tcPr>
                <w:p w14:paraId="4FD5F96B">
                  <w:pPr>
                    <w:pStyle w:val="4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napToGrid w:val="0"/>
                      <w:kern w:val="24"/>
                      <w:szCs w:val="21"/>
                      <w:lang w:eastAsia="zh-CN"/>
                    </w:rPr>
                  </w:pPr>
                  <w:r>
                    <w:rPr>
                      <w:rFonts w:hint="eastAsia"/>
                      <w:lang w:eastAsia="zh-CN"/>
                    </w:rPr>
                    <w:t>废分子筛</w:t>
                  </w:r>
                </w:p>
              </w:tc>
              <w:tc>
                <w:tcPr>
                  <w:tcW w:w="510" w:type="dxa"/>
                  <w:vMerge w:val="continue"/>
                  <w:vAlign w:val="center"/>
                </w:tcPr>
                <w:p w14:paraId="3B00CDC2">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1200" w:type="dxa"/>
                  <w:vAlign w:val="center"/>
                </w:tcPr>
                <w:p w14:paraId="15B7DC79">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w:t>
                  </w:r>
                  <w:r>
                    <w:rPr>
                      <w:rFonts w:hint="eastAsia" w:cs="Times New Roman"/>
                      <w:color w:val="auto"/>
                      <w:szCs w:val="21"/>
                      <w:lang w:val="en-US" w:eastAsia="zh-CN"/>
                    </w:rPr>
                    <w:t>0</w:t>
                  </w:r>
                  <w:r>
                    <w:rPr>
                      <w:rFonts w:hint="default" w:ascii="Times New Roman" w:hAnsi="Times New Roman" w:eastAsia="宋体" w:cs="Times New Roman"/>
                      <w:color w:val="auto"/>
                      <w:szCs w:val="21"/>
                      <w:lang w:val="en-US" w:eastAsia="zh-CN"/>
                    </w:rPr>
                    <w:t>99-</w:t>
                  </w:r>
                  <w:r>
                    <w:rPr>
                      <w:rFonts w:hint="eastAsia" w:cs="Times New Roman"/>
                      <w:color w:val="auto"/>
                      <w:szCs w:val="21"/>
                      <w:lang w:val="en-US" w:eastAsia="zh-CN"/>
                    </w:rPr>
                    <w:t>S59</w:t>
                  </w:r>
                </w:p>
              </w:tc>
              <w:tc>
                <w:tcPr>
                  <w:tcW w:w="990" w:type="dxa"/>
                  <w:vAlign w:val="center"/>
                </w:tcPr>
                <w:p w14:paraId="170803A4">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600" w:type="dxa"/>
                  <w:vAlign w:val="center"/>
                </w:tcPr>
                <w:p w14:paraId="3F627FDE">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固</w:t>
                  </w:r>
                </w:p>
              </w:tc>
              <w:tc>
                <w:tcPr>
                  <w:tcW w:w="660" w:type="dxa"/>
                  <w:vAlign w:val="center"/>
                </w:tcPr>
                <w:p w14:paraId="3CB74831">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780" w:type="dxa"/>
                  <w:vAlign w:val="center"/>
                </w:tcPr>
                <w:p w14:paraId="542EAA8C">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0.2</w:t>
                  </w:r>
                </w:p>
              </w:tc>
              <w:tc>
                <w:tcPr>
                  <w:tcW w:w="690" w:type="dxa"/>
                  <w:vMerge w:val="continue"/>
                  <w:vAlign w:val="center"/>
                </w:tcPr>
                <w:p w14:paraId="431FA94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rPr>
                  </w:pPr>
                </w:p>
              </w:tc>
              <w:tc>
                <w:tcPr>
                  <w:tcW w:w="903" w:type="dxa"/>
                  <w:vMerge w:val="continue"/>
                  <w:vAlign w:val="center"/>
                </w:tcPr>
                <w:p w14:paraId="13E08499">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763" w:type="dxa"/>
                  <w:vAlign w:val="center"/>
                </w:tcPr>
                <w:p w14:paraId="73F88D48">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0.2</w:t>
                  </w:r>
                </w:p>
              </w:tc>
            </w:tr>
            <w:tr w14:paraId="2461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56" w:type="dxa"/>
                  <w:vAlign w:val="center"/>
                </w:tcPr>
                <w:p w14:paraId="696F48E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纯水制备</w:t>
                  </w:r>
                </w:p>
              </w:tc>
              <w:tc>
                <w:tcPr>
                  <w:tcW w:w="1185" w:type="dxa"/>
                  <w:tcBorders>
                    <w:top w:val="single" w:color="auto" w:sz="4" w:space="0"/>
                    <w:bottom w:val="single" w:color="auto" w:sz="4" w:space="0"/>
                  </w:tcBorders>
                  <w:vAlign w:val="center"/>
                </w:tcPr>
                <w:p w14:paraId="22107E7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废离子交换树脂</w:t>
                  </w:r>
                </w:p>
              </w:tc>
              <w:tc>
                <w:tcPr>
                  <w:tcW w:w="510" w:type="dxa"/>
                  <w:vMerge w:val="continue"/>
                  <w:vAlign w:val="center"/>
                </w:tcPr>
                <w:p w14:paraId="1804080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1200" w:type="dxa"/>
                  <w:vAlign w:val="center"/>
                </w:tcPr>
                <w:p w14:paraId="7A2F9A45">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w:t>
                  </w:r>
                  <w:r>
                    <w:rPr>
                      <w:rFonts w:hint="eastAsia" w:cs="Times New Roman"/>
                      <w:color w:val="auto"/>
                      <w:szCs w:val="21"/>
                      <w:lang w:val="en-US" w:eastAsia="zh-CN"/>
                    </w:rPr>
                    <w:t>0</w:t>
                  </w:r>
                  <w:r>
                    <w:rPr>
                      <w:rFonts w:hint="eastAsia" w:ascii="Times New Roman" w:hAnsi="Times New Roman" w:eastAsia="宋体" w:cs="Times New Roman"/>
                      <w:color w:val="auto"/>
                      <w:szCs w:val="21"/>
                      <w:lang w:val="en-US" w:eastAsia="zh-CN"/>
                    </w:rPr>
                    <w:t>08</w:t>
                  </w: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S59</w:t>
                  </w:r>
                </w:p>
              </w:tc>
              <w:tc>
                <w:tcPr>
                  <w:tcW w:w="990" w:type="dxa"/>
                  <w:vAlign w:val="center"/>
                </w:tcPr>
                <w:p w14:paraId="459F67FB">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600" w:type="dxa"/>
                  <w:vAlign w:val="center"/>
                </w:tcPr>
                <w:p w14:paraId="46FF431C">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固</w:t>
                  </w:r>
                </w:p>
              </w:tc>
              <w:tc>
                <w:tcPr>
                  <w:tcW w:w="660" w:type="dxa"/>
                  <w:vAlign w:val="center"/>
                </w:tcPr>
                <w:p w14:paraId="4C4E506D">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780" w:type="dxa"/>
                  <w:vAlign w:val="center"/>
                </w:tcPr>
                <w:p w14:paraId="45310F85">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0.1</w:t>
                  </w:r>
                </w:p>
              </w:tc>
              <w:tc>
                <w:tcPr>
                  <w:tcW w:w="690" w:type="dxa"/>
                  <w:vMerge w:val="continue"/>
                  <w:vAlign w:val="center"/>
                </w:tcPr>
                <w:p w14:paraId="210AC560">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rPr>
                  </w:pPr>
                </w:p>
              </w:tc>
              <w:tc>
                <w:tcPr>
                  <w:tcW w:w="903" w:type="dxa"/>
                  <w:vMerge w:val="continue"/>
                  <w:vAlign w:val="center"/>
                </w:tcPr>
                <w:p w14:paraId="79C2DE3A">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763" w:type="dxa"/>
                  <w:vAlign w:val="center"/>
                </w:tcPr>
                <w:p w14:paraId="0BA0742C">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val="en-US" w:eastAsia="zh-CN"/>
                    </w:rPr>
                  </w:pPr>
                  <w:r>
                    <w:rPr>
                      <w:rFonts w:hint="eastAsia"/>
                      <w:snapToGrid w:val="0"/>
                      <w:color w:val="auto"/>
                      <w:kern w:val="24"/>
                      <w:szCs w:val="21"/>
                      <w:lang w:val="en-US" w:eastAsia="zh-CN"/>
                    </w:rPr>
                    <w:t>0.1</w:t>
                  </w:r>
                </w:p>
              </w:tc>
            </w:tr>
            <w:tr w14:paraId="1932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56" w:type="dxa"/>
                  <w:vAlign w:val="center"/>
                </w:tcPr>
                <w:p w14:paraId="074B5EE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废气处理</w:t>
                  </w:r>
                </w:p>
              </w:tc>
              <w:tc>
                <w:tcPr>
                  <w:tcW w:w="1185" w:type="dxa"/>
                  <w:tcBorders>
                    <w:top w:val="single" w:color="auto" w:sz="4" w:space="0"/>
                    <w:bottom w:val="single" w:color="auto" w:sz="4" w:space="0"/>
                  </w:tcBorders>
                  <w:vAlign w:val="center"/>
                </w:tcPr>
                <w:p w14:paraId="2921781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除尘灰</w:t>
                  </w:r>
                </w:p>
              </w:tc>
              <w:tc>
                <w:tcPr>
                  <w:tcW w:w="510" w:type="dxa"/>
                  <w:vMerge w:val="continue"/>
                  <w:vAlign w:val="center"/>
                </w:tcPr>
                <w:p w14:paraId="01A0361F">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1200" w:type="dxa"/>
                  <w:vAlign w:val="center"/>
                </w:tcPr>
                <w:p w14:paraId="0145423A">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900-</w:t>
                  </w:r>
                  <w:r>
                    <w:rPr>
                      <w:rFonts w:hint="eastAsia" w:cs="Times New Roman"/>
                      <w:color w:val="auto"/>
                      <w:szCs w:val="21"/>
                      <w:lang w:val="en-US" w:eastAsia="zh-CN"/>
                    </w:rPr>
                    <w:t>0</w:t>
                  </w:r>
                  <w:r>
                    <w:rPr>
                      <w:rFonts w:hint="default" w:ascii="Times New Roman" w:hAnsi="Times New Roman" w:eastAsia="宋体" w:cs="Times New Roman"/>
                      <w:color w:val="auto"/>
                      <w:szCs w:val="21"/>
                      <w:lang w:val="en-US" w:eastAsia="zh-CN"/>
                    </w:rPr>
                    <w:t>99-</w:t>
                  </w:r>
                  <w:r>
                    <w:rPr>
                      <w:rFonts w:hint="eastAsia" w:cs="Times New Roman"/>
                      <w:color w:val="auto"/>
                      <w:szCs w:val="21"/>
                      <w:lang w:val="en-US" w:eastAsia="zh-CN"/>
                    </w:rPr>
                    <w:t>S59</w:t>
                  </w:r>
                </w:p>
              </w:tc>
              <w:tc>
                <w:tcPr>
                  <w:tcW w:w="990" w:type="dxa"/>
                  <w:vAlign w:val="center"/>
                </w:tcPr>
                <w:p w14:paraId="4C45DAD2">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600" w:type="dxa"/>
                  <w:vAlign w:val="center"/>
                </w:tcPr>
                <w:p w14:paraId="7A173702">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固</w:t>
                  </w:r>
                </w:p>
              </w:tc>
              <w:tc>
                <w:tcPr>
                  <w:tcW w:w="660" w:type="dxa"/>
                  <w:vAlign w:val="center"/>
                </w:tcPr>
                <w:p w14:paraId="06B2EDA0">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Cs w:val="21"/>
                    </w:rPr>
                  </w:pPr>
                  <w:r>
                    <w:rPr>
                      <w:snapToGrid w:val="0"/>
                      <w:kern w:val="24"/>
                      <w:szCs w:val="21"/>
                    </w:rPr>
                    <w:t>/</w:t>
                  </w:r>
                </w:p>
              </w:tc>
              <w:tc>
                <w:tcPr>
                  <w:tcW w:w="780" w:type="dxa"/>
                  <w:vAlign w:val="center"/>
                </w:tcPr>
                <w:p w14:paraId="5FF9A9A6">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10.6</w:t>
                  </w:r>
                </w:p>
              </w:tc>
              <w:tc>
                <w:tcPr>
                  <w:tcW w:w="690" w:type="dxa"/>
                  <w:vMerge w:val="continue"/>
                  <w:vAlign w:val="center"/>
                </w:tcPr>
                <w:p w14:paraId="4CF6B91D">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rPr>
                  </w:pPr>
                </w:p>
              </w:tc>
              <w:tc>
                <w:tcPr>
                  <w:tcW w:w="903" w:type="dxa"/>
                  <w:vAlign w:val="center"/>
                </w:tcPr>
                <w:p w14:paraId="1F40E399">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Cs w:val="21"/>
                      <w:lang w:eastAsia="zh-CN"/>
                    </w:rPr>
                  </w:pPr>
                  <w:r>
                    <w:rPr>
                      <w:rFonts w:hint="eastAsia"/>
                      <w:snapToGrid w:val="0"/>
                      <w:color w:val="auto"/>
                      <w:kern w:val="24"/>
                      <w:szCs w:val="21"/>
                      <w:lang w:eastAsia="zh-CN"/>
                    </w:rPr>
                    <w:t>回用于生产</w:t>
                  </w:r>
                </w:p>
              </w:tc>
              <w:tc>
                <w:tcPr>
                  <w:tcW w:w="763" w:type="dxa"/>
                  <w:vAlign w:val="center"/>
                </w:tcPr>
                <w:p w14:paraId="45CA03AC">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10.6</w:t>
                  </w:r>
                </w:p>
              </w:tc>
            </w:tr>
            <w:tr w14:paraId="43E5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vMerge w:val="restart"/>
                  <w:vAlign w:val="center"/>
                </w:tcPr>
                <w:p w14:paraId="2EB8242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设备维修</w:t>
                  </w:r>
                </w:p>
              </w:tc>
              <w:tc>
                <w:tcPr>
                  <w:tcW w:w="1185" w:type="dxa"/>
                  <w:tcBorders>
                    <w:top w:val="single" w:color="auto" w:sz="4" w:space="0"/>
                    <w:bottom w:val="single" w:color="auto" w:sz="4" w:space="0"/>
                  </w:tcBorders>
                  <w:vAlign w:val="center"/>
                </w:tcPr>
                <w:p w14:paraId="23C95A5E">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eastAsia="宋体"/>
                      <w:snapToGrid w:val="0"/>
                      <w:kern w:val="24"/>
                      <w:szCs w:val="21"/>
                      <w:lang w:eastAsia="zh-CN"/>
                    </w:rPr>
                  </w:pPr>
                  <w:r>
                    <w:rPr>
                      <w:rFonts w:hint="eastAsia"/>
                      <w:snapToGrid w:val="0"/>
                      <w:kern w:val="24"/>
                      <w:szCs w:val="21"/>
                      <w:lang w:eastAsia="zh-CN"/>
                    </w:rPr>
                    <w:t>废机油</w:t>
                  </w:r>
                </w:p>
              </w:tc>
              <w:tc>
                <w:tcPr>
                  <w:tcW w:w="510" w:type="dxa"/>
                  <w:vMerge w:val="restart"/>
                  <w:vAlign w:val="center"/>
                </w:tcPr>
                <w:p w14:paraId="109AB44B">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kern w:val="24"/>
                      <w:szCs w:val="21"/>
                      <w:lang w:eastAsia="zh-CN"/>
                    </w:rPr>
                  </w:pPr>
                  <w:r>
                    <w:rPr>
                      <w:rFonts w:hint="eastAsia"/>
                      <w:snapToGrid w:val="0"/>
                      <w:kern w:val="24"/>
                      <w:szCs w:val="21"/>
                    </w:rPr>
                    <w:t>危险废物</w:t>
                  </w:r>
                </w:p>
              </w:tc>
              <w:tc>
                <w:tcPr>
                  <w:tcW w:w="1200" w:type="dxa"/>
                  <w:vAlign w:val="center"/>
                </w:tcPr>
                <w:p w14:paraId="1D753DE5">
                  <w:pPr>
                    <w:pStyle w:val="31"/>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firstLine="0" w:firstLineChars="0"/>
                    <w:jc w:val="center"/>
                    <w:textAlignment w:val="auto"/>
                    <w:rPr>
                      <w:rFonts w:ascii="Times New Roman" w:cs="Times New Roman"/>
                      <w:b w:val="0"/>
                      <w:color w:val="000000"/>
                      <w:spacing w:val="0"/>
                      <w:position w:val="0"/>
                      <w:sz w:val="21"/>
                      <w:szCs w:val="21"/>
                      <w:highlight w:val="none"/>
                    </w:rPr>
                  </w:pPr>
                  <w:r>
                    <w:rPr>
                      <w:rFonts w:hint="default" w:ascii="Times New Roman" w:hAnsi="Times New Roman" w:eastAsia="宋体" w:cs="Times New Roman"/>
                      <w:b w:val="0"/>
                      <w:bCs/>
                      <w:color w:val="000000"/>
                      <w:spacing w:val="0"/>
                      <w:position w:val="0"/>
                      <w:sz w:val="21"/>
                      <w:szCs w:val="21"/>
                      <w:highlight w:val="none"/>
                      <w:vertAlign w:val="baseline"/>
                    </w:rPr>
                    <w:t>HW08</w:t>
                  </w:r>
                </w:p>
                <w:p w14:paraId="7233E72F">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snapToGrid w:val="0"/>
                      <w:kern w:val="24"/>
                      <w:szCs w:val="21"/>
                      <w:lang w:val="en-US"/>
                    </w:rPr>
                  </w:pPr>
                  <w:r>
                    <w:rPr>
                      <w:rFonts w:hint="eastAsia"/>
                      <w:color w:val="000000"/>
                      <w:spacing w:val="0"/>
                      <w:position w:val="0"/>
                      <w:sz w:val="21"/>
                      <w:szCs w:val="21"/>
                      <w:highlight w:val="none"/>
                      <w:lang w:eastAsia="zh-CN"/>
                    </w:rPr>
                    <w:t>900-21</w:t>
                  </w:r>
                  <w:r>
                    <w:rPr>
                      <w:rFonts w:hint="eastAsia"/>
                      <w:color w:val="000000"/>
                      <w:spacing w:val="0"/>
                      <w:position w:val="0"/>
                      <w:sz w:val="21"/>
                      <w:szCs w:val="21"/>
                      <w:highlight w:val="none"/>
                      <w:lang w:val="en-US" w:eastAsia="zh-CN"/>
                    </w:rPr>
                    <w:t>7</w:t>
                  </w:r>
                  <w:r>
                    <w:rPr>
                      <w:rFonts w:hint="eastAsia"/>
                      <w:color w:val="000000"/>
                      <w:spacing w:val="0"/>
                      <w:position w:val="0"/>
                      <w:sz w:val="21"/>
                      <w:szCs w:val="21"/>
                      <w:highlight w:val="none"/>
                      <w:lang w:eastAsia="zh-CN"/>
                    </w:rPr>
                    <w:t>-08</w:t>
                  </w:r>
                </w:p>
              </w:tc>
              <w:tc>
                <w:tcPr>
                  <w:tcW w:w="990" w:type="dxa"/>
                  <w:vAlign w:val="center"/>
                </w:tcPr>
                <w:p w14:paraId="1D066ACB">
                  <w:pPr>
                    <w:pStyle w:val="6"/>
                    <w:keepNext w:val="0"/>
                    <w:keepLines w:val="0"/>
                    <w:pageBreakBefore w:val="0"/>
                    <w:widowControl w:val="0"/>
                    <w:suppressLineNumbers w:val="0"/>
                    <w:kinsoku/>
                    <w:wordWrap/>
                    <w:overflowPunct/>
                    <w:topLinePunct w:val="0"/>
                    <w:bidi w:val="0"/>
                    <w:snapToGrid/>
                    <w:spacing w:before="0" w:beforeAutospacing="0" w:after="0" w:afterAutospacing="0"/>
                    <w:ind w:left="-105" w:leftChars="-50" w:right="-105" w:rightChars="-50" w:firstLine="0" w:firstLineChars="0"/>
                    <w:jc w:val="center"/>
                    <w:textAlignment w:val="auto"/>
                    <w:rPr>
                      <w:rFonts w:hint="eastAsia" w:eastAsia="宋体"/>
                      <w:snapToGrid w:val="0"/>
                      <w:kern w:val="24"/>
                      <w:szCs w:val="21"/>
                      <w:lang w:eastAsia="zh-CN"/>
                    </w:rPr>
                  </w:pPr>
                  <w:r>
                    <w:rPr>
                      <w:rFonts w:hint="eastAsia" w:ascii="Times New Roman" w:eastAsia="宋体" w:cs="Times New Roman"/>
                      <w:b w:val="0"/>
                      <w:color w:val="000000"/>
                      <w:spacing w:val="0"/>
                      <w:position w:val="0"/>
                      <w:sz w:val="21"/>
                      <w:szCs w:val="21"/>
                      <w:highlight w:val="none"/>
                      <w:lang w:val="en-US" w:eastAsia="zh-CN"/>
                    </w:rPr>
                    <w:t>机油</w:t>
                  </w:r>
                </w:p>
              </w:tc>
              <w:tc>
                <w:tcPr>
                  <w:tcW w:w="600" w:type="dxa"/>
                  <w:vAlign w:val="center"/>
                </w:tcPr>
                <w:p w14:paraId="501FC472">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kern w:val="24"/>
                      <w:szCs w:val="21"/>
                      <w:lang w:eastAsia="zh-CN"/>
                    </w:rPr>
                  </w:pPr>
                  <w:r>
                    <w:rPr>
                      <w:rFonts w:hint="eastAsia"/>
                      <w:snapToGrid w:val="0"/>
                      <w:kern w:val="24"/>
                      <w:szCs w:val="21"/>
                      <w:lang w:eastAsia="zh-CN"/>
                    </w:rPr>
                    <w:t>液</w:t>
                  </w:r>
                </w:p>
              </w:tc>
              <w:tc>
                <w:tcPr>
                  <w:tcW w:w="660" w:type="dxa"/>
                  <w:vAlign w:val="center"/>
                </w:tcPr>
                <w:p w14:paraId="211149F1">
                  <w:pPr>
                    <w:pStyle w:val="31"/>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firstLine="0" w:firstLineChars="0"/>
                    <w:jc w:val="center"/>
                    <w:textAlignment w:val="auto"/>
                    <w:rPr>
                      <w:rFonts w:hint="default" w:eastAsia="宋体"/>
                      <w:snapToGrid w:val="0"/>
                      <w:kern w:val="24"/>
                      <w:szCs w:val="21"/>
                      <w:lang w:val="en-US" w:eastAsia="zh-CN"/>
                    </w:rPr>
                  </w:pPr>
                  <w:r>
                    <w:rPr>
                      <w:rFonts w:hint="default" w:ascii="Times New Roman" w:hAnsi="Times New Roman" w:eastAsia="宋体" w:cs="Times New Roman"/>
                      <w:b w:val="0"/>
                      <w:bCs/>
                      <w:color w:val="000000"/>
                      <w:spacing w:val="0"/>
                      <w:position w:val="0"/>
                      <w:sz w:val="21"/>
                      <w:szCs w:val="21"/>
                      <w:highlight w:val="none"/>
                    </w:rPr>
                    <w:t>T，I</w:t>
                  </w:r>
                </w:p>
              </w:tc>
              <w:tc>
                <w:tcPr>
                  <w:tcW w:w="780" w:type="dxa"/>
                  <w:tcBorders>
                    <w:top w:val="single" w:color="auto" w:sz="4" w:space="0"/>
                    <w:bottom w:val="single" w:color="auto" w:sz="4" w:space="0"/>
                  </w:tcBorders>
                  <w:vAlign w:val="center"/>
                </w:tcPr>
                <w:p w14:paraId="434284C3">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color w:val="auto"/>
                      <w:kern w:val="24"/>
                      <w:szCs w:val="21"/>
                      <w:lang w:val="en-US" w:eastAsia="zh-CN"/>
                    </w:rPr>
                  </w:pPr>
                  <w:r>
                    <w:rPr>
                      <w:rFonts w:hint="eastAsia"/>
                      <w:snapToGrid w:val="0"/>
                      <w:color w:val="auto"/>
                      <w:kern w:val="24"/>
                      <w:szCs w:val="21"/>
                      <w:lang w:val="en-US" w:eastAsia="zh-CN"/>
                    </w:rPr>
                    <w:t>0.2</w:t>
                  </w:r>
                </w:p>
              </w:tc>
              <w:tc>
                <w:tcPr>
                  <w:tcW w:w="690" w:type="dxa"/>
                  <w:vMerge w:val="restart"/>
                  <w:tcBorders>
                    <w:top w:val="single" w:color="auto" w:sz="4" w:space="0"/>
                  </w:tcBorders>
                  <w:vAlign w:val="center"/>
                </w:tcPr>
                <w:p w14:paraId="1A9AB53C">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kern w:val="24"/>
                      <w:szCs w:val="21"/>
                      <w:lang w:eastAsia="zh-CN"/>
                    </w:rPr>
                  </w:pPr>
                  <w:r>
                    <w:rPr>
                      <w:rFonts w:hint="eastAsia"/>
                      <w:snapToGrid w:val="0"/>
                      <w:kern w:val="24"/>
                      <w:szCs w:val="21"/>
                      <w:lang w:eastAsia="zh-CN"/>
                    </w:rPr>
                    <w:t>危废暂存间</w:t>
                  </w:r>
                </w:p>
              </w:tc>
              <w:tc>
                <w:tcPr>
                  <w:tcW w:w="903" w:type="dxa"/>
                  <w:vMerge w:val="restart"/>
                  <w:tcBorders>
                    <w:top w:val="single" w:color="auto" w:sz="4" w:space="0"/>
                  </w:tcBorders>
                  <w:vAlign w:val="center"/>
                </w:tcPr>
                <w:p w14:paraId="6B7B2EE2">
                  <w:pPr>
                    <w:keepNext w:val="0"/>
                    <w:keepLines w:val="0"/>
                    <w:pageBreakBefore w:val="0"/>
                    <w:widowControl w:val="0"/>
                    <w:kinsoku/>
                    <w:wordWrap/>
                    <w:overflowPunct/>
                    <w:topLinePunct w:val="0"/>
                    <w:bidi w:val="0"/>
                    <w:snapToGrid/>
                    <w:ind w:left="-105" w:leftChars="-50" w:right="-105" w:rightChars="-50"/>
                    <w:jc w:val="center"/>
                    <w:textAlignment w:val="auto"/>
                    <w:rPr>
                      <w:rFonts w:hint="eastAsia" w:eastAsia="宋体"/>
                      <w:snapToGrid w:val="0"/>
                      <w:kern w:val="24"/>
                      <w:sz w:val="21"/>
                      <w:szCs w:val="21"/>
                      <w:lang w:val="en-US" w:eastAsia="zh-CN"/>
                    </w:rPr>
                  </w:pPr>
                  <w:r>
                    <w:rPr>
                      <w:rFonts w:hint="default" w:ascii="Times New Roman" w:hAnsi="Times New Roman" w:cs="Times New Roman"/>
                      <w:sz w:val="21"/>
                      <w:szCs w:val="21"/>
                    </w:rPr>
                    <w:t>定期交由</w:t>
                  </w:r>
                  <w:r>
                    <w:rPr>
                      <w:rFonts w:hint="eastAsia" w:cs="Times New Roman"/>
                      <w:bCs/>
                      <w:sz w:val="21"/>
                      <w:szCs w:val="21"/>
                      <w:lang w:eastAsia="zh-CN"/>
                    </w:rPr>
                    <w:t>资质</w:t>
                  </w:r>
                  <w:r>
                    <w:rPr>
                      <w:rFonts w:hint="default" w:ascii="Times New Roman" w:hAnsi="Times New Roman" w:cs="Times New Roman"/>
                      <w:bCs/>
                      <w:sz w:val="21"/>
                      <w:szCs w:val="21"/>
                    </w:rPr>
                    <w:t>单位</w:t>
                  </w:r>
                  <w:r>
                    <w:rPr>
                      <w:rFonts w:hint="eastAsia" w:cs="Times New Roman"/>
                      <w:bCs/>
                      <w:sz w:val="21"/>
                      <w:szCs w:val="21"/>
                      <w:lang w:eastAsia="zh-CN"/>
                    </w:rPr>
                    <w:t>处理</w:t>
                  </w:r>
                </w:p>
              </w:tc>
              <w:tc>
                <w:tcPr>
                  <w:tcW w:w="763" w:type="dxa"/>
                  <w:vAlign w:val="center"/>
                </w:tcPr>
                <w:p w14:paraId="1216778A">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snapToGrid w:val="0"/>
                      <w:color w:val="auto"/>
                      <w:kern w:val="24"/>
                      <w:sz w:val="21"/>
                      <w:szCs w:val="21"/>
                      <w:lang w:val="en-US" w:eastAsia="zh-CN" w:bidi="ar-SA"/>
                    </w:rPr>
                  </w:pPr>
                  <w:r>
                    <w:rPr>
                      <w:rFonts w:hint="eastAsia"/>
                      <w:snapToGrid w:val="0"/>
                      <w:color w:val="auto"/>
                      <w:kern w:val="24"/>
                      <w:szCs w:val="21"/>
                      <w:lang w:val="en-US" w:eastAsia="zh-CN"/>
                    </w:rPr>
                    <w:t>0.2</w:t>
                  </w:r>
                </w:p>
              </w:tc>
            </w:tr>
            <w:tr w14:paraId="439E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6" w:type="dxa"/>
                  <w:vMerge w:val="continue"/>
                  <w:vAlign w:val="center"/>
                </w:tcPr>
                <w:p w14:paraId="7176C286">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p>
              </w:tc>
              <w:tc>
                <w:tcPr>
                  <w:tcW w:w="1185" w:type="dxa"/>
                  <w:tcBorders>
                    <w:top w:val="single" w:color="auto" w:sz="4" w:space="0"/>
                    <w:bottom w:val="single" w:color="auto" w:sz="4" w:space="0"/>
                  </w:tcBorders>
                  <w:vAlign w:val="center"/>
                </w:tcPr>
                <w:p w14:paraId="65FB0F5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废机油桶</w:t>
                  </w:r>
                </w:p>
              </w:tc>
              <w:tc>
                <w:tcPr>
                  <w:tcW w:w="510" w:type="dxa"/>
                  <w:vMerge w:val="continue"/>
                  <w:vAlign w:val="center"/>
                </w:tcPr>
                <w:p w14:paraId="41FBFE3C">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rPr>
                  </w:pPr>
                </w:p>
              </w:tc>
              <w:tc>
                <w:tcPr>
                  <w:tcW w:w="1200" w:type="dxa"/>
                  <w:vAlign w:val="center"/>
                </w:tcPr>
                <w:p w14:paraId="3217AED9">
                  <w:pPr>
                    <w:pStyle w:val="31"/>
                    <w:keepNext w:val="0"/>
                    <w:keepLines w:val="0"/>
                    <w:pageBreakBefore w:val="0"/>
                    <w:widowControl w:val="0"/>
                    <w:kinsoku/>
                    <w:wordWrap/>
                    <w:overflowPunct/>
                    <w:topLinePunct w:val="0"/>
                    <w:bidi w:val="0"/>
                    <w:snapToGrid/>
                    <w:spacing w:line="240" w:lineRule="auto"/>
                    <w:ind w:left="-105" w:leftChars="-50" w:right="-105" w:rightChars="-50"/>
                    <w:jc w:val="center"/>
                    <w:textAlignment w:val="auto"/>
                    <w:rPr>
                      <w:rFonts w:hint="default" w:ascii="Times New Roman" w:eastAsia="宋体" w:cs="Times New Roman"/>
                      <w:b w:val="0"/>
                      <w:color w:val="000000"/>
                      <w:spacing w:val="0"/>
                      <w:position w:val="0"/>
                      <w:sz w:val="21"/>
                      <w:szCs w:val="21"/>
                      <w:highlight w:val="none"/>
                      <w:lang w:val="en-US" w:eastAsia="zh-CN"/>
                    </w:rPr>
                  </w:pPr>
                  <w:r>
                    <w:rPr>
                      <w:rFonts w:ascii="Times New Roman" w:cs="Times New Roman"/>
                      <w:b w:val="0"/>
                      <w:color w:val="000000"/>
                      <w:spacing w:val="0"/>
                      <w:position w:val="0"/>
                      <w:sz w:val="21"/>
                      <w:szCs w:val="21"/>
                      <w:highlight w:val="none"/>
                    </w:rPr>
                    <w:t>HW</w:t>
                  </w:r>
                  <w:r>
                    <w:rPr>
                      <w:rFonts w:hint="eastAsia" w:ascii="Times New Roman" w:cs="Times New Roman"/>
                      <w:b w:val="0"/>
                      <w:color w:val="000000"/>
                      <w:spacing w:val="0"/>
                      <w:position w:val="0"/>
                      <w:sz w:val="21"/>
                      <w:szCs w:val="21"/>
                      <w:highlight w:val="none"/>
                      <w:lang w:val="en-US" w:eastAsia="zh-CN"/>
                    </w:rPr>
                    <w:t>08</w:t>
                  </w:r>
                </w:p>
                <w:p w14:paraId="420199A4">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snapToGrid w:val="0"/>
                      <w:kern w:val="24"/>
                      <w:sz w:val="21"/>
                      <w:szCs w:val="21"/>
                      <w:lang w:val="en-US" w:eastAsia="zh-CN" w:bidi="ar-SA"/>
                    </w:rPr>
                  </w:pPr>
                  <w:r>
                    <w:rPr>
                      <w:rFonts w:hint="eastAsia"/>
                      <w:color w:val="auto"/>
                      <w:spacing w:val="0"/>
                      <w:position w:val="0"/>
                      <w:sz w:val="21"/>
                      <w:szCs w:val="21"/>
                      <w:lang w:val="en-US" w:eastAsia="zh-CN"/>
                    </w:rPr>
                    <w:t>900-249-08</w:t>
                  </w:r>
                </w:p>
              </w:tc>
              <w:tc>
                <w:tcPr>
                  <w:tcW w:w="990" w:type="dxa"/>
                  <w:vAlign w:val="center"/>
                </w:tcPr>
                <w:p w14:paraId="6AFC1552">
                  <w:pPr>
                    <w:keepNext w:val="0"/>
                    <w:keepLines w:val="0"/>
                    <w:pageBreakBefore w:val="0"/>
                    <w:widowControl w:val="0"/>
                    <w:suppressLineNumbers w:val="0"/>
                    <w:kinsoku/>
                    <w:wordWrap/>
                    <w:overflowPunct/>
                    <w:topLinePunct w:val="0"/>
                    <w:bidi w:val="0"/>
                    <w:snapToGrid/>
                    <w:spacing w:before="0" w:beforeAutospacing="0" w:after="0" w:afterAutospacing="0"/>
                    <w:ind w:left="-105" w:leftChars="-50" w:right="-105" w:rightChars="-50" w:firstLine="0" w:firstLineChars="0"/>
                    <w:jc w:val="center"/>
                    <w:textAlignment w:val="auto"/>
                    <w:rPr>
                      <w:rFonts w:hint="eastAsia"/>
                      <w:snapToGrid w:val="0"/>
                      <w:kern w:val="24"/>
                      <w:szCs w:val="21"/>
                      <w:lang w:eastAsia="zh-CN"/>
                    </w:rPr>
                  </w:pPr>
                  <w:r>
                    <w:rPr>
                      <w:rFonts w:hint="eastAsia" w:ascii="Times New Roman" w:eastAsia="宋体" w:cs="Times New Roman"/>
                      <w:b w:val="0"/>
                      <w:color w:val="000000"/>
                      <w:spacing w:val="0"/>
                      <w:position w:val="0"/>
                      <w:sz w:val="21"/>
                      <w:szCs w:val="21"/>
                      <w:highlight w:val="none"/>
                      <w:lang w:val="en-US" w:eastAsia="zh-CN"/>
                    </w:rPr>
                    <w:t>机油</w:t>
                  </w:r>
                </w:p>
              </w:tc>
              <w:tc>
                <w:tcPr>
                  <w:tcW w:w="600" w:type="dxa"/>
                  <w:vAlign w:val="center"/>
                </w:tcPr>
                <w:p w14:paraId="4E6F18E5">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r>
                    <w:rPr>
                      <w:rFonts w:hint="eastAsia"/>
                      <w:snapToGrid w:val="0"/>
                      <w:kern w:val="24"/>
                      <w:szCs w:val="21"/>
                      <w:lang w:eastAsia="zh-CN"/>
                    </w:rPr>
                    <w:t>固</w:t>
                  </w:r>
                </w:p>
              </w:tc>
              <w:tc>
                <w:tcPr>
                  <w:tcW w:w="660" w:type="dxa"/>
                  <w:vAlign w:val="center"/>
                </w:tcPr>
                <w:p w14:paraId="5D34F861">
                  <w:pPr>
                    <w:pStyle w:val="31"/>
                    <w:keepNext w:val="0"/>
                    <w:keepLines w:val="0"/>
                    <w:pageBreakBefore w:val="0"/>
                    <w:widowControl w:val="0"/>
                    <w:kinsoku/>
                    <w:wordWrap/>
                    <w:overflowPunct/>
                    <w:topLinePunct w:val="0"/>
                    <w:autoSpaceDE w:val="0"/>
                    <w:autoSpaceDN w:val="0"/>
                    <w:bidi w:val="0"/>
                    <w:adjustRightInd/>
                    <w:snapToGrid/>
                    <w:spacing w:line="240" w:lineRule="auto"/>
                    <w:ind w:left="-105" w:leftChars="-50" w:right="-105" w:rightChars="-50" w:firstLine="0" w:firstLineChars="0"/>
                    <w:jc w:val="center"/>
                    <w:textAlignment w:val="auto"/>
                    <w:rPr>
                      <w:bCs/>
                      <w:spacing w:val="-8"/>
                      <w:szCs w:val="21"/>
                    </w:rPr>
                  </w:pPr>
                  <w:r>
                    <w:rPr>
                      <w:rFonts w:hint="default" w:ascii="Times New Roman" w:hAnsi="Times New Roman" w:eastAsia="宋体" w:cs="Times New Roman"/>
                      <w:b w:val="0"/>
                      <w:bCs/>
                      <w:color w:val="000000"/>
                      <w:spacing w:val="0"/>
                      <w:position w:val="0"/>
                      <w:sz w:val="21"/>
                      <w:szCs w:val="21"/>
                      <w:highlight w:val="none"/>
                    </w:rPr>
                    <w:t>T，I</w:t>
                  </w:r>
                </w:p>
              </w:tc>
              <w:tc>
                <w:tcPr>
                  <w:tcW w:w="780" w:type="dxa"/>
                  <w:tcBorders>
                    <w:top w:val="single" w:color="auto" w:sz="4" w:space="0"/>
                    <w:bottom w:val="single" w:color="auto" w:sz="4" w:space="0"/>
                  </w:tcBorders>
                  <w:vAlign w:val="center"/>
                </w:tcPr>
                <w:p w14:paraId="79219A8F">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Cs w:val="21"/>
                      <w:lang w:val="en-US" w:eastAsia="zh-CN"/>
                    </w:rPr>
                  </w:pPr>
                  <w:r>
                    <w:rPr>
                      <w:rFonts w:hint="eastAsia"/>
                      <w:snapToGrid w:val="0"/>
                      <w:color w:val="auto"/>
                      <w:kern w:val="24"/>
                      <w:szCs w:val="21"/>
                      <w:lang w:val="en-US" w:eastAsia="zh-CN"/>
                    </w:rPr>
                    <w:t>0.02</w:t>
                  </w:r>
                </w:p>
              </w:tc>
              <w:tc>
                <w:tcPr>
                  <w:tcW w:w="690" w:type="dxa"/>
                  <w:vMerge w:val="continue"/>
                  <w:vAlign w:val="center"/>
                </w:tcPr>
                <w:p w14:paraId="4494F861">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Cs w:val="21"/>
                      <w:lang w:eastAsia="zh-CN"/>
                    </w:rPr>
                  </w:pPr>
                </w:p>
              </w:tc>
              <w:tc>
                <w:tcPr>
                  <w:tcW w:w="903" w:type="dxa"/>
                  <w:vMerge w:val="continue"/>
                  <w:vAlign w:val="center"/>
                </w:tcPr>
                <w:p w14:paraId="4BBBDE90">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cs="Times New Roman"/>
                      <w:sz w:val="21"/>
                      <w:szCs w:val="21"/>
                    </w:rPr>
                  </w:pPr>
                </w:p>
              </w:tc>
              <w:tc>
                <w:tcPr>
                  <w:tcW w:w="763" w:type="dxa"/>
                  <w:vAlign w:val="center"/>
                </w:tcPr>
                <w:p w14:paraId="7BD0F71D">
                  <w:pPr>
                    <w:keepNext w:val="0"/>
                    <w:keepLines w:val="0"/>
                    <w:pageBreakBefore w:val="0"/>
                    <w:widowControl w:val="0"/>
                    <w:kinsoku/>
                    <w:wordWrap/>
                    <w:overflowPunct/>
                    <w:topLinePunct w:val="0"/>
                    <w:bidi w:val="0"/>
                    <w:snapToGrid/>
                    <w:ind w:left="-105" w:leftChars="-50" w:right="-105" w:rightChars="-50"/>
                    <w:jc w:val="center"/>
                    <w:textAlignment w:val="auto"/>
                    <w:rPr>
                      <w:rFonts w:hint="default" w:cs="Times New Roman"/>
                      <w:snapToGrid w:val="0"/>
                      <w:color w:val="auto"/>
                      <w:kern w:val="24"/>
                      <w:sz w:val="21"/>
                      <w:szCs w:val="21"/>
                      <w:lang w:val="en-US" w:eastAsia="zh-CN" w:bidi="ar-SA"/>
                    </w:rPr>
                  </w:pPr>
                  <w:r>
                    <w:rPr>
                      <w:rFonts w:hint="eastAsia"/>
                      <w:snapToGrid w:val="0"/>
                      <w:color w:val="auto"/>
                      <w:kern w:val="24"/>
                      <w:szCs w:val="21"/>
                      <w:lang w:val="en-US" w:eastAsia="zh-CN"/>
                    </w:rPr>
                    <w:t>0.02</w:t>
                  </w:r>
                </w:p>
              </w:tc>
            </w:tr>
          </w:tbl>
          <w:p w14:paraId="712D3C70">
            <w:pPr>
              <w:pStyle w:val="31"/>
              <w:spacing w:line="240" w:lineRule="auto"/>
              <w:jc w:val="center"/>
              <w:rPr>
                <w:rFonts w:ascii="Times New Roman" w:hAnsi="Times New Roman" w:eastAsia="宋体" w:cs="Times New Roman"/>
                <w:b/>
                <w:bCs/>
                <w:color w:val="auto"/>
                <w:sz w:val="21"/>
                <w:szCs w:val="21"/>
              </w:rPr>
            </w:pPr>
          </w:p>
          <w:p w14:paraId="517DA651">
            <w:pPr>
              <w:pStyle w:val="31"/>
              <w:spacing w:line="240" w:lineRule="auto"/>
              <w:jc w:val="center"/>
              <w:rPr>
                <w:rFonts w:hint="eastAsia"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4-</w:t>
            </w:r>
            <w:r>
              <w:rPr>
                <w:rFonts w:hint="eastAsia" w:ascii="Times New Roman" w:cs="Times New Roman"/>
                <w:b/>
                <w:bCs/>
                <w:color w:val="auto"/>
                <w:sz w:val="21"/>
                <w:szCs w:val="21"/>
                <w:lang w:val="en-US" w:eastAsia="zh-CN"/>
              </w:rPr>
              <w:t>15</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本项目</w:t>
            </w:r>
            <w:r>
              <w:rPr>
                <w:rFonts w:hint="eastAsia" w:ascii="Times New Roman" w:hAnsi="Times New Roman" w:eastAsia="宋体" w:cs="Times New Roman"/>
                <w:b/>
                <w:bCs/>
                <w:color w:val="auto"/>
                <w:sz w:val="21"/>
                <w:szCs w:val="21"/>
                <w:lang w:val="en-US" w:eastAsia="zh-CN"/>
              </w:rPr>
              <w:t>危险废物贮存场所（设施）基本情况表</w:t>
            </w:r>
          </w:p>
          <w:tbl>
            <w:tblPr>
              <w:tblStyle w:val="26"/>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76"/>
              <w:gridCol w:w="1207"/>
              <w:gridCol w:w="1508"/>
              <w:gridCol w:w="1335"/>
              <w:gridCol w:w="1107"/>
              <w:gridCol w:w="723"/>
              <w:gridCol w:w="643"/>
              <w:gridCol w:w="894"/>
            </w:tblGrid>
            <w:tr w14:paraId="1C5F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3FCF3C62">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序号</w:t>
                  </w:r>
                </w:p>
              </w:tc>
              <w:tc>
                <w:tcPr>
                  <w:tcW w:w="876" w:type="dxa"/>
                  <w:tcBorders>
                    <w:tl2br w:val="nil"/>
                    <w:tr2bl w:val="nil"/>
                  </w:tcBorders>
                  <w:vAlign w:val="center"/>
                </w:tcPr>
                <w:p w14:paraId="4D4F6DAA">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贮存场所名称</w:t>
                  </w:r>
                </w:p>
              </w:tc>
              <w:tc>
                <w:tcPr>
                  <w:tcW w:w="1207" w:type="dxa"/>
                  <w:tcBorders>
                    <w:tl2br w:val="nil"/>
                    <w:tr2bl w:val="nil"/>
                  </w:tcBorders>
                  <w:vAlign w:val="center"/>
                </w:tcPr>
                <w:p w14:paraId="58233ABE">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危险废物名称</w:t>
                  </w:r>
                </w:p>
              </w:tc>
              <w:tc>
                <w:tcPr>
                  <w:tcW w:w="1508" w:type="dxa"/>
                  <w:tcBorders>
                    <w:tl2br w:val="nil"/>
                    <w:tr2bl w:val="nil"/>
                  </w:tcBorders>
                  <w:vAlign w:val="center"/>
                </w:tcPr>
                <w:p w14:paraId="6AD8FE4E">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危险废物类别</w:t>
                  </w:r>
                </w:p>
              </w:tc>
              <w:tc>
                <w:tcPr>
                  <w:tcW w:w="1335" w:type="dxa"/>
                  <w:tcBorders>
                    <w:tl2br w:val="nil"/>
                    <w:tr2bl w:val="nil"/>
                  </w:tcBorders>
                  <w:vAlign w:val="center"/>
                </w:tcPr>
                <w:p w14:paraId="0EC9E6E1">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危险废物代码</w:t>
                  </w:r>
                </w:p>
              </w:tc>
              <w:tc>
                <w:tcPr>
                  <w:tcW w:w="1107" w:type="dxa"/>
                  <w:tcBorders>
                    <w:tl2br w:val="nil"/>
                    <w:tr2bl w:val="nil"/>
                  </w:tcBorders>
                  <w:vAlign w:val="center"/>
                </w:tcPr>
                <w:p w14:paraId="11E92D11">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位置</w:t>
                  </w:r>
                </w:p>
              </w:tc>
              <w:tc>
                <w:tcPr>
                  <w:tcW w:w="723" w:type="dxa"/>
                  <w:tcBorders>
                    <w:tl2br w:val="nil"/>
                    <w:tr2bl w:val="nil"/>
                  </w:tcBorders>
                  <w:vAlign w:val="center"/>
                </w:tcPr>
                <w:p w14:paraId="63F9E7AF">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建筑面积</w:t>
                  </w:r>
                </w:p>
              </w:tc>
              <w:tc>
                <w:tcPr>
                  <w:tcW w:w="643" w:type="dxa"/>
                  <w:tcBorders>
                    <w:tl2br w:val="nil"/>
                    <w:tr2bl w:val="nil"/>
                  </w:tcBorders>
                  <w:vAlign w:val="center"/>
                </w:tcPr>
                <w:p w14:paraId="7527D5AE">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贮存能力</w:t>
                  </w:r>
                </w:p>
              </w:tc>
              <w:tc>
                <w:tcPr>
                  <w:tcW w:w="894" w:type="dxa"/>
                  <w:tcBorders>
                    <w:tl2br w:val="nil"/>
                    <w:tr2bl w:val="nil"/>
                  </w:tcBorders>
                  <w:vAlign w:val="center"/>
                </w:tcPr>
                <w:p w14:paraId="3CAE19E9">
                  <w:pPr>
                    <w:pStyle w:val="31"/>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贮存周期</w:t>
                  </w:r>
                </w:p>
              </w:tc>
            </w:tr>
            <w:tr w14:paraId="1F14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2412EE6A">
                  <w:pPr>
                    <w:pStyle w:val="31"/>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76" w:type="dxa"/>
                  <w:vMerge w:val="restart"/>
                  <w:tcBorders>
                    <w:tl2br w:val="nil"/>
                    <w:tr2bl w:val="nil"/>
                  </w:tcBorders>
                  <w:vAlign w:val="center"/>
                </w:tcPr>
                <w:p w14:paraId="0AED2509">
                  <w:pPr>
                    <w:spacing w:line="240" w:lineRule="auto"/>
                    <w:jc w:val="center"/>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lang w:eastAsia="zh-CN"/>
                    </w:rPr>
                    <w:t>危废暂存间</w:t>
                  </w:r>
                </w:p>
              </w:tc>
              <w:tc>
                <w:tcPr>
                  <w:tcW w:w="1207" w:type="dxa"/>
                  <w:tcBorders>
                    <w:tl2br w:val="nil"/>
                    <w:tr2bl w:val="nil"/>
                  </w:tcBorders>
                  <w:vAlign w:val="center"/>
                </w:tcPr>
                <w:p w14:paraId="092B3FC7">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napToGrid w:val="0"/>
                      <w:kern w:val="24"/>
                      <w:sz w:val="21"/>
                      <w:szCs w:val="21"/>
                    </w:rPr>
                  </w:pPr>
                  <w:r>
                    <w:rPr>
                      <w:rFonts w:hint="eastAsia"/>
                      <w:snapToGrid w:val="0"/>
                      <w:kern w:val="24"/>
                      <w:szCs w:val="21"/>
                      <w:lang w:eastAsia="zh-CN"/>
                    </w:rPr>
                    <w:t>废机油</w:t>
                  </w:r>
                </w:p>
              </w:tc>
              <w:tc>
                <w:tcPr>
                  <w:tcW w:w="1508" w:type="dxa"/>
                  <w:tcBorders>
                    <w:tl2br w:val="nil"/>
                    <w:tr2bl w:val="nil"/>
                  </w:tcBorders>
                  <w:vAlign w:val="center"/>
                </w:tcPr>
                <w:p w14:paraId="27D0F5BF">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000000"/>
                      <w:spacing w:val="0"/>
                      <w:position w:val="0"/>
                      <w:sz w:val="21"/>
                      <w:szCs w:val="21"/>
                      <w:highlight w:val="none"/>
                      <w:vertAlign w:val="baseline"/>
                    </w:rPr>
                    <w:t>HW08</w:t>
                  </w:r>
                </w:p>
              </w:tc>
              <w:tc>
                <w:tcPr>
                  <w:tcW w:w="1335" w:type="dxa"/>
                  <w:tcBorders>
                    <w:tl2br w:val="nil"/>
                    <w:tr2bl w:val="nil"/>
                  </w:tcBorders>
                  <w:vAlign w:val="center"/>
                </w:tcPr>
                <w:p w14:paraId="0609443A">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color w:val="000000"/>
                      <w:spacing w:val="0"/>
                      <w:position w:val="0"/>
                      <w:sz w:val="21"/>
                      <w:szCs w:val="21"/>
                      <w:highlight w:val="none"/>
                      <w:lang w:val="en-US" w:eastAsia="zh-CN"/>
                    </w:rPr>
                  </w:pPr>
                  <w:r>
                    <w:rPr>
                      <w:rFonts w:hint="eastAsia"/>
                      <w:color w:val="000000"/>
                      <w:spacing w:val="0"/>
                      <w:position w:val="0"/>
                      <w:sz w:val="21"/>
                      <w:szCs w:val="21"/>
                      <w:highlight w:val="none"/>
                      <w:lang w:eastAsia="zh-CN"/>
                    </w:rPr>
                    <w:t>900-21</w:t>
                  </w:r>
                  <w:r>
                    <w:rPr>
                      <w:rFonts w:hint="eastAsia"/>
                      <w:color w:val="000000"/>
                      <w:spacing w:val="0"/>
                      <w:position w:val="0"/>
                      <w:sz w:val="21"/>
                      <w:szCs w:val="21"/>
                      <w:highlight w:val="none"/>
                      <w:lang w:val="en-US" w:eastAsia="zh-CN"/>
                    </w:rPr>
                    <w:t>7</w:t>
                  </w:r>
                  <w:r>
                    <w:rPr>
                      <w:rFonts w:hint="eastAsia"/>
                      <w:color w:val="000000"/>
                      <w:spacing w:val="0"/>
                      <w:position w:val="0"/>
                      <w:sz w:val="21"/>
                      <w:szCs w:val="21"/>
                      <w:highlight w:val="none"/>
                      <w:lang w:eastAsia="zh-CN"/>
                    </w:rPr>
                    <w:t>-08</w:t>
                  </w:r>
                </w:p>
              </w:tc>
              <w:tc>
                <w:tcPr>
                  <w:tcW w:w="1107" w:type="dxa"/>
                  <w:vMerge w:val="restart"/>
                  <w:tcBorders>
                    <w:tl2br w:val="nil"/>
                    <w:tr2bl w:val="nil"/>
                  </w:tcBorders>
                  <w:vAlign w:val="center"/>
                </w:tcPr>
                <w:p w14:paraId="7EA080BA">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2#车间内</w:t>
                  </w:r>
                </w:p>
              </w:tc>
              <w:tc>
                <w:tcPr>
                  <w:tcW w:w="723" w:type="dxa"/>
                  <w:vMerge w:val="restart"/>
                  <w:tcBorders>
                    <w:tl2br w:val="nil"/>
                    <w:tr2bl w:val="nil"/>
                  </w:tcBorders>
                  <w:vAlign w:val="center"/>
                </w:tcPr>
                <w:p w14:paraId="682D45F4">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w:t>
                  </w:r>
                  <w:r>
                    <w:rPr>
                      <w:rFonts w:hint="default" w:ascii="Times New Roman" w:hAnsi="Times New Roman" w:eastAsia="宋体" w:cs="Times New Roman"/>
                      <w:b w:val="0"/>
                      <w:bCs w:val="0"/>
                      <w:color w:val="auto"/>
                      <w:kern w:val="2"/>
                      <w:sz w:val="21"/>
                      <w:szCs w:val="21"/>
                      <w:highlight w:val="none"/>
                    </w:rPr>
                    <w:t>m</w:t>
                  </w:r>
                  <w:r>
                    <w:rPr>
                      <w:rFonts w:hint="default" w:ascii="Times New Roman" w:hAnsi="Times New Roman" w:eastAsia="宋体" w:cs="Times New Roman"/>
                      <w:b w:val="0"/>
                      <w:bCs w:val="0"/>
                      <w:color w:val="auto"/>
                      <w:kern w:val="2"/>
                      <w:sz w:val="21"/>
                      <w:szCs w:val="21"/>
                      <w:highlight w:val="none"/>
                      <w:vertAlign w:val="superscript"/>
                    </w:rPr>
                    <w:t>2</w:t>
                  </w:r>
                </w:p>
              </w:tc>
              <w:tc>
                <w:tcPr>
                  <w:tcW w:w="643" w:type="dxa"/>
                  <w:vMerge w:val="restart"/>
                  <w:tcBorders>
                    <w:tl2br w:val="nil"/>
                    <w:tr2bl w:val="nil"/>
                  </w:tcBorders>
                  <w:vAlign w:val="center"/>
                </w:tcPr>
                <w:p w14:paraId="648AEB10">
                  <w:pPr>
                    <w:jc w:val="center"/>
                    <w:rPr>
                      <w:rFonts w:hint="default" w:ascii="Times New Roman" w:hAnsi="Times New Roman" w:eastAsia="宋体" w:cs="Times New Roman"/>
                      <w:b w:val="0"/>
                      <w:bCs w:val="0"/>
                      <w:snapToGrid w:val="0"/>
                      <w:color w:val="auto"/>
                      <w:kern w:val="24"/>
                      <w:sz w:val="21"/>
                      <w:szCs w:val="21"/>
                      <w:highlight w:val="none"/>
                      <w:lang w:val="en-US" w:eastAsia="zh-CN"/>
                    </w:rPr>
                  </w:pPr>
                  <w:r>
                    <w:rPr>
                      <w:rFonts w:hint="eastAsia" w:cs="Times New Roman"/>
                      <w:b w:val="0"/>
                      <w:bCs w:val="0"/>
                      <w:snapToGrid w:val="0"/>
                      <w:color w:val="auto"/>
                      <w:kern w:val="24"/>
                      <w:sz w:val="21"/>
                      <w:szCs w:val="21"/>
                      <w:highlight w:val="none"/>
                      <w:lang w:val="en-US" w:eastAsia="zh-CN"/>
                    </w:rPr>
                    <w:t>20</w:t>
                  </w:r>
                  <w:r>
                    <w:rPr>
                      <w:rFonts w:hint="default" w:ascii="Times New Roman" w:hAnsi="Times New Roman" w:eastAsia="宋体" w:cs="Times New Roman"/>
                      <w:b w:val="0"/>
                      <w:bCs w:val="0"/>
                      <w:snapToGrid w:val="0"/>
                      <w:color w:val="auto"/>
                      <w:kern w:val="24"/>
                      <w:sz w:val="21"/>
                      <w:szCs w:val="21"/>
                      <w:highlight w:val="none"/>
                      <w:lang w:val="en-US" w:eastAsia="zh-CN"/>
                    </w:rPr>
                    <w:t>t</w:t>
                  </w:r>
                </w:p>
              </w:tc>
              <w:tc>
                <w:tcPr>
                  <w:tcW w:w="894" w:type="dxa"/>
                  <w:vMerge w:val="restart"/>
                  <w:tcBorders>
                    <w:tl2br w:val="nil"/>
                    <w:tr2bl w:val="nil"/>
                  </w:tcBorders>
                  <w:vAlign w:val="center"/>
                </w:tcPr>
                <w:p w14:paraId="36541E36">
                  <w:pPr>
                    <w:jc w:val="center"/>
                    <w:rPr>
                      <w:rFonts w:hint="default" w:ascii="Times New Roman" w:hAnsi="Times New Roman" w:eastAsia="宋体" w:cs="Times New Roman"/>
                      <w:b w:val="0"/>
                      <w:bCs w:val="0"/>
                      <w:snapToGrid w:val="0"/>
                      <w:color w:val="auto"/>
                      <w:kern w:val="24"/>
                      <w:sz w:val="21"/>
                      <w:szCs w:val="21"/>
                      <w:lang w:val="en-US" w:eastAsia="zh-CN"/>
                    </w:rPr>
                  </w:pPr>
                  <w:r>
                    <w:rPr>
                      <w:rFonts w:hint="eastAsia" w:cs="Times New Roman"/>
                      <w:b w:val="0"/>
                      <w:bCs w:val="0"/>
                      <w:snapToGrid w:val="0"/>
                      <w:color w:val="auto"/>
                      <w:kern w:val="24"/>
                      <w:sz w:val="21"/>
                      <w:szCs w:val="21"/>
                      <w:lang w:val="en-US" w:eastAsia="zh-CN"/>
                    </w:rPr>
                    <w:t>一年</w:t>
                  </w:r>
                </w:p>
              </w:tc>
            </w:tr>
            <w:tr w14:paraId="0C7E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3" w:type="dxa"/>
                  <w:tcBorders>
                    <w:tl2br w:val="nil"/>
                    <w:tr2bl w:val="nil"/>
                  </w:tcBorders>
                  <w:vAlign w:val="center"/>
                </w:tcPr>
                <w:p w14:paraId="47C0375E">
                  <w:pPr>
                    <w:pStyle w:val="31"/>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cs="Times New Roman"/>
                      <w:b w:val="0"/>
                      <w:bCs w:val="0"/>
                      <w:color w:val="auto"/>
                      <w:sz w:val="21"/>
                      <w:szCs w:val="21"/>
                      <w:vertAlign w:val="baseline"/>
                      <w:lang w:val="en-US" w:eastAsia="zh-CN"/>
                    </w:rPr>
                    <w:t>2</w:t>
                  </w:r>
                </w:p>
              </w:tc>
              <w:tc>
                <w:tcPr>
                  <w:tcW w:w="876" w:type="dxa"/>
                  <w:vMerge w:val="continue"/>
                  <w:tcBorders>
                    <w:tl2br w:val="nil"/>
                    <w:tr2bl w:val="nil"/>
                  </w:tcBorders>
                  <w:vAlign w:val="center"/>
                </w:tcPr>
                <w:p w14:paraId="658FD28D">
                  <w:pPr>
                    <w:spacing w:line="240" w:lineRule="auto"/>
                    <w:jc w:val="center"/>
                    <w:rPr>
                      <w:rFonts w:hint="default" w:ascii="Times New Roman" w:hAnsi="Times New Roman" w:eastAsia="宋体" w:cs="Times New Roman"/>
                      <w:b w:val="0"/>
                      <w:bCs w:val="0"/>
                      <w:sz w:val="21"/>
                      <w:szCs w:val="21"/>
                      <w:lang w:eastAsia="zh-CN"/>
                    </w:rPr>
                  </w:pPr>
                </w:p>
              </w:tc>
              <w:tc>
                <w:tcPr>
                  <w:tcW w:w="1207" w:type="dxa"/>
                  <w:tcBorders>
                    <w:tl2br w:val="nil"/>
                    <w:tr2bl w:val="nil"/>
                  </w:tcBorders>
                  <w:vAlign w:val="center"/>
                </w:tcPr>
                <w:p w14:paraId="1C595B13">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b w:val="0"/>
                      <w:bCs w:val="0"/>
                      <w:snapToGrid w:val="0"/>
                      <w:kern w:val="24"/>
                      <w:sz w:val="21"/>
                      <w:szCs w:val="21"/>
                      <w:lang w:eastAsia="zh-CN"/>
                    </w:rPr>
                  </w:pPr>
                  <w:r>
                    <w:rPr>
                      <w:rFonts w:hint="eastAsia"/>
                      <w:snapToGrid w:val="0"/>
                      <w:kern w:val="24"/>
                      <w:szCs w:val="21"/>
                      <w:lang w:eastAsia="zh-CN"/>
                    </w:rPr>
                    <w:t>废机油桶</w:t>
                  </w:r>
                </w:p>
              </w:tc>
              <w:tc>
                <w:tcPr>
                  <w:tcW w:w="1508" w:type="dxa"/>
                  <w:tcBorders>
                    <w:tl2br w:val="nil"/>
                    <w:tr2bl w:val="nil"/>
                  </w:tcBorders>
                  <w:vAlign w:val="center"/>
                </w:tcPr>
                <w:p w14:paraId="353EAAE0">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snapToGrid w:val="0"/>
                      <w:kern w:val="24"/>
                      <w:sz w:val="21"/>
                      <w:szCs w:val="21"/>
                      <w:lang w:val="en-US"/>
                    </w:rPr>
                  </w:pPr>
                  <w:r>
                    <w:rPr>
                      <w:rFonts w:ascii="Times New Roman" w:cs="Times New Roman"/>
                      <w:b w:val="0"/>
                      <w:color w:val="000000"/>
                      <w:spacing w:val="0"/>
                      <w:position w:val="0"/>
                      <w:sz w:val="21"/>
                      <w:szCs w:val="21"/>
                      <w:highlight w:val="none"/>
                    </w:rPr>
                    <w:t>HW</w:t>
                  </w:r>
                  <w:r>
                    <w:rPr>
                      <w:rFonts w:hint="eastAsia" w:ascii="Times New Roman" w:cs="Times New Roman"/>
                      <w:b w:val="0"/>
                      <w:color w:val="000000"/>
                      <w:spacing w:val="0"/>
                      <w:position w:val="0"/>
                      <w:sz w:val="21"/>
                      <w:szCs w:val="21"/>
                      <w:highlight w:val="none"/>
                      <w:lang w:val="en-US" w:eastAsia="zh-CN"/>
                    </w:rPr>
                    <w:t>08</w:t>
                  </w:r>
                </w:p>
              </w:tc>
              <w:tc>
                <w:tcPr>
                  <w:tcW w:w="1335" w:type="dxa"/>
                  <w:tcBorders>
                    <w:tl2br w:val="nil"/>
                    <w:tr2bl w:val="nil"/>
                  </w:tcBorders>
                  <w:vAlign w:val="center"/>
                </w:tcPr>
                <w:p w14:paraId="14D6BEC7">
                  <w:pPr>
                    <w:pStyle w:val="6"/>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105" w:leftChars="-50" w:right="-105" w:rightChars="-50" w:firstLine="0" w:firstLineChars="0"/>
                    <w:jc w:val="center"/>
                    <w:textAlignment w:val="auto"/>
                    <w:rPr>
                      <w:rFonts w:hint="default" w:ascii="Times New Roman" w:hAnsi="Times New Roman" w:eastAsia="宋体" w:cs="Times New Roman"/>
                      <w:b w:val="0"/>
                      <w:bCs w:val="0"/>
                      <w:snapToGrid w:val="0"/>
                      <w:kern w:val="24"/>
                      <w:sz w:val="21"/>
                      <w:szCs w:val="21"/>
                      <w:lang w:val="en-US" w:eastAsia="zh-CN"/>
                    </w:rPr>
                  </w:pPr>
                  <w:r>
                    <w:rPr>
                      <w:rFonts w:hint="eastAsia"/>
                      <w:color w:val="auto"/>
                      <w:spacing w:val="0"/>
                      <w:position w:val="0"/>
                      <w:sz w:val="21"/>
                      <w:szCs w:val="21"/>
                      <w:lang w:val="en-US" w:eastAsia="zh-CN"/>
                    </w:rPr>
                    <w:t>900-249-08</w:t>
                  </w:r>
                </w:p>
              </w:tc>
              <w:tc>
                <w:tcPr>
                  <w:tcW w:w="1107" w:type="dxa"/>
                  <w:vMerge w:val="continue"/>
                  <w:tcBorders>
                    <w:tl2br w:val="nil"/>
                    <w:tr2bl w:val="nil"/>
                  </w:tcBorders>
                  <w:vAlign w:val="center"/>
                </w:tcPr>
                <w:p w14:paraId="44433471">
                  <w:pPr>
                    <w:spacing w:line="240" w:lineRule="auto"/>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723" w:type="dxa"/>
                  <w:vMerge w:val="continue"/>
                  <w:tcBorders>
                    <w:tl2br w:val="nil"/>
                    <w:tr2bl w:val="nil"/>
                  </w:tcBorders>
                  <w:vAlign w:val="center"/>
                </w:tcPr>
                <w:p w14:paraId="7234211B">
                  <w:p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643" w:type="dxa"/>
                  <w:vMerge w:val="continue"/>
                  <w:tcBorders>
                    <w:tl2br w:val="nil"/>
                    <w:tr2bl w:val="nil"/>
                  </w:tcBorders>
                  <w:vAlign w:val="center"/>
                </w:tcPr>
                <w:p w14:paraId="249D2363">
                  <w:pPr>
                    <w:jc w:val="center"/>
                    <w:rPr>
                      <w:rFonts w:hint="eastAsia" w:ascii="Times New Roman" w:hAnsi="Times New Roman" w:eastAsia="宋体" w:cs="Times New Roman"/>
                      <w:b w:val="0"/>
                      <w:bCs w:val="0"/>
                      <w:snapToGrid w:val="0"/>
                      <w:color w:val="auto"/>
                      <w:kern w:val="24"/>
                      <w:sz w:val="21"/>
                      <w:szCs w:val="21"/>
                      <w:highlight w:val="none"/>
                      <w:lang w:val="en-US" w:eastAsia="zh-CN"/>
                    </w:rPr>
                  </w:pPr>
                </w:p>
              </w:tc>
              <w:tc>
                <w:tcPr>
                  <w:tcW w:w="894" w:type="dxa"/>
                  <w:vMerge w:val="continue"/>
                  <w:tcBorders>
                    <w:tl2br w:val="nil"/>
                    <w:tr2bl w:val="nil"/>
                  </w:tcBorders>
                  <w:vAlign w:val="center"/>
                </w:tcPr>
                <w:p w14:paraId="4A95EDE8">
                  <w:pPr>
                    <w:jc w:val="center"/>
                    <w:rPr>
                      <w:rFonts w:hint="eastAsia" w:ascii="Times New Roman" w:hAnsi="Times New Roman" w:eastAsia="宋体" w:cs="Times New Roman"/>
                      <w:b w:val="0"/>
                      <w:bCs w:val="0"/>
                      <w:snapToGrid w:val="0"/>
                      <w:color w:val="auto"/>
                      <w:kern w:val="24"/>
                      <w:sz w:val="21"/>
                      <w:szCs w:val="21"/>
                      <w:lang w:val="en-US" w:eastAsia="zh-CN"/>
                    </w:rPr>
                  </w:pPr>
                </w:p>
              </w:tc>
            </w:tr>
          </w:tbl>
          <w:p w14:paraId="525EE09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（1）一般固体废物管理要求</w:t>
            </w:r>
          </w:p>
          <w:p w14:paraId="6D9DFF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sz w:val="24"/>
                <w:szCs w:val="24"/>
              </w:rPr>
              <w:t>企业拟设置</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的一般固废暂存间用来暂存产生的一般固废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pacing w:val="0"/>
                <w:sz w:val="24"/>
                <w:szCs w:val="24"/>
                <w:lang w:val="en-US" w:eastAsia="zh-CN"/>
              </w:rPr>
              <w:t>根据《一般工业固体废物贮存、填埋场污染控制标准》（GB18599-2020）要求，企业应按照</w:t>
            </w:r>
            <w:r>
              <w:rPr>
                <w:rFonts w:hint="default" w:ascii="Times New Roman" w:hAnsi="Times New Roman" w:eastAsia="宋体" w:cs="Times New Roman"/>
                <w:bCs/>
                <w:color w:val="auto"/>
                <w:sz w:val="24"/>
                <w:szCs w:val="24"/>
                <w:lang w:val="en-US" w:eastAsia="zh-CN"/>
              </w:rPr>
              <w:t>《安徽省实施〈中华人民共和国</w:t>
            </w:r>
            <w:r>
              <w:rPr>
                <w:rFonts w:hint="default" w:ascii="Times New Roman" w:hAnsi="Times New Roman" w:eastAsia="宋体" w:cs="Times New Roman"/>
                <w:bCs/>
                <w:color w:val="auto"/>
                <w:sz w:val="24"/>
                <w:szCs w:val="24"/>
                <w:lang w:val="en-US" w:eastAsia="zh-CN"/>
              </w:rPr>
              <w:fldChar w:fldCharType="begin"/>
            </w:r>
            <w:r>
              <w:rPr>
                <w:rFonts w:hint="default" w:ascii="Times New Roman" w:hAnsi="Times New Roman" w:eastAsia="宋体" w:cs="Times New Roman"/>
                <w:bCs/>
                <w:color w:val="auto"/>
                <w:sz w:val="24"/>
                <w:szCs w:val="24"/>
                <w:lang w:val="en-US" w:eastAsia="zh-CN"/>
              </w:rPr>
              <w:instrText xml:space="preserve"> HYPERLINK "https://huanbao.bjx.com.cn/topics/gutifeiwuwuran/" \t "https://huanbao.bjx.com.cn/news/20210602/_blank" </w:instrText>
            </w:r>
            <w:r>
              <w:rPr>
                <w:rFonts w:hint="default" w:ascii="Times New Roman" w:hAnsi="Times New Roman" w:eastAsia="宋体" w:cs="Times New Roman"/>
                <w:bCs/>
                <w:color w:val="auto"/>
                <w:sz w:val="24"/>
                <w:szCs w:val="24"/>
                <w:lang w:val="en-US" w:eastAsia="zh-CN"/>
              </w:rPr>
              <w:fldChar w:fldCharType="separate"/>
            </w:r>
            <w:r>
              <w:rPr>
                <w:rFonts w:hint="default" w:ascii="Times New Roman" w:hAnsi="Times New Roman" w:eastAsia="宋体" w:cs="Times New Roman"/>
                <w:bCs/>
                <w:color w:val="auto"/>
                <w:sz w:val="24"/>
                <w:szCs w:val="24"/>
                <w:lang w:val="en-US" w:eastAsia="zh-CN"/>
              </w:rPr>
              <w:t>固体废物污染</w:t>
            </w:r>
            <w:r>
              <w:rPr>
                <w:rFonts w:hint="default" w:ascii="Times New Roman" w:hAnsi="Times New Roman" w:eastAsia="宋体" w:cs="Times New Roman"/>
                <w:bCs/>
                <w:color w:val="auto"/>
                <w:sz w:val="24"/>
                <w:szCs w:val="24"/>
                <w:lang w:val="en-US" w:eastAsia="zh-CN"/>
              </w:rPr>
              <w:fldChar w:fldCharType="end"/>
            </w:r>
            <w:r>
              <w:rPr>
                <w:rFonts w:hint="default" w:ascii="Times New Roman" w:hAnsi="Times New Roman" w:eastAsia="宋体" w:cs="Times New Roman"/>
                <w:bCs/>
                <w:color w:val="auto"/>
                <w:sz w:val="24"/>
                <w:szCs w:val="24"/>
                <w:lang w:val="en-US" w:eastAsia="zh-CN"/>
              </w:rPr>
              <w:t>环境防治法〉办法》（2021年5月31日修订）</w:t>
            </w:r>
            <w:r>
              <w:rPr>
                <w:rFonts w:hint="default" w:ascii="Times New Roman" w:hAnsi="Times New Roman" w:eastAsia="宋体" w:cs="Times New Roman"/>
                <w:bCs/>
                <w:color w:val="auto"/>
                <w:spacing w:val="0"/>
                <w:sz w:val="24"/>
                <w:szCs w:val="24"/>
                <w:lang w:val="en-US" w:eastAsia="zh-CN"/>
              </w:rPr>
              <w:t>等相关法律法规要求，对工业固体废物采用防扬散、防流失、防渗漏或者其他防止污染环境的措施，不得擅自倾倒、堆放、丢弃、遗撒工业固体废物。</w:t>
            </w:r>
            <w:r>
              <w:rPr>
                <w:rFonts w:hint="default" w:ascii="Times New Roman" w:hAnsi="Times New Roman" w:eastAsia="宋体" w:cs="Times New Roman"/>
                <w:bCs/>
                <w:color w:val="auto"/>
                <w:sz w:val="24"/>
                <w:szCs w:val="24"/>
                <w:lang w:val="en-US" w:eastAsia="zh-CN"/>
              </w:rPr>
              <w:t>企业应建立工业固体废物管理台账，如实记录工业固体废物的种类、数量、流向、贮存、利用、处置等信息，一般工业固体废物管理台账保存期限不少于5年。</w:t>
            </w:r>
          </w:p>
          <w:p w14:paraId="70B8C50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（2）危险废物管理要求</w:t>
            </w:r>
          </w:p>
          <w:p w14:paraId="1A5724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厂区拟设置</w:t>
            </w:r>
            <w:r>
              <w:rPr>
                <w:rFonts w:hint="eastAsia" w:cs="Times New Roman"/>
                <w:bCs/>
                <w:color w:val="auto"/>
                <w:sz w:val="24"/>
                <w:szCs w:val="24"/>
                <w:lang w:val="en-US" w:eastAsia="zh-CN"/>
              </w:rPr>
              <w:t>20</w:t>
            </w:r>
            <w:r>
              <w:rPr>
                <w:rFonts w:hint="default" w:ascii="Times New Roman" w:hAnsi="Times New Roman" w:eastAsia="宋体" w:cs="Times New Roman"/>
                <w:bCs/>
                <w:color w:val="auto"/>
                <w:sz w:val="24"/>
                <w:szCs w:val="24"/>
                <w:lang w:val="en-US" w:eastAsia="zh-CN"/>
              </w:rPr>
              <w:t>m</w:t>
            </w:r>
            <w:r>
              <w:rPr>
                <w:rFonts w:hint="default" w:ascii="Times New Roman" w:hAnsi="Times New Roman" w:eastAsia="宋体" w:cs="Times New Roman"/>
                <w:bCs/>
                <w:color w:val="auto"/>
                <w:sz w:val="24"/>
                <w:szCs w:val="24"/>
                <w:vertAlign w:val="superscript"/>
                <w:lang w:val="en-US" w:eastAsia="zh-CN"/>
              </w:rPr>
              <w:t>2</w:t>
            </w:r>
            <w:r>
              <w:rPr>
                <w:rFonts w:hint="default" w:ascii="Times New Roman" w:hAnsi="Times New Roman" w:eastAsia="宋体" w:cs="Times New Roman"/>
                <w:bCs/>
                <w:color w:val="auto"/>
                <w:sz w:val="24"/>
                <w:szCs w:val="24"/>
                <w:lang w:val="en-US" w:eastAsia="zh-CN"/>
              </w:rPr>
              <w:t>的危险废物暂存间，厂区危险废物分区存放于危险废物暂存间内，委托有危险废物处置资质的单位处理。</w:t>
            </w:r>
          </w:p>
          <w:p w14:paraId="253683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危险废物暂存间严格按照《危险废物贮存污染控制标准》（GB18597-20</w:t>
            </w:r>
            <w:r>
              <w:rPr>
                <w:rFonts w:hint="default" w:ascii="Times New Roman" w:hAnsi="Times New Roman" w:eastAsia="宋体" w:cs="Times New Roman"/>
                <w:bCs/>
                <w:color w:val="auto"/>
                <w:sz w:val="24"/>
                <w:szCs w:val="24"/>
                <w:lang w:val="en-US" w:eastAsia="zh-CN"/>
              </w:rPr>
              <w:t>23</w:t>
            </w:r>
            <w:r>
              <w:rPr>
                <w:rFonts w:hint="default" w:ascii="Times New Roman" w:hAnsi="Times New Roman" w:eastAsia="宋体" w:cs="Times New Roman"/>
                <w:bCs/>
                <w:color w:val="auto"/>
                <w:sz w:val="24"/>
                <w:szCs w:val="24"/>
              </w:rPr>
              <w:t>）中相关要求建设，</w:t>
            </w:r>
            <w:r>
              <w:rPr>
                <w:rFonts w:hint="default" w:ascii="Times New Roman" w:hAnsi="Times New Roman" w:eastAsia="宋体" w:cs="Times New Roman"/>
                <w:color w:val="000000"/>
                <w:kern w:val="0"/>
                <w:sz w:val="24"/>
                <w:szCs w:val="24"/>
                <w:lang w:val="en-US" w:eastAsia="zh-CN" w:bidi="ar"/>
              </w:rPr>
              <w:t>采取必要的防风、防晒、防雨、防漏、防渗、防腐以及其他环境污染防治措施，不应露天堆放危险废物</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Cs/>
                <w:color w:val="auto"/>
                <w:sz w:val="24"/>
                <w:szCs w:val="24"/>
              </w:rPr>
              <w:t>结合本项目，危险废物暂存间设置要求如下：</w:t>
            </w:r>
          </w:p>
          <w:p w14:paraId="000277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①</w:t>
            </w:r>
            <w:r>
              <w:rPr>
                <w:rFonts w:hint="default" w:ascii="Times New Roman" w:hAnsi="Times New Roman" w:eastAsia="宋体" w:cs="Times New Roman"/>
                <w:bCs/>
                <w:color w:val="auto"/>
                <w:sz w:val="24"/>
                <w:szCs w:val="24"/>
                <w:lang w:eastAsia="zh-CN"/>
              </w:rPr>
              <w:t>危险</w:t>
            </w:r>
            <w:r>
              <w:rPr>
                <w:rFonts w:hint="default" w:ascii="Times New Roman" w:hAnsi="Times New Roman" w:eastAsia="宋体" w:cs="Times New Roman"/>
                <w:color w:val="auto"/>
                <w:sz w:val="24"/>
                <w:szCs w:val="24"/>
              </w:rPr>
              <w:t>暂存间</w:t>
            </w:r>
            <w:r>
              <w:rPr>
                <w:rFonts w:hint="default" w:ascii="Times New Roman" w:hAnsi="Times New Roman" w:eastAsia="宋体" w:cs="Times New Roman"/>
                <w:color w:val="auto"/>
                <w:sz w:val="24"/>
                <w:szCs w:val="24"/>
                <w:lang w:eastAsia="zh-CN"/>
              </w:rPr>
              <w:t>按要求采取分区贮存设施</w:t>
            </w:r>
            <w:r>
              <w:rPr>
                <w:rFonts w:hint="default" w:ascii="Times New Roman" w:hAnsi="Times New Roman" w:eastAsia="宋体" w:cs="Times New Roman"/>
                <w:bCs/>
                <w:color w:val="auto"/>
                <w:sz w:val="24"/>
                <w:szCs w:val="24"/>
                <w:lang w:eastAsia="zh-CN"/>
              </w:rPr>
              <w:t>，设置导流沟和</w:t>
            </w:r>
            <w:r>
              <w:rPr>
                <w:rFonts w:hint="eastAsia" w:cs="Times New Roman"/>
                <w:bCs/>
                <w:color w:val="auto"/>
                <w:sz w:val="24"/>
                <w:szCs w:val="24"/>
                <w:lang w:eastAsia="zh-CN"/>
              </w:rPr>
              <w:t>事故</w:t>
            </w:r>
            <w:r>
              <w:rPr>
                <w:rFonts w:hint="default" w:ascii="Times New Roman" w:hAnsi="Times New Roman" w:eastAsia="宋体" w:cs="Times New Roman"/>
                <w:bCs/>
                <w:color w:val="auto"/>
                <w:sz w:val="24"/>
                <w:szCs w:val="24"/>
                <w:lang w:eastAsia="zh-CN"/>
              </w:rPr>
              <w:t>池；</w:t>
            </w:r>
          </w:p>
          <w:p w14:paraId="18595D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w:t>
            </w:r>
            <w:r>
              <w:rPr>
                <w:rFonts w:hint="default" w:ascii="Times New Roman" w:hAnsi="Times New Roman" w:eastAsia="宋体" w:cs="Times New Roman"/>
                <w:color w:val="auto"/>
                <w:sz w:val="24"/>
                <w:szCs w:val="24"/>
              </w:rPr>
              <w:t>暂存间内还应设安全照明设施，并设置干粉灭火器</w:t>
            </w:r>
            <w:r>
              <w:rPr>
                <w:rFonts w:hint="default" w:ascii="Times New Roman" w:hAnsi="Times New Roman" w:eastAsia="宋体" w:cs="Times New Roman"/>
                <w:bCs/>
                <w:color w:val="auto"/>
                <w:sz w:val="24"/>
                <w:szCs w:val="24"/>
              </w:rPr>
              <w:t>；</w:t>
            </w:r>
          </w:p>
          <w:p w14:paraId="4BBFA8C5">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u w:val="none"/>
              </w:rPr>
              <w:t>③</w:t>
            </w:r>
            <w:r>
              <w:rPr>
                <w:rFonts w:hint="default" w:ascii="Times New Roman" w:hAnsi="Times New Roman" w:eastAsia="宋体" w:cs="Times New Roman"/>
                <w:bCs/>
                <w:color w:val="auto"/>
                <w:sz w:val="24"/>
                <w:szCs w:val="24"/>
              </w:rPr>
              <w:t>危险废物贮存设施</w:t>
            </w:r>
            <w:r>
              <w:rPr>
                <w:rFonts w:hint="default" w:ascii="Times New Roman" w:hAnsi="Times New Roman" w:eastAsia="宋体" w:cs="Times New Roman"/>
                <w:bCs/>
                <w:color w:val="auto"/>
                <w:sz w:val="24"/>
                <w:szCs w:val="24"/>
                <w:lang w:eastAsia="zh-CN"/>
              </w:rPr>
              <w:t>根据当前环保要求</w:t>
            </w:r>
            <w:r>
              <w:rPr>
                <w:rFonts w:hint="default" w:ascii="Times New Roman" w:hAnsi="Times New Roman" w:eastAsia="宋体" w:cs="Times New Roman"/>
                <w:bCs/>
                <w:color w:val="auto"/>
                <w:sz w:val="24"/>
                <w:szCs w:val="24"/>
              </w:rPr>
              <w:t>设置警示标志，</w:t>
            </w:r>
            <w:r>
              <w:rPr>
                <w:rFonts w:hint="default" w:ascii="Times New Roman" w:hAnsi="Times New Roman" w:eastAsia="宋体" w:cs="Times New Roman"/>
                <w:bCs/>
                <w:color w:val="auto"/>
                <w:sz w:val="24"/>
                <w:szCs w:val="24"/>
                <w:lang w:eastAsia="zh-CN"/>
              </w:rPr>
              <w:t>危险废物</w:t>
            </w:r>
            <w:r>
              <w:rPr>
                <w:rFonts w:hint="default" w:ascii="Times New Roman" w:hAnsi="Times New Roman" w:eastAsia="宋体" w:cs="Times New Roman"/>
                <w:color w:val="auto"/>
                <w:sz w:val="24"/>
                <w:szCs w:val="24"/>
              </w:rPr>
              <w:t>定期交有相应危废处置资质的单位处置</w:t>
            </w:r>
            <w:r>
              <w:rPr>
                <w:rFonts w:hint="default" w:ascii="Times New Roman" w:hAnsi="Times New Roman" w:eastAsia="宋体" w:cs="Times New Roman"/>
                <w:color w:val="auto"/>
                <w:sz w:val="24"/>
                <w:szCs w:val="24"/>
                <w:lang w:eastAsia="zh-CN"/>
              </w:rPr>
              <w:t>；</w:t>
            </w:r>
          </w:p>
          <w:p w14:paraId="23FC6F55">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t>根据《危险废物管理计划和管理台账制定技术导则》（</w:t>
            </w:r>
            <w:r>
              <w:rPr>
                <w:rFonts w:hint="default" w:ascii="Times New Roman" w:hAnsi="Times New Roman" w:eastAsia="宋体" w:cs="Times New Roman"/>
                <w:color w:val="auto"/>
                <w:sz w:val="24"/>
                <w:szCs w:val="24"/>
                <w:lang w:val="en-US" w:eastAsia="zh-CN"/>
              </w:rPr>
              <w:t>HJ1259-2022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企业</w:t>
            </w:r>
            <w:r>
              <w:rPr>
                <w:rFonts w:hint="default" w:ascii="Times New Roman" w:hAnsi="Times New Roman" w:eastAsia="宋体" w:cs="Times New Roman"/>
                <w:color w:val="auto"/>
                <w:sz w:val="24"/>
                <w:szCs w:val="24"/>
              </w:rPr>
              <w:t>应向</w:t>
            </w:r>
            <w:r>
              <w:rPr>
                <w:rFonts w:hint="default" w:ascii="Times New Roman" w:hAnsi="Times New Roman" w:eastAsia="宋体" w:cs="Times New Roman"/>
                <w:color w:val="auto"/>
                <w:sz w:val="24"/>
                <w:szCs w:val="24"/>
                <w:lang w:eastAsia="zh-CN"/>
              </w:rPr>
              <w:t>生态环境主管部门</w:t>
            </w:r>
            <w:r>
              <w:rPr>
                <w:rFonts w:hint="default" w:ascii="Times New Roman" w:hAnsi="Times New Roman" w:eastAsia="宋体" w:cs="Times New Roman"/>
                <w:color w:val="auto"/>
                <w:sz w:val="24"/>
                <w:szCs w:val="24"/>
              </w:rPr>
              <w:t>申报危险废物种类、产生量、产生环节、流向、贮存、处置情况等事项，</w:t>
            </w:r>
            <w:r>
              <w:rPr>
                <w:rFonts w:hint="default" w:ascii="Times New Roman" w:hAnsi="Times New Roman" w:eastAsia="宋体" w:cs="Times New Roman"/>
                <w:color w:val="auto"/>
                <w:sz w:val="24"/>
                <w:szCs w:val="24"/>
                <w:lang w:eastAsia="zh-CN"/>
              </w:rPr>
              <w:t>企业应</w:t>
            </w:r>
            <w:r>
              <w:rPr>
                <w:rFonts w:hint="default" w:ascii="Times New Roman" w:hAnsi="Times New Roman" w:eastAsia="宋体" w:cs="Times New Roman"/>
                <w:color w:val="auto"/>
                <w:sz w:val="24"/>
                <w:szCs w:val="24"/>
              </w:rPr>
              <w:t>于每年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日前</w:t>
            </w:r>
            <w:r>
              <w:rPr>
                <w:rFonts w:hint="default" w:ascii="Times New Roman" w:hAnsi="Times New Roman" w:eastAsia="宋体" w:cs="Times New Roman"/>
                <w:color w:val="auto"/>
                <w:sz w:val="24"/>
                <w:szCs w:val="24"/>
                <w:lang w:eastAsia="zh-CN"/>
              </w:rPr>
              <w:t>通过国家危险废物信息管理系统在线填写并申报本年度的危险废物管理计划，完成备案</w:t>
            </w:r>
            <w:r>
              <w:rPr>
                <w:rFonts w:hint="default" w:ascii="Times New Roman" w:hAnsi="Times New Roman" w:eastAsia="宋体" w:cs="Times New Roman"/>
                <w:color w:val="auto"/>
                <w:sz w:val="24"/>
                <w:szCs w:val="24"/>
              </w:rPr>
              <w:t>，并于每年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日前</w:t>
            </w:r>
            <w:r>
              <w:rPr>
                <w:rFonts w:hint="default" w:ascii="Times New Roman" w:hAnsi="Times New Roman" w:eastAsia="宋体" w:cs="Times New Roman"/>
                <w:color w:val="auto"/>
                <w:sz w:val="24"/>
                <w:szCs w:val="24"/>
                <w:lang w:eastAsia="zh-CN"/>
              </w:rPr>
              <w:t>完成上</w:t>
            </w:r>
            <w:r>
              <w:rPr>
                <w:rFonts w:hint="default" w:ascii="Times New Roman" w:hAnsi="Times New Roman" w:eastAsia="宋体" w:cs="Times New Roman"/>
                <w:color w:val="auto"/>
                <w:sz w:val="24"/>
                <w:szCs w:val="24"/>
              </w:rPr>
              <w:t>一年度</w:t>
            </w:r>
            <w:r>
              <w:rPr>
                <w:rFonts w:hint="default" w:ascii="Times New Roman" w:hAnsi="Times New Roman" w:eastAsia="宋体" w:cs="Times New Roman"/>
                <w:color w:val="auto"/>
                <w:sz w:val="24"/>
                <w:szCs w:val="24"/>
                <w:lang w:eastAsia="zh-CN"/>
              </w:rPr>
              <w:t>申报工作</w:t>
            </w:r>
            <w:r>
              <w:rPr>
                <w:rFonts w:hint="default" w:ascii="Times New Roman" w:hAnsi="Times New Roman" w:eastAsia="宋体" w:cs="Times New Roman"/>
                <w:color w:val="auto"/>
                <w:sz w:val="24"/>
                <w:szCs w:val="24"/>
              </w:rPr>
              <w:t>。</w:t>
            </w:r>
          </w:p>
          <w:p w14:paraId="36FD2A4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⑤危险废物的转移，必须按照国家有关规定填写危险废物转移联单，在全国固体废物和化学品管理信息系统进行申报。运输危险废物，必须采取防止污染环境的措施，危险废物的运输由持有危险废物经营许可证的单位组织实施，并按照《危险废物收集贮存运输技术规范》（HJ2025-2012）的要求进行，杜绝运输途中危废的外撒和跑冒滴漏。</w:t>
            </w:r>
          </w:p>
          <w:p w14:paraId="2EBA9E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6 \* GB3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厂区要建立危险废物管理台账，如实记载产生危险废物的种类、产生量、产生环节、流向、贮存、处置情况等事项，危险废物管理台账至少应保存</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年。</w:t>
            </w:r>
          </w:p>
          <w:p w14:paraId="114233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 7 \* GB3 \* MERGEFORMAT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color w:val="auto"/>
                <w:sz w:val="24"/>
              </w:rPr>
              <w:t>⑦</w:t>
            </w:r>
            <w:r>
              <w:rPr>
                <w:rFonts w:hint="default" w:ascii="Times New Roman" w:hAnsi="Times New Roman" w:eastAsia="宋体" w:cs="Times New Roman"/>
                <w:bCs/>
                <w:color w:val="auto"/>
                <w:sz w:val="24"/>
                <w:szCs w:val="24"/>
              </w:rPr>
              <w:fldChar w:fldCharType="end"/>
            </w:r>
            <w:r>
              <w:rPr>
                <w:rFonts w:hint="default" w:ascii="Times New Roman" w:hAnsi="Times New Roman" w:eastAsia="宋体" w:cs="Times New Roman"/>
                <w:bCs/>
                <w:color w:val="auto"/>
                <w:sz w:val="24"/>
                <w:szCs w:val="24"/>
              </w:rPr>
              <w:t>危险废物的运输由持有危险废物经营许可证的单位组织实施，并按照《危险废物收集贮存运输技术规范》（HJ2025-2012）的要求进行</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rPr>
              <w:t>杜绝运输途中危废的外撒和跑冒滴漏。</w:t>
            </w:r>
          </w:p>
          <w:p w14:paraId="0E05F4DD">
            <w:pPr>
              <w:spacing w:line="360" w:lineRule="auto"/>
              <w:ind w:firstLine="440" w:firstLineChars="200"/>
              <w:rPr>
                <w:rFonts w:hint="eastAsia"/>
                <w:b w:val="0"/>
                <w:bCs w:val="0"/>
                <w:color w:val="auto"/>
                <w:kern w:val="0"/>
                <w:sz w:val="24"/>
              </w:rPr>
            </w:pPr>
            <w:r>
              <w:rPr>
                <w:rFonts w:hint="default" w:ascii="Times New Roman" w:hAnsi="Times New Roman" w:eastAsia="宋体" w:cs="Times New Roman"/>
                <w:bCs/>
                <w:color w:val="auto"/>
                <w:spacing w:val="-10"/>
                <w:sz w:val="24"/>
                <w:lang w:val="zh-CN" w:eastAsia="zh-CN"/>
              </w:rPr>
              <w:t>综上分析可知，项目固体废物均得到妥善处置，对周围环境影响较小。</w:t>
            </w:r>
          </w:p>
          <w:p w14:paraId="63BABCD9">
            <w:pPr>
              <w:adjustRightInd w:val="0"/>
              <w:snapToGrid w:val="0"/>
              <w:spacing w:line="240" w:lineRule="auto"/>
              <w:jc w:val="left"/>
              <w:rPr>
                <w:rFonts w:hAnsi="宋体"/>
                <w:b/>
                <w:color w:val="auto"/>
                <w:kern w:val="0"/>
                <w:sz w:val="24"/>
                <w:szCs w:val="24"/>
              </w:rPr>
            </w:pPr>
            <w:r>
              <w:rPr>
                <w:rFonts w:hint="eastAsia" w:hAnsi="宋体"/>
                <w:b/>
                <w:color w:val="auto"/>
                <w:kern w:val="0"/>
                <w:sz w:val="24"/>
                <w:szCs w:val="24"/>
              </w:rPr>
              <w:t>5、地下水、土壤</w:t>
            </w:r>
          </w:p>
          <w:p w14:paraId="0286A18B">
            <w:pPr>
              <w:spacing w:line="360" w:lineRule="auto"/>
              <w:ind w:firstLine="480" w:firstLineChars="200"/>
              <w:rPr>
                <w:rFonts w:hint="eastAsia" w:ascii="Times New Roman" w:hAnsi="Times New Roman" w:eastAsia="宋体" w:cs="Times New Roman"/>
                <w:color w:val="000000"/>
                <w:spacing w:val="0"/>
                <w:position w:val="0"/>
                <w:sz w:val="24"/>
                <w:highlight w:val="none"/>
                <w:lang w:eastAsia="zh-CN"/>
              </w:rPr>
            </w:pPr>
            <w:r>
              <w:rPr>
                <w:rFonts w:hint="eastAsia" w:ascii="Times New Roman" w:hAnsi="Times New Roman" w:eastAsia="宋体" w:cs="Times New Roman"/>
                <w:color w:val="auto"/>
                <w:spacing w:val="0"/>
                <w:position w:val="0"/>
                <w:sz w:val="24"/>
                <w:highlight w:val="none"/>
                <w:lang w:eastAsia="zh-CN"/>
              </w:rPr>
              <w:t>（</w:t>
            </w:r>
            <w:r>
              <w:rPr>
                <w:rFonts w:hint="eastAsia" w:ascii="Times New Roman" w:hAnsi="Times New Roman" w:eastAsia="宋体" w:cs="Times New Roman"/>
                <w:color w:val="auto"/>
                <w:spacing w:val="0"/>
                <w:position w:val="0"/>
                <w:sz w:val="24"/>
                <w:highlight w:val="none"/>
                <w:lang w:val="en-US" w:eastAsia="zh-CN"/>
              </w:rPr>
              <w:t>1</w:t>
            </w:r>
            <w:r>
              <w:rPr>
                <w:rFonts w:hint="eastAsia" w:ascii="Times New Roman" w:hAnsi="Times New Roman" w:eastAsia="宋体" w:cs="Times New Roman"/>
                <w:color w:val="auto"/>
                <w:spacing w:val="0"/>
                <w:position w:val="0"/>
                <w:sz w:val="24"/>
                <w:highlight w:val="none"/>
                <w:lang w:eastAsia="zh-CN"/>
              </w:rPr>
              <w:t>）</w:t>
            </w:r>
            <w:r>
              <w:rPr>
                <w:rFonts w:hint="eastAsia" w:cs="Times New Roman"/>
                <w:color w:val="auto"/>
                <w:spacing w:val="0"/>
                <w:position w:val="0"/>
                <w:sz w:val="24"/>
                <w:highlight w:val="none"/>
                <w:lang w:eastAsia="zh-CN"/>
              </w:rPr>
              <w:t>污染源及污染途</w:t>
            </w:r>
            <w:r>
              <w:rPr>
                <w:rFonts w:hint="eastAsia" w:cs="Times New Roman"/>
                <w:color w:val="000000"/>
                <w:spacing w:val="0"/>
                <w:position w:val="0"/>
                <w:sz w:val="24"/>
                <w:highlight w:val="none"/>
                <w:lang w:eastAsia="zh-CN"/>
              </w:rPr>
              <w:t>径分析</w:t>
            </w:r>
          </w:p>
          <w:p w14:paraId="53531AD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pacing w:val="0"/>
                <w:position w:val="0"/>
                <w:sz w:val="24"/>
                <w:szCs w:val="24"/>
                <w:highlight w:val="none"/>
                <w:lang w:eastAsia="zh-CN"/>
              </w:rPr>
            </w:pPr>
            <w:r>
              <w:rPr>
                <w:rFonts w:hint="default" w:ascii="Times New Roman" w:hAnsi="Times New Roman" w:eastAsia="宋体" w:cs="Times New Roman"/>
                <w:color w:val="000000"/>
                <w:spacing w:val="0"/>
                <w:position w:val="0"/>
                <w:sz w:val="24"/>
                <w:highlight w:val="none"/>
              </w:rPr>
              <w:t>根据对项目生产过程及存储方式等进行分析，本项目对地下水</w:t>
            </w:r>
            <w:r>
              <w:rPr>
                <w:rFonts w:hint="eastAsia" w:ascii="Times New Roman" w:hAnsi="Times New Roman" w:eastAsia="宋体" w:cs="Times New Roman"/>
                <w:color w:val="000000"/>
                <w:spacing w:val="0"/>
                <w:position w:val="0"/>
                <w:sz w:val="24"/>
                <w:highlight w:val="none"/>
              </w:rPr>
              <w:t>及土壤环境</w:t>
            </w:r>
            <w:r>
              <w:rPr>
                <w:rFonts w:hint="default" w:ascii="Times New Roman" w:hAnsi="Times New Roman" w:eastAsia="宋体" w:cs="Times New Roman"/>
                <w:color w:val="000000"/>
                <w:spacing w:val="0"/>
                <w:position w:val="0"/>
                <w:sz w:val="24"/>
                <w:highlight w:val="none"/>
              </w:rPr>
              <w:t>影响的污染</w:t>
            </w:r>
            <w:r>
              <w:rPr>
                <w:rFonts w:hint="default" w:ascii="Times New Roman" w:hAnsi="Times New Roman" w:eastAsia="宋体" w:cs="Times New Roman"/>
                <w:color w:val="auto"/>
                <w:spacing w:val="0"/>
                <w:position w:val="0"/>
                <w:sz w:val="24"/>
                <w:highlight w:val="none"/>
              </w:rPr>
              <w:t>源有：</w:t>
            </w:r>
            <w:r>
              <w:rPr>
                <w:rFonts w:ascii="Times New Roman" w:hAnsi="Times New Roman"/>
                <w:color w:val="auto"/>
                <w:sz w:val="24"/>
                <w:szCs w:val="24"/>
              </w:rPr>
              <w:t>危废暂存间</w:t>
            </w:r>
            <w:r>
              <w:rPr>
                <w:rFonts w:hint="eastAsia" w:ascii="Times New Roman" w:hAnsi="Times New Roman"/>
                <w:color w:val="auto"/>
                <w:sz w:val="24"/>
                <w:szCs w:val="24"/>
                <w:lang w:eastAsia="zh-CN"/>
              </w:rPr>
              <w:t>、盐酸储罐区、液碱储罐区、洗滤罐区、二级碱喷淋塔处、污水处理区、事故应急池</w:t>
            </w:r>
            <w:r>
              <w:rPr>
                <w:rFonts w:hint="default" w:ascii="Times New Roman" w:hAnsi="Times New Roman" w:eastAsia="宋体" w:cs="Times New Roman"/>
                <w:color w:val="auto"/>
                <w:spacing w:val="0"/>
                <w:position w:val="0"/>
                <w:sz w:val="24"/>
                <w:highlight w:val="none"/>
              </w:rPr>
              <w:t>，</w:t>
            </w:r>
            <w:r>
              <w:rPr>
                <w:rFonts w:hint="eastAsia" w:ascii="Times New Roman" w:hAnsi="Times New Roman" w:eastAsia="宋体" w:cs="Times New Roman"/>
                <w:color w:val="auto"/>
                <w:spacing w:val="0"/>
                <w:position w:val="0"/>
                <w:sz w:val="24"/>
                <w:highlight w:val="none"/>
                <w:lang w:eastAsia="zh-CN"/>
              </w:rPr>
              <w:t>主要污染途径为</w:t>
            </w:r>
            <w:r>
              <w:rPr>
                <w:rFonts w:hint="eastAsia" w:ascii="Times New Roman" w:hAnsi="Times New Roman" w:eastAsia="宋体" w:cs="Times New Roman"/>
                <w:color w:val="000000"/>
                <w:spacing w:val="0"/>
                <w:position w:val="0"/>
                <w:sz w:val="24"/>
                <w:highlight w:val="none"/>
                <w:lang w:eastAsia="zh-CN"/>
              </w:rPr>
              <w:t>地面下渗污染。</w:t>
            </w:r>
          </w:p>
          <w:p w14:paraId="3EEDE4B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pacing w:val="0"/>
                <w:position w:val="0"/>
                <w:sz w:val="24"/>
                <w:szCs w:val="24"/>
                <w:highlight w:val="none"/>
                <w:lang w:eastAsia="zh-CN"/>
              </w:rPr>
            </w:pPr>
            <w:r>
              <w:rPr>
                <w:rFonts w:hint="default" w:ascii="Times New Roman" w:hAnsi="Times New Roman" w:eastAsia="宋体" w:cs="Times New Roman"/>
                <w:color w:val="000000"/>
                <w:spacing w:val="0"/>
                <w:position w:val="0"/>
                <w:sz w:val="24"/>
                <w:szCs w:val="24"/>
                <w:highlight w:val="none"/>
                <w:lang w:eastAsia="zh-CN"/>
              </w:rPr>
              <w:t>（</w:t>
            </w:r>
            <w:r>
              <w:rPr>
                <w:rFonts w:hint="default" w:ascii="Times New Roman" w:hAnsi="Times New Roman" w:eastAsia="宋体" w:cs="Times New Roman"/>
                <w:color w:val="000000"/>
                <w:spacing w:val="0"/>
                <w:position w:val="0"/>
                <w:sz w:val="24"/>
                <w:szCs w:val="24"/>
                <w:highlight w:val="none"/>
                <w:lang w:val="en-US" w:eastAsia="zh-CN"/>
              </w:rPr>
              <w:t>2</w:t>
            </w:r>
            <w:r>
              <w:rPr>
                <w:rFonts w:hint="default" w:ascii="Times New Roman" w:hAnsi="Times New Roman" w:eastAsia="宋体" w:cs="Times New Roman"/>
                <w:color w:val="000000"/>
                <w:spacing w:val="0"/>
                <w:position w:val="0"/>
                <w:sz w:val="24"/>
                <w:szCs w:val="24"/>
                <w:highlight w:val="none"/>
                <w:lang w:eastAsia="zh-CN"/>
              </w:rPr>
              <w:t>）污染防治措施</w:t>
            </w:r>
          </w:p>
          <w:p w14:paraId="2A0B42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为确保项目生产运行不会对周围地下水、土壤产生污染，评价建议建设单位应采取分区防治措施，将厂区内按各功能单元所处位置划分为一般防渗区、简单防渗区和重点防渗区。 </w:t>
            </w:r>
          </w:p>
          <w:p w14:paraId="24C366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1）重点防渗区 </w:t>
            </w:r>
          </w:p>
          <w:p w14:paraId="4D68EB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ascii="Times New Roman" w:hAnsi="Times New Roman"/>
                <w:color w:val="auto"/>
                <w:sz w:val="24"/>
                <w:szCs w:val="24"/>
              </w:rPr>
              <w:t>危废暂存间</w:t>
            </w:r>
            <w:r>
              <w:rPr>
                <w:rFonts w:hint="eastAsia" w:ascii="Times New Roman" w:hAnsi="Times New Roman"/>
                <w:color w:val="auto"/>
                <w:sz w:val="24"/>
                <w:szCs w:val="24"/>
                <w:lang w:eastAsia="zh-CN"/>
              </w:rPr>
              <w:t>、盐酸储罐区、液碱储罐区、洗滤罐区、二级碱喷淋塔处、污水处理区、事故应急池</w:t>
            </w:r>
            <w:r>
              <w:rPr>
                <w:rFonts w:hint="default" w:ascii="Times New Roman" w:hAnsi="Times New Roman" w:eastAsia="宋体" w:cs="Times New Roman"/>
                <w:color w:val="auto"/>
                <w:kern w:val="0"/>
                <w:sz w:val="24"/>
                <w:szCs w:val="24"/>
                <w:lang w:val="en-US" w:eastAsia="zh-CN" w:bidi="ar"/>
              </w:rPr>
              <w:t>采用抗渗</w:t>
            </w:r>
            <w:r>
              <w:rPr>
                <w:rFonts w:hint="default" w:ascii="Times New Roman" w:hAnsi="Times New Roman" w:eastAsia="宋体" w:cs="Times New Roman"/>
                <w:color w:val="000000"/>
                <w:kern w:val="0"/>
                <w:sz w:val="24"/>
                <w:szCs w:val="24"/>
                <w:lang w:val="en-US" w:eastAsia="zh-CN" w:bidi="ar"/>
              </w:rPr>
              <w:t>钢筋混凝土，防渗措施应满足《环境影响评价技术导则</w:t>
            </w:r>
            <w:r>
              <w:rPr>
                <w:rFonts w:hint="eastAsia"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地下水环境》（HJ610-2016）中重点防渗措施中“等效黏土防渗层 Mb≥6.0m，K≤10</w:t>
            </w:r>
            <w:r>
              <w:rPr>
                <w:rFonts w:hint="default" w:ascii="Times New Roman" w:hAnsi="Times New Roman" w:eastAsia="宋体" w:cs="Times New Roman"/>
                <w:color w:val="000000"/>
                <w:kern w:val="0"/>
                <w:sz w:val="24"/>
                <w:szCs w:val="24"/>
                <w:vertAlign w:val="superscript"/>
                <w:lang w:val="en-US" w:eastAsia="zh-CN" w:bidi="ar"/>
              </w:rPr>
              <w:t xml:space="preserve"> -7</w:t>
            </w:r>
            <w:r>
              <w:rPr>
                <w:rFonts w:hint="default" w:ascii="Times New Roman" w:hAnsi="Times New Roman" w:eastAsia="宋体" w:cs="Times New Roman"/>
                <w:color w:val="000000"/>
                <w:kern w:val="0"/>
                <w:sz w:val="24"/>
                <w:szCs w:val="24"/>
                <w:lang w:val="en-US" w:eastAsia="zh-CN" w:bidi="ar"/>
              </w:rPr>
              <w:t>cm/s；或参照《</w:t>
            </w:r>
            <w:r>
              <w:rPr>
                <w:rFonts w:hint="eastAsia" w:ascii="Times New Roman" w:hAnsi="Times New Roman" w:eastAsia="宋体" w:cs="Times New Roman"/>
                <w:color w:val="000000"/>
                <w:kern w:val="0"/>
                <w:sz w:val="24"/>
                <w:szCs w:val="24"/>
                <w:lang w:val="en-US" w:eastAsia="zh-CN" w:bidi="ar"/>
              </w:rPr>
              <w:t>危险废物填埋污染控制标准</w:t>
            </w:r>
            <w:r>
              <w:rPr>
                <w:rFonts w:hint="default" w:ascii="Times New Roman" w:hAnsi="Times New Roman" w:eastAsia="宋体" w:cs="Times New Roman"/>
                <w:color w:val="000000"/>
                <w:kern w:val="0"/>
                <w:sz w:val="24"/>
                <w:szCs w:val="24"/>
                <w:lang w:val="en-US" w:eastAsia="zh-CN" w:bidi="ar"/>
              </w:rPr>
              <w:t>》（GB1859</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019</w:t>
            </w:r>
            <w:r>
              <w:rPr>
                <w:rFonts w:hint="default" w:ascii="Times New Roman" w:hAnsi="Times New Roman" w:eastAsia="宋体" w:cs="Times New Roman"/>
                <w:color w:val="000000"/>
                <w:kern w:val="0"/>
                <w:sz w:val="24"/>
                <w:szCs w:val="24"/>
                <w:lang w:val="en-US" w:eastAsia="zh-CN" w:bidi="ar"/>
              </w:rPr>
              <w:t>）执行相关要求</w:t>
            </w:r>
            <w:r>
              <w:rPr>
                <w:rFonts w:hint="defaul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p>
          <w:p w14:paraId="5F73ED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危废暂存间防渗</w:t>
            </w:r>
            <w:r>
              <w:rPr>
                <w:rFonts w:hint="eastAsia" w:ascii="Times New Roman" w:hAnsi="Times New Roman" w:eastAsia="宋体" w:cs="Times New Roman"/>
                <w:color w:val="000000"/>
                <w:kern w:val="0"/>
                <w:sz w:val="24"/>
                <w:szCs w:val="24"/>
                <w:lang w:val="en-US" w:eastAsia="zh-CN" w:bidi="ar"/>
              </w:rPr>
              <w:t>满足</w:t>
            </w:r>
            <w:r>
              <w:rPr>
                <w:rFonts w:hint="default" w:ascii="Times New Roman" w:hAnsi="Times New Roman" w:eastAsia="宋体" w:cs="Times New Roman"/>
                <w:bCs/>
                <w:color w:val="auto"/>
                <w:sz w:val="24"/>
                <w:szCs w:val="24"/>
              </w:rPr>
              <w:t>《危险废物贮存污染控制标准》（GB18597-20</w:t>
            </w:r>
            <w:r>
              <w:rPr>
                <w:rFonts w:hint="default" w:ascii="Times New Roman" w:hAnsi="Times New Roman" w:eastAsia="宋体" w:cs="Times New Roman"/>
                <w:bCs/>
                <w:color w:val="auto"/>
                <w:sz w:val="24"/>
                <w:szCs w:val="24"/>
                <w:lang w:val="en-US" w:eastAsia="zh-CN"/>
              </w:rPr>
              <w:t>23</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000000"/>
                <w:kern w:val="0"/>
                <w:sz w:val="24"/>
                <w:szCs w:val="24"/>
                <w:lang w:val="en-US" w:eastAsia="zh-CN" w:bidi="ar"/>
              </w:rPr>
              <w:t>要求</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防渗层为至少1 m厚黏土层（渗透系数不大于10</w:t>
            </w:r>
            <w:r>
              <w:rPr>
                <w:rFonts w:hint="default" w:ascii="Times New Roman" w:hAnsi="Times New Roman" w:eastAsia="宋体" w:cs="Times New Roman"/>
                <w:color w:val="000000"/>
                <w:kern w:val="0"/>
                <w:sz w:val="24"/>
                <w:szCs w:val="24"/>
                <w:vertAlign w:val="superscript"/>
                <w:lang w:val="en-US" w:eastAsia="zh-CN" w:bidi="ar"/>
              </w:rPr>
              <w:t>-7</w:t>
            </w:r>
            <w:r>
              <w:rPr>
                <w:rFonts w:hint="default" w:ascii="Times New Roman" w:hAnsi="Times New Roman" w:eastAsia="宋体" w:cs="Times New Roman"/>
                <w:color w:val="000000"/>
                <w:kern w:val="0"/>
                <w:sz w:val="24"/>
                <w:szCs w:val="24"/>
                <w:lang w:val="en-US" w:eastAsia="zh-CN" w:bidi="ar"/>
              </w:rPr>
              <w:t>cm/s），或至少2 m</w:t>
            </w:r>
            <w:r>
              <w:rPr>
                <w:rFonts w:hint="eastAsia"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厚高密度聚乙烯膜等人工防渗材料（渗透系数不大于10</w:t>
            </w:r>
            <w:r>
              <w:rPr>
                <w:rFonts w:hint="default" w:ascii="Times New Roman" w:hAnsi="Times New Roman" w:eastAsia="宋体" w:cs="Times New Roman"/>
                <w:color w:val="000000"/>
                <w:kern w:val="0"/>
                <w:sz w:val="24"/>
                <w:szCs w:val="24"/>
                <w:vertAlign w:val="superscript"/>
                <w:lang w:val="en-US" w:eastAsia="zh-CN" w:bidi="ar"/>
              </w:rPr>
              <w:t>-10</w:t>
            </w:r>
            <w:r>
              <w:rPr>
                <w:rFonts w:hint="default" w:ascii="Times New Roman" w:hAnsi="Times New Roman" w:eastAsia="宋体" w:cs="Times New Roman"/>
                <w:color w:val="000000"/>
                <w:kern w:val="0"/>
                <w:sz w:val="24"/>
                <w:szCs w:val="24"/>
                <w:lang w:val="en-US" w:eastAsia="zh-CN" w:bidi="ar"/>
              </w:rPr>
              <w:t>cm/s）</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或其他防渗性能等效的材料</w:t>
            </w:r>
            <w:r>
              <w:rPr>
                <w:rFonts w:hint="eastAsia"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 </w:t>
            </w:r>
          </w:p>
          <w:p w14:paraId="4237E9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2）一般防渗区 </w:t>
            </w:r>
          </w:p>
          <w:p w14:paraId="13B9950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评价要求在</w:t>
            </w:r>
            <w:r>
              <w:rPr>
                <w:rFonts w:hint="eastAsia" w:ascii="Times New Roman" w:hAnsi="Times New Roman"/>
                <w:color w:val="auto"/>
                <w:sz w:val="24"/>
                <w:szCs w:val="24"/>
                <w:lang w:eastAsia="zh-CN"/>
              </w:rPr>
              <w:t>生产车间其他区域、隔油池、化粪池</w:t>
            </w:r>
            <w:r>
              <w:rPr>
                <w:rFonts w:hint="default" w:ascii="Times New Roman" w:hAnsi="Times New Roman" w:eastAsia="宋体" w:cs="Times New Roman"/>
                <w:color w:val="000000"/>
                <w:kern w:val="0"/>
                <w:sz w:val="24"/>
                <w:szCs w:val="24"/>
                <w:lang w:val="en-US" w:eastAsia="zh-CN" w:bidi="ar"/>
              </w:rPr>
              <w:t>采用抗渗混凝土浇制地面底板，企业在经处理的防腐基体上铺设防渗措施，防渗措施应满足《环境影响评价技术导则地下水环境》（HJ610-2016）中一般防渗措施中“等效黏土防渗层Mb≥1.5m，K≤10</w:t>
            </w:r>
            <w:r>
              <w:rPr>
                <w:rFonts w:hint="default" w:ascii="Times New Roman" w:hAnsi="Times New Roman" w:eastAsia="宋体" w:cs="Times New Roman"/>
                <w:color w:val="000000"/>
                <w:kern w:val="0"/>
                <w:sz w:val="24"/>
                <w:szCs w:val="24"/>
                <w:vertAlign w:val="superscript"/>
                <w:lang w:val="en-US" w:eastAsia="zh-CN" w:bidi="ar"/>
              </w:rPr>
              <w:t>-7</w:t>
            </w:r>
            <w:r>
              <w:rPr>
                <w:rFonts w:hint="default" w:ascii="Times New Roman" w:hAnsi="Times New Roman" w:eastAsia="宋体" w:cs="Times New Roman"/>
                <w:color w:val="000000"/>
                <w:kern w:val="0"/>
                <w:sz w:val="24"/>
                <w:szCs w:val="24"/>
                <w:lang w:val="en-US" w:eastAsia="zh-CN" w:bidi="ar"/>
              </w:rPr>
              <w:t>cm/s；或参照GB16889执行</w:t>
            </w:r>
            <w:r>
              <w:rPr>
                <w:rFonts w:hint="eastAsia" w:ascii="Times New Roman" w:hAnsi="Times New Roman" w:eastAsia="宋体" w:cs="Times New Roman"/>
                <w:color w:val="000000"/>
                <w:kern w:val="0"/>
                <w:sz w:val="24"/>
                <w:szCs w:val="24"/>
                <w:lang w:val="en-US" w:eastAsia="zh-CN" w:bidi="ar"/>
              </w:rPr>
              <w:t>相关</w:t>
            </w:r>
            <w:r>
              <w:rPr>
                <w:rFonts w:hint="default" w:ascii="Times New Roman" w:hAnsi="Times New Roman" w:eastAsia="宋体" w:cs="Times New Roman"/>
                <w:color w:val="000000"/>
                <w:kern w:val="0"/>
                <w:sz w:val="24"/>
                <w:szCs w:val="24"/>
                <w:lang w:val="en-US" w:eastAsia="zh-CN" w:bidi="ar"/>
              </w:rPr>
              <w:t>要求</w:t>
            </w:r>
            <w:r>
              <w:rPr>
                <w:rFonts w:hint="defaul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14:paraId="23081E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简单</w:t>
            </w:r>
            <w:r>
              <w:rPr>
                <w:rFonts w:hint="default" w:ascii="Times New Roman" w:hAnsi="Times New Roman" w:eastAsia="宋体" w:cs="Times New Roman"/>
                <w:color w:val="000000"/>
                <w:kern w:val="0"/>
                <w:sz w:val="24"/>
                <w:szCs w:val="24"/>
                <w:lang w:val="en-US" w:eastAsia="zh-CN" w:bidi="ar"/>
              </w:rPr>
              <w:t xml:space="preserve">防渗区 </w:t>
            </w:r>
          </w:p>
          <w:p w14:paraId="58DD1C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评价要求在</w:t>
            </w:r>
            <w:r>
              <w:rPr>
                <w:rFonts w:hint="eastAsia"/>
                <w:color w:val="auto"/>
                <w:sz w:val="24"/>
                <w:szCs w:val="24"/>
                <w:lang w:eastAsia="zh-CN"/>
              </w:rPr>
              <w:t>厂区内道路区域、办公区、食堂宿舍等</w:t>
            </w:r>
            <w:r>
              <w:rPr>
                <w:rFonts w:hint="default" w:ascii="Times New Roman" w:hAnsi="Times New Roman" w:eastAsia="宋体" w:cs="Times New Roman"/>
                <w:color w:val="000000"/>
                <w:kern w:val="0"/>
                <w:sz w:val="24"/>
                <w:szCs w:val="24"/>
                <w:lang w:val="en-US" w:eastAsia="zh-CN" w:bidi="ar"/>
              </w:rPr>
              <w:t>防渗措施应满足《环境影响评价技术导则地下水环境》（HJ610-2016）中</w:t>
            </w:r>
            <w:r>
              <w:rPr>
                <w:rFonts w:hint="eastAsia" w:cs="Times New Roman"/>
                <w:color w:val="000000"/>
                <w:kern w:val="0"/>
                <w:sz w:val="24"/>
                <w:szCs w:val="24"/>
                <w:lang w:val="en-US" w:eastAsia="zh-CN" w:bidi="ar"/>
              </w:rPr>
              <w:t>简单</w:t>
            </w:r>
            <w:r>
              <w:rPr>
                <w:rFonts w:hint="default" w:ascii="Times New Roman" w:hAnsi="Times New Roman" w:eastAsia="宋体" w:cs="Times New Roman"/>
                <w:color w:val="000000"/>
                <w:kern w:val="0"/>
                <w:sz w:val="24"/>
                <w:szCs w:val="24"/>
                <w:lang w:val="en-US" w:eastAsia="zh-CN" w:bidi="ar"/>
              </w:rPr>
              <w:t>防渗措施中“</w:t>
            </w:r>
            <w:r>
              <w:rPr>
                <w:rFonts w:hint="eastAsia"/>
                <w:color w:val="auto"/>
                <w:sz w:val="24"/>
                <w:szCs w:val="24"/>
                <w:lang w:eastAsia="zh-CN"/>
              </w:rPr>
              <w:t>一般地面硬化</w:t>
            </w:r>
            <w:r>
              <w:rPr>
                <w:rFonts w:hint="defaul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p>
          <w:p w14:paraId="4765D7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本项目分区防渗措施见下表。</w:t>
            </w:r>
          </w:p>
          <w:p w14:paraId="3F363E39">
            <w:pPr>
              <w:spacing w:line="240" w:lineRule="auto"/>
              <w:jc w:val="center"/>
              <w:rPr>
                <w:rFonts w:hint="default" w:ascii="Times New Roman" w:hAnsi="Times New Roman" w:eastAsia="宋体" w:cs="Times New Roman"/>
                <w:b/>
                <w:bCs/>
                <w:color w:val="000000"/>
                <w:spacing w:val="0"/>
                <w:position w:val="0"/>
                <w:sz w:val="24"/>
                <w:highlight w:val="none"/>
              </w:rPr>
            </w:pPr>
            <w:r>
              <w:rPr>
                <w:rFonts w:hint="default" w:ascii="Times New Roman" w:hAnsi="Times New Roman" w:eastAsia="宋体" w:cs="Times New Roman"/>
                <w:b/>
                <w:bCs/>
                <w:color w:val="000000"/>
                <w:spacing w:val="0"/>
                <w:position w:val="0"/>
                <w:sz w:val="21"/>
                <w:szCs w:val="21"/>
                <w:highlight w:val="none"/>
              </w:rPr>
              <w:t>表</w:t>
            </w:r>
            <w:r>
              <w:rPr>
                <w:rFonts w:hint="eastAsia" w:ascii="Times New Roman" w:hAnsi="Times New Roman" w:eastAsia="宋体" w:cs="Times New Roman"/>
                <w:b/>
                <w:bCs/>
                <w:color w:val="000000"/>
                <w:spacing w:val="0"/>
                <w:position w:val="0"/>
                <w:sz w:val="21"/>
                <w:szCs w:val="21"/>
                <w:highlight w:val="none"/>
                <w:lang w:val="en-US" w:eastAsia="zh-CN"/>
              </w:rPr>
              <w:t>4-1</w:t>
            </w:r>
            <w:r>
              <w:rPr>
                <w:rFonts w:hint="eastAsia" w:cs="Times New Roman"/>
                <w:b/>
                <w:bCs/>
                <w:color w:val="000000"/>
                <w:spacing w:val="0"/>
                <w:position w:val="0"/>
                <w:sz w:val="21"/>
                <w:szCs w:val="21"/>
                <w:highlight w:val="none"/>
                <w:lang w:val="en-US" w:eastAsia="zh-CN"/>
              </w:rPr>
              <w:t xml:space="preserve">6 </w:t>
            </w:r>
            <w:r>
              <w:rPr>
                <w:rFonts w:hint="default" w:ascii="Times New Roman" w:hAnsi="Times New Roman" w:eastAsia="宋体" w:cs="Times New Roman"/>
                <w:b/>
                <w:bCs/>
                <w:color w:val="000000"/>
                <w:spacing w:val="0"/>
                <w:position w:val="0"/>
                <w:sz w:val="21"/>
                <w:szCs w:val="21"/>
                <w:highlight w:val="none"/>
              </w:rPr>
              <w:t>项目</w:t>
            </w:r>
            <w:r>
              <w:rPr>
                <w:rFonts w:hint="eastAsia" w:cs="Times New Roman"/>
                <w:b/>
                <w:bCs/>
                <w:color w:val="000000"/>
                <w:spacing w:val="0"/>
                <w:position w:val="0"/>
                <w:sz w:val="21"/>
                <w:szCs w:val="21"/>
                <w:highlight w:val="none"/>
                <w:lang w:eastAsia="zh-CN"/>
              </w:rPr>
              <w:t>防渗区及防渗要求</w:t>
            </w:r>
            <w:r>
              <w:rPr>
                <w:rFonts w:hint="default" w:ascii="Times New Roman" w:hAnsi="Times New Roman" w:eastAsia="宋体" w:cs="Times New Roman"/>
                <w:b/>
                <w:bCs/>
                <w:color w:val="000000"/>
                <w:spacing w:val="0"/>
                <w:position w:val="0"/>
                <w:sz w:val="21"/>
                <w:szCs w:val="21"/>
                <w:highlight w:val="none"/>
              </w:rPr>
              <w:t>一览表</w:t>
            </w:r>
          </w:p>
          <w:tbl>
            <w:tblPr>
              <w:tblStyle w:val="25"/>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439"/>
              <w:gridCol w:w="2667"/>
              <w:gridCol w:w="3787"/>
            </w:tblGrid>
            <w:tr w14:paraId="08B3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611BD67D">
                  <w:pPr>
                    <w:pStyle w:val="6"/>
                    <w:keepNext w:val="0"/>
                    <w:keepLines w:val="0"/>
                    <w:suppressLineNumbers w:val="0"/>
                    <w:bidi w:val="0"/>
                    <w:spacing w:before="0" w:beforeAutospacing="0" w:after="0" w:afterAutospacing="0"/>
                    <w:ind w:right="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序号</w:t>
                  </w:r>
                </w:p>
              </w:tc>
              <w:tc>
                <w:tcPr>
                  <w:tcW w:w="818" w:type="pct"/>
                  <w:noWrap w:val="0"/>
                  <w:vAlign w:val="center"/>
                </w:tcPr>
                <w:p w14:paraId="3E7557B5">
                  <w:pPr>
                    <w:pStyle w:val="6"/>
                    <w:keepNext w:val="0"/>
                    <w:keepLines w:val="0"/>
                    <w:suppressLineNumbers w:val="0"/>
                    <w:bidi w:val="0"/>
                    <w:spacing w:before="0" w:beforeAutospacing="0" w:after="0" w:afterAutospacing="0"/>
                    <w:ind w:right="0" w:rightChars="0"/>
                    <w:jc w:val="center"/>
                    <w:rPr>
                      <w:rFonts w:hint="eastAsia" w:ascii="Times New Roman" w:hAnsi="Times New Roman" w:eastAsia="宋体" w:cs="Times New Roman"/>
                      <w:b w:val="0"/>
                      <w:bCs w:val="0"/>
                      <w:color w:val="auto"/>
                      <w:spacing w:val="0"/>
                      <w:position w:val="0"/>
                      <w:sz w:val="21"/>
                      <w:szCs w:val="21"/>
                      <w:lang w:eastAsia="zh-CN"/>
                    </w:rPr>
                  </w:pPr>
                  <w:r>
                    <w:rPr>
                      <w:rFonts w:hint="eastAsia" w:ascii="Times New Roman" w:hAnsi="Times New Roman" w:eastAsia="宋体" w:cs="Times New Roman"/>
                      <w:b w:val="0"/>
                      <w:bCs w:val="0"/>
                      <w:color w:val="auto"/>
                      <w:spacing w:val="0"/>
                      <w:position w:val="0"/>
                      <w:sz w:val="21"/>
                      <w:szCs w:val="21"/>
                      <w:lang w:eastAsia="zh-CN"/>
                    </w:rPr>
                    <w:t>防渗级别</w:t>
                  </w:r>
                </w:p>
              </w:tc>
              <w:tc>
                <w:tcPr>
                  <w:tcW w:w="1517" w:type="pct"/>
                  <w:noWrap w:val="0"/>
                  <w:vAlign w:val="center"/>
                </w:tcPr>
                <w:p w14:paraId="3FEEB563">
                  <w:pPr>
                    <w:pStyle w:val="6"/>
                    <w:keepNext w:val="0"/>
                    <w:keepLines w:val="0"/>
                    <w:suppressLineNumbers w:val="0"/>
                    <w:bidi w:val="0"/>
                    <w:spacing w:before="0" w:beforeAutospacing="0" w:after="0" w:afterAutospacing="0"/>
                    <w:ind w:right="0" w:rightChars="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防渗区域</w:t>
                  </w:r>
                </w:p>
              </w:tc>
              <w:tc>
                <w:tcPr>
                  <w:tcW w:w="2155" w:type="pct"/>
                  <w:noWrap w:val="0"/>
                  <w:vAlign w:val="center"/>
                </w:tcPr>
                <w:p w14:paraId="43FBF0F6">
                  <w:pPr>
                    <w:pStyle w:val="6"/>
                    <w:keepNext w:val="0"/>
                    <w:keepLines w:val="0"/>
                    <w:suppressLineNumbers w:val="0"/>
                    <w:bidi w:val="0"/>
                    <w:spacing w:before="0" w:beforeAutospacing="0" w:after="0" w:afterAutospacing="0"/>
                    <w:ind w:right="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防渗要求</w:t>
                  </w:r>
                </w:p>
              </w:tc>
            </w:tr>
            <w:tr w14:paraId="02EE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4984B190">
                  <w:pPr>
                    <w:pStyle w:val="6"/>
                    <w:keepNext w:val="0"/>
                    <w:keepLines w:val="0"/>
                    <w:suppressLineNumbers w:val="0"/>
                    <w:bidi w:val="0"/>
                    <w:spacing w:before="0" w:beforeAutospacing="0" w:after="0" w:afterAutospacing="0"/>
                    <w:ind w:right="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1</w:t>
                  </w:r>
                </w:p>
              </w:tc>
              <w:tc>
                <w:tcPr>
                  <w:tcW w:w="818" w:type="pct"/>
                  <w:noWrap w:val="0"/>
                  <w:vAlign w:val="center"/>
                </w:tcPr>
                <w:p w14:paraId="15377719">
                  <w:pPr>
                    <w:pStyle w:val="6"/>
                    <w:keepNext w:val="0"/>
                    <w:keepLines w:val="0"/>
                    <w:suppressLineNumbers w:val="0"/>
                    <w:bidi w:val="0"/>
                    <w:spacing w:before="0" w:beforeAutospacing="0" w:after="0" w:afterAutospacing="0" w:line="240" w:lineRule="auto"/>
                    <w:ind w:right="0" w:rightChars="0"/>
                    <w:jc w:val="center"/>
                    <w:rPr>
                      <w:rFonts w:hint="default" w:ascii="Times New Roman" w:hAnsi="Times New Roman" w:eastAsia="宋体" w:cs="Times New Roman"/>
                      <w:b w:val="0"/>
                      <w:bCs w:val="0"/>
                      <w:color w:val="auto"/>
                      <w:spacing w:val="0"/>
                      <w:position w:val="0"/>
                      <w:sz w:val="21"/>
                      <w:szCs w:val="21"/>
                      <w:lang w:val="en-US" w:eastAsia="zh-CN"/>
                    </w:rPr>
                  </w:pPr>
                  <w:r>
                    <w:rPr>
                      <w:rFonts w:hint="default" w:ascii="Times New Roman" w:hAnsi="Times New Roman" w:eastAsia="宋体" w:cs="Times New Roman"/>
                      <w:b w:val="0"/>
                      <w:bCs w:val="0"/>
                      <w:color w:val="auto"/>
                      <w:spacing w:val="0"/>
                      <w:position w:val="0"/>
                      <w:sz w:val="21"/>
                      <w:szCs w:val="21"/>
                    </w:rPr>
                    <w:t>重点防渗区</w:t>
                  </w:r>
                </w:p>
              </w:tc>
              <w:tc>
                <w:tcPr>
                  <w:tcW w:w="1517" w:type="pct"/>
                  <w:noWrap w:val="0"/>
                  <w:vAlign w:val="center"/>
                </w:tcPr>
                <w:p w14:paraId="1B546C88">
                  <w:pPr>
                    <w:pStyle w:val="6"/>
                    <w:keepNext w:val="0"/>
                    <w:keepLines w:val="0"/>
                    <w:suppressLineNumbers w:val="0"/>
                    <w:bidi w:val="0"/>
                    <w:spacing w:before="0" w:beforeAutospacing="0" w:after="0" w:afterAutospacing="0" w:line="240" w:lineRule="auto"/>
                    <w:ind w:right="0" w:rightChars="0"/>
                    <w:jc w:val="center"/>
                    <w:rPr>
                      <w:rFonts w:hint="eastAsia" w:ascii="Times New Roman" w:hAnsi="Times New Roman" w:eastAsia="宋体" w:cs="Times New Roman"/>
                      <w:b w:val="0"/>
                      <w:bCs w:val="0"/>
                      <w:color w:val="auto"/>
                      <w:spacing w:val="0"/>
                      <w:position w:val="0"/>
                      <w:sz w:val="21"/>
                      <w:szCs w:val="21"/>
                      <w:lang w:eastAsia="zh-CN"/>
                    </w:rPr>
                  </w:pPr>
                  <w:r>
                    <w:rPr>
                      <w:rFonts w:ascii="Times New Roman" w:hAnsi="Times New Roman"/>
                      <w:color w:val="auto"/>
                      <w:sz w:val="21"/>
                      <w:szCs w:val="21"/>
                    </w:rPr>
                    <w:t>危废暂存间</w:t>
                  </w:r>
                  <w:r>
                    <w:rPr>
                      <w:rFonts w:hint="eastAsia" w:ascii="Times New Roman" w:hAnsi="Times New Roman"/>
                      <w:color w:val="auto"/>
                      <w:sz w:val="21"/>
                      <w:szCs w:val="21"/>
                      <w:lang w:eastAsia="zh-CN"/>
                    </w:rPr>
                    <w:t>、盐酸储罐区、液碱储罐区、洗滤罐区、二级碱喷淋塔处、污水处理区、事故应急池等</w:t>
                  </w:r>
                </w:p>
              </w:tc>
              <w:tc>
                <w:tcPr>
                  <w:tcW w:w="2155" w:type="pct"/>
                  <w:noWrap w:val="0"/>
                  <w:vAlign w:val="center"/>
                </w:tcPr>
                <w:p w14:paraId="40011420">
                  <w:pPr>
                    <w:pStyle w:val="6"/>
                    <w:keepNext w:val="0"/>
                    <w:keepLines w:val="0"/>
                    <w:suppressLineNumbers w:val="0"/>
                    <w:bidi w:val="0"/>
                    <w:spacing w:before="0" w:beforeAutospacing="0" w:after="0" w:afterAutospacing="0" w:line="240" w:lineRule="auto"/>
                    <w:ind w:right="0"/>
                    <w:jc w:val="center"/>
                    <w:rPr>
                      <w:rFonts w:hint="eastAsia" w:ascii="Times New Roman" w:hAnsi="Times New Roman" w:eastAsia="宋体" w:cs="Times New Roman"/>
                      <w:b w:val="0"/>
                      <w:bCs w:val="0"/>
                      <w:color w:val="auto"/>
                      <w:spacing w:val="0"/>
                      <w:position w:val="0"/>
                      <w:sz w:val="21"/>
                      <w:szCs w:val="21"/>
                      <w:lang w:eastAsia="zh-CN"/>
                    </w:rPr>
                  </w:pPr>
                  <w:r>
                    <w:rPr>
                      <w:rFonts w:hint="default" w:ascii="Times New Roman" w:hAnsi="Times New Roman" w:eastAsia="宋体" w:cs="Times New Roman"/>
                      <w:b w:val="0"/>
                      <w:bCs w:val="0"/>
                      <w:color w:val="auto"/>
                      <w:spacing w:val="0"/>
                      <w:position w:val="0"/>
                      <w:sz w:val="21"/>
                      <w:szCs w:val="21"/>
                    </w:rPr>
                    <w:t>等效黏土防渗层Mb≥6.0m，K≤1.0×10</w:t>
                  </w:r>
                  <w:r>
                    <w:rPr>
                      <w:rFonts w:hint="default" w:ascii="Times New Roman" w:hAnsi="Times New Roman" w:eastAsia="宋体" w:cs="Times New Roman"/>
                      <w:b w:val="0"/>
                      <w:bCs w:val="0"/>
                      <w:color w:val="auto"/>
                      <w:spacing w:val="0"/>
                      <w:position w:val="0"/>
                      <w:sz w:val="21"/>
                      <w:szCs w:val="21"/>
                      <w:vertAlign w:val="superscript"/>
                    </w:rPr>
                    <w:t>-7</w:t>
                  </w:r>
                  <w:r>
                    <w:rPr>
                      <w:rFonts w:hint="default" w:ascii="Times New Roman" w:hAnsi="Times New Roman" w:eastAsia="宋体" w:cs="Times New Roman"/>
                      <w:b w:val="0"/>
                      <w:bCs w:val="0"/>
                      <w:color w:val="auto"/>
                      <w:spacing w:val="0"/>
                      <w:position w:val="0"/>
                      <w:sz w:val="21"/>
                      <w:szCs w:val="21"/>
                    </w:rPr>
                    <w:t>cm/s</w:t>
                  </w:r>
                  <w:r>
                    <w:rPr>
                      <w:rFonts w:hint="eastAsia" w:cs="Times New Roman"/>
                      <w:b w:val="0"/>
                      <w:bCs w:val="0"/>
                      <w:color w:val="auto"/>
                      <w:spacing w:val="0"/>
                      <w:position w:val="0"/>
                      <w:sz w:val="21"/>
                      <w:szCs w:val="21"/>
                      <w:lang w:eastAsia="zh-CN"/>
                    </w:rPr>
                    <w:t>；</w:t>
                  </w:r>
                  <w:r>
                    <w:rPr>
                      <w:bCs/>
                      <w:kern w:val="0"/>
                      <w:sz w:val="21"/>
                      <w:szCs w:val="21"/>
                    </w:rPr>
                    <w:t>或参照GB18598执行</w:t>
                  </w:r>
                  <w:r>
                    <w:rPr>
                      <w:rFonts w:hint="eastAsia" w:cs="Times New Roman"/>
                      <w:b w:val="0"/>
                      <w:bCs w:val="0"/>
                      <w:color w:val="auto"/>
                      <w:spacing w:val="0"/>
                      <w:position w:val="0"/>
                      <w:sz w:val="21"/>
                      <w:szCs w:val="21"/>
                      <w:lang w:eastAsia="zh-CN"/>
                    </w:rPr>
                    <w:t>；</w:t>
                  </w:r>
                </w:p>
                <w:p w14:paraId="177668C0">
                  <w:pPr>
                    <w:pStyle w:val="6"/>
                    <w:keepNext w:val="0"/>
                    <w:keepLines w:val="0"/>
                    <w:suppressLineNumbers w:val="0"/>
                    <w:bidi w:val="0"/>
                    <w:spacing w:before="0" w:beforeAutospacing="0" w:after="0" w:afterAutospacing="0" w:line="240" w:lineRule="auto"/>
                    <w:ind w:right="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color w:val="000000"/>
                      <w:kern w:val="0"/>
                      <w:sz w:val="21"/>
                      <w:szCs w:val="21"/>
                      <w:lang w:val="en-US" w:eastAsia="zh-CN" w:bidi="ar"/>
                    </w:rPr>
                    <w:t>危废暂存间防渗</w:t>
                  </w:r>
                  <w:r>
                    <w:rPr>
                      <w:rFonts w:hint="eastAsia" w:eastAsia="宋体" w:cs="Times New Roman"/>
                      <w:color w:val="000000"/>
                      <w:kern w:val="0"/>
                      <w:sz w:val="21"/>
                      <w:szCs w:val="21"/>
                      <w:lang w:val="en-US" w:eastAsia="zh-CN" w:bidi="ar"/>
                    </w:rPr>
                    <w:t>执行</w:t>
                  </w:r>
                  <w:r>
                    <w:rPr>
                      <w:rFonts w:hint="default" w:ascii="Times New Roman" w:hAnsi="Times New Roman" w:eastAsia="宋体" w:cs="Times New Roman"/>
                      <w:bCs/>
                      <w:color w:val="auto"/>
                      <w:sz w:val="21"/>
                      <w:szCs w:val="21"/>
                    </w:rPr>
                    <w:t>《危险废物贮存污染控制标准》（GB18597-20</w:t>
                  </w:r>
                  <w:r>
                    <w:rPr>
                      <w:rFonts w:hint="default" w:ascii="Times New Roman" w:hAnsi="Times New Roman" w:eastAsia="宋体" w:cs="Times New Roman"/>
                      <w:bCs/>
                      <w:color w:val="auto"/>
                      <w:sz w:val="21"/>
                      <w:szCs w:val="21"/>
                      <w:lang w:val="en-US" w:eastAsia="zh-CN"/>
                    </w:rPr>
                    <w:t>23</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000000"/>
                      <w:kern w:val="0"/>
                      <w:sz w:val="21"/>
                      <w:szCs w:val="21"/>
                      <w:lang w:val="en-US" w:eastAsia="zh-CN" w:bidi="ar"/>
                    </w:rPr>
                    <w:t>要求</w:t>
                  </w:r>
                  <w:r>
                    <w:rPr>
                      <w:rFonts w:hint="eastAsia" w:ascii="Times New Roman" w:hAnsi="Times New Roman" w:eastAsia="宋体" w:cs="Times New Roman"/>
                      <w:color w:val="000000"/>
                      <w:kern w:val="0"/>
                      <w:sz w:val="21"/>
                      <w:szCs w:val="21"/>
                      <w:lang w:val="en-US" w:eastAsia="zh-CN" w:bidi="ar"/>
                    </w:rPr>
                    <w:t>。</w:t>
                  </w:r>
                </w:p>
              </w:tc>
            </w:tr>
            <w:tr w14:paraId="1FA5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04F58360">
                  <w:pPr>
                    <w:pStyle w:val="6"/>
                    <w:keepNext w:val="0"/>
                    <w:keepLines w:val="0"/>
                    <w:suppressLineNumbers w:val="0"/>
                    <w:bidi w:val="0"/>
                    <w:spacing w:before="0" w:beforeAutospacing="0" w:after="0" w:afterAutospacing="0"/>
                    <w:ind w:right="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2</w:t>
                  </w:r>
                </w:p>
              </w:tc>
              <w:tc>
                <w:tcPr>
                  <w:tcW w:w="818" w:type="pct"/>
                  <w:noWrap w:val="0"/>
                  <w:vAlign w:val="center"/>
                </w:tcPr>
                <w:p w14:paraId="702C898E">
                  <w:pPr>
                    <w:pStyle w:val="6"/>
                    <w:keepNext w:val="0"/>
                    <w:keepLines w:val="0"/>
                    <w:suppressLineNumbers w:val="0"/>
                    <w:bidi w:val="0"/>
                    <w:spacing w:before="0" w:beforeAutospacing="0" w:after="0" w:afterAutospacing="0" w:line="240" w:lineRule="auto"/>
                    <w:ind w:right="0" w:rightChars="0"/>
                    <w:jc w:val="center"/>
                    <w:rPr>
                      <w:rFonts w:hint="default" w:ascii="Times New Roman" w:hAnsi="Times New Roman" w:eastAsia="宋体" w:cs="Times New Roman"/>
                      <w:b w:val="0"/>
                      <w:bCs w:val="0"/>
                      <w:color w:val="auto"/>
                      <w:spacing w:val="0"/>
                      <w:position w:val="0"/>
                      <w:sz w:val="21"/>
                      <w:szCs w:val="21"/>
                    </w:rPr>
                  </w:pPr>
                  <w:r>
                    <w:rPr>
                      <w:rFonts w:hint="default" w:ascii="Times New Roman" w:hAnsi="Times New Roman" w:eastAsia="宋体" w:cs="Times New Roman"/>
                      <w:b w:val="0"/>
                      <w:bCs w:val="0"/>
                      <w:color w:val="auto"/>
                      <w:spacing w:val="0"/>
                      <w:position w:val="0"/>
                      <w:sz w:val="21"/>
                      <w:szCs w:val="21"/>
                    </w:rPr>
                    <w:t>一般防渗区</w:t>
                  </w:r>
                </w:p>
              </w:tc>
              <w:tc>
                <w:tcPr>
                  <w:tcW w:w="1517" w:type="pct"/>
                  <w:noWrap w:val="0"/>
                  <w:vAlign w:val="center"/>
                </w:tcPr>
                <w:p w14:paraId="35F8ECA6">
                  <w:pPr>
                    <w:pStyle w:val="6"/>
                    <w:keepNext w:val="0"/>
                    <w:keepLines w:val="0"/>
                    <w:suppressLineNumbers w:val="0"/>
                    <w:bidi w:val="0"/>
                    <w:spacing w:before="0" w:beforeAutospacing="0" w:after="0" w:afterAutospacing="0" w:line="240" w:lineRule="auto"/>
                    <w:ind w:right="0" w:rightChars="0"/>
                    <w:jc w:val="center"/>
                    <w:rPr>
                      <w:rFonts w:hint="default" w:ascii="Times New Roman" w:hAnsi="Times New Roman" w:eastAsia="宋体" w:cs="Times New Roman"/>
                      <w:b w:val="0"/>
                      <w:bCs w:val="0"/>
                      <w:color w:val="auto"/>
                      <w:spacing w:val="0"/>
                      <w:position w:val="0"/>
                      <w:sz w:val="21"/>
                      <w:szCs w:val="21"/>
                    </w:rPr>
                  </w:pPr>
                  <w:r>
                    <w:rPr>
                      <w:rFonts w:hint="eastAsia" w:ascii="Times New Roman" w:hAnsi="Times New Roman"/>
                      <w:color w:val="auto"/>
                      <w:sz w:val="21"/>
                      <w:szCs w:val="21"/>
                      <w:lang w:eastAsia="zh-CN"/>
                    </w:rPr>
                    <w:t>生产车间其他区域、隔油池、化粪池等</w:t>
                  </w:r>
                </w:p>
              </w:tc>
              <w:tc>
                <w:tcPr>
                  <w:tcW w:w="2155" w:type="pct"/>
                  <w:noWrap w:val="0"/>
                  <w:vAlign w:val="center"/>
                </w:tcPr>
                <w:p w14:paraId="1AE7406E">
                  <w:pPr>
                    <w:pStyle w:val="6"/>
                    <w:keepNext w:val="0"/>
                    <w:keepLines w:val="0"/>
                    <w:suppressLineNumbers w:val="0"/>
                    <w:bidi w:val="0"/>
                    <w:spacing w:before="0" w:beforeAutospacing="0" w:after="0" w:afterAutospacing="0" w:line="240" w:lineRule="auto"/>
                    <w:ind w:right="0"/>
                    <w:jc w:val="center"/>
                    <w:rPr>
                      <w:rFonts w:hint="eastAsia" w:ascii="Times New Roman" w:hAnsi="Times New Roman" w:eastAsia="宋体" w:cs="Times New Roman"/>
                      <w:b w:val="0"/>
                      <w:bCs w:val="0"/>
                      <w:color w:val="auto"/>
                      <w:spacing w:val="0"/>
                      <w:position w:val="0"/>
                      <w:sz w:val="21"/>
                      <w:szCs w:val="21"/>
                      <w:lang w:eastAsia="zh-CN"/>
                    </w:rPr>
                  </w:pPr>
                  <w:r>
                    <w:rPr>
                      <w:rFonts w:hint="default" w:ascii="Times New Roman" w:hAnsi="Times New Roman" w:eastAsia="宋体" w:cs="Times New Roman"/>
                      <w:b w:val="0"/>
                      <w:bCs w:val="0"/>
                      <w:color w:val="auto"/>
                      <w:spacing w:val="0"/>
                      <w:position w:val="0"/>
                      <w:sz w:val="21"/>
                      <w:szCs w:val="21"/>
                    </w:rPr>
                    <w:t>等效黏土防渗层Mb≧1.5m，渗透系数≤10</w:t>
                  </w:r>
                  <w:r>
                    <w:rPr>
                      <w:rFonts w:hint="default" w:ascii="Times New Roman" w:hAnsi="Times New Roman" w:eastAsia="宋体" w:cs="Times New Roman"/>
                      <w:b w:val="0"/>
                      <w:bCs w:val="0"/>
                      <w:color w:val="auto"/>
                      <w:spacing w:val="0"/>
                      <w:position w:val="0"/>
                      <w:sz w:val="21"/>
                      <w:szCs w:val="21"/>
                      <w:vertAlign w:val="superscript"/>
                    </w:rPr>
                    <w:t>-7</w:t>
                  </w:r>
                  <w:r>
                    <w:rPr>
                      <w:rFonts w:hint="default" w:ascii="Times New Roman" w:hAnsi="Times New Roman" w:eastAsia="宋体" w:cs="Times New Roman"/>
                      <w:b w:val="0"/>
                      <w:bCs w:val="0"/>
                      <w:color w:val="auto"/>
                      <w:spacing w:val="0"/>
                      <w:position w:val="0"/>
                      <w:sz w:val="21"/>
                      <w:szCs w:val="21"/>
                    </w:rPr>
                    <w:t>cm/s</w:t>
                  </w:r>
                  <w:r>
                    <w:rPr>
                      <w:rFonts w:hint="eastAsia" w:cs="Times New Roman"/>
                      <w:b w:val="0"/>
                      <w:bCs w:val="0"/>
                      <w:color w:val="auto"/>
                      <w:spacing w:val="0"/>
                      <w:position w:val="0"/>
                      <w:sz w:val="21"/>
                      <w:szCs w:val="21"/>
                      <w:lang w:eastAsia="zh-CN"/>
                    </w:rPr>
                    <w:t>；</w:t>
                  </w:r>
                  <w:r>
                    <w:rPr>
                      <w:bCs/>
                      <w:kern w:val="0"/>
                      <w:sz w:val="21"/>
                      <w:szCs w:val="21"/>
                    </w:rPr>
                    <w:t>或参照GB16889执行</w:t>
                  </w:r>
                </w:p>
              </w:tc>
            </w:tr>
            <w:tr w14:paraId="0FAA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7" w:type="pct"/>
                  <w:noWrap w:val="0"/>
                  <w:vAlign w:val="center"/>
                </w:tcPr>
                <w:p w14:paraId="07A783ED">
                  <w:pPr>
                    <w:pStyle w:val="6"/>
                    <w:keepNext w:val="0"/>
                    <w:keepLines w:val="0"/>
                    <w:suppressLineNumbers w:val="0"/>
                    <w:bidi w:val="0"/>
                    <w:spacing w:before="0" w:beforeAutospacing="0" w:after="0" w:afterAutospacing="0"/>
                    <w:ind w:right="0"/>
                    <w:jc w:val="center"/>
                    <w:rPr>
                      <w:rFonts w:hint="eastAsia" w:ascii="Times New Roman" w:hAnsi="Times New Roman" w:eastAsia="宋体" w:cs="Times New Roman"/>
                      <w:b w:val="0"/>
                      <w:bCs w:val="0"/>
                      <w:color w:val="auto"/>
                      <w:spacing w:val="0"/>
                      <w:position w:val="0"/>
                      <w:sz w:val="21"/>
                      <w:szCs w:val="21"/>
                      <w:lang w:val="en-US" w:eastAsia="zh-CN"/>
                    </w:rPr>
                  </w:pPr>
                  <w:r>
                    <w:rPr>
                      <w:rFonts w:hint="eastAsia" w:cs="Times New Roman"/>
                      <w:b w:val="0"/>
                      <w:bCs w:val="0"/>
                      <w:color w:val="auto"/>
                      <w:spacing w:val="0"/>
                      <w:position w:val="0"/>
                      <w:sz w:val="21"/>
                      <w:szCs w:val="21"/>
                      <w:lang w:val="en-US" w:eastAsia="zh-CN"/>
                    </w:rPr>
                    <w:t>3</w:t>
                  </w:r>
                </w:p>
              </w:tc>
              <w:tc>
                <w:tcPr>
                  <w:tcW w:w="818" w:type="pct"/>
                  <w:noWrap w:val="0"/>
                  <w:vAlign w:val="center"/>
                </w:tcPr>
                <w:p w14:paraId="6783500C">
                  <w:pPr>
                    <w:pStyle w:val="6"/>
                    <w:keepNext w:val="0"/>
                    <w:keepLines w:val="0"/>
                    <w:suppressLineNumbers w:val="0"/>
                    <w:bidi w:val="0"/>
                    <w:spacing w:before="0" w:beforeAutospacing="0" w:after="0" w:afterAutospacing="0" w:line="240" w:lineRule="auto"/>
                    <w:ind w:right="0" w:rightChars="0"/>
                    <w:jc w:val="center"/>
                    <w:rPr>
                      <w:rFonts w:hint="eastAsia" w:ascii="Times New Roman" w:hAnsi="Times New Roman" w:eastAsia="宋体" w:cs="Times New Roman"/>
                      <w:b w:val="0"/>
                      <w:bCs w:val="0"/>
                      <w:color w:val="auto"/>
                      <w:spacing w:val="0"/>
                      <w:position w:val="0"/>
                      <w:sz w:val="21"/>
                      <w:szCs w:val="21"/>
                      <w:lang w:eastAsia="zh-CN"/>
                    </w:rPr>
                  </w:pPr>
                  <w:r>
                    <w:rPr>
                      <w:rFonts w:hint="eastAsia" w:cs="Times New Roman"/>
                      <w:b w:val="0"/>
                      <w:bCs w:val="0"/>
                      <w:color w:val="auto"/>
                      <w:spacing w:val="0"/>
                      <w:position w:val="0"/>
                      <w:sz w:val="21"/>
                      <w:szCs w:val="21"/>
                      <w:lang w:eastAsia="zh-CN"/>
                    </w:rPr>
                    <w:t>简单防渗区</w:t>
                  </w:r>
                </w:p>
              </w:tc>
              <w:tc>
                <w:tcPr>
                  <w:tcW w:w="1517" w:type="pct"/>
                  <w:noWrap w:val="0"/>
                  <w:vAlign w:val="center"/>
                </w:tcPr>
                <w:p w14:paraId="5D3287F1">
                  <w:pPr>
                    <w:pStyle w:val="6"/>
                    <w:keepNext w:val="0"/>
                    <w:keepLines w:val="0"/>
                    <w:suppressLineNumbers w:val="0"/>
                    <w:bidi w:val="0"/>
                    <w:spacing w:before="0" w:beforeAutospacing="0" w:after="0" w:afterAutospacing="0" w:line="240" w:lineRule="auto"/>
                    <w:ind w:right="0" w:rightChars="0"/>
                    <w:jc w:val="center"/>
                    <w:rPr>
                      <w:rFonts w:hint="eastAsia" w:ascii="Times New Roman" w:hAnsi="Times New Roman"/>
                      <w:color w:val="auto"/>
                      <w:sz w:val="21"/>
                      <w:szCs w:val="21"/>
                      <w:lang w:eastAsia="zh-CN"/>
                    </w:rPr>
                  </w:pPr>
                  <w:r>
                    <w:rPr>
                      <w:rFonts w:hint="eastAsia"/>
                      <w:color w:val="auto"/>
                      <w:sz w:val="21"/>
                      <w:szCs w:val="21"/>
                      <w:lang w:eastAsia="zh-CN"/>
                    </w:rPr>
                    <w:t>厂区内道路区域、办公区、食堂宿舍等</w:t>
                  </w:r>
                </w:p>
              </w:tc>
              <w:tc>
                <w:tcPr>
                  <w:tcW w:w="2155" w:type="pct"/>
                  <w:noWrap w:val="0"/>
                  <w:vAlign w:val="center"/>
                </w:tcPr>
                <w:p w14:paraId="5D831FDB">
                  <w:pPr>
                    <w:pStyle w:val="6"/>
                    <w:keepNext w:val="0"/>
                    <w:keepLines w:val="0"/>
                    <w:suppressLineNumbers w:val="0"/>
                    <w:bidi w:val="0"/>
                    <w:spacing w:before="0" w:beforeAutospacing="0" w:after="0" w:afterAutospacing="0" w:line="240" w:lineRule="auto"/>
                    <w:ind w:right="0"/>
                    <w:jc w:val="center"/>
                    <w:rPr>
                      <w:rFonts w:hint="default" w:ascii="Times New Roman" w:hAnsi="Times New Roman" w:eastAsia="宋体" w:cs="Times New Roman"/>
                      <w:b w:val="0"/>
                      <w:bCs w:val="0"/>
                      <w:color w:val="auto"/>
                      <w:spacing w:val="0"/>
                      <w:position w:val="0"/>
                      <w:sz w:val="21"/>
                      <w:szCs w:val="21"/>
                    </w:rPr>
                  </w:pPr>
                  <w:r>
                    <w:rPr>
                      <w:rFonts w:hint="eastAsia"/>
                      <w:color w:val="auto"/>
                      <w:sz w:val="21"/>
                      <w:szCs w:val="21"/>
                      <w:lang w:eastAsia="zh-CN"/>
                    </w:rPr>
                    <w:t>一般地面硬化</w:t>
                  </w:r>
                </w:p>
              </w:tc>
            </w:tr>
          </w:tbl>
          <w:p w14:paraId="761184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eastAsia" w:ascii="宋体" w:hAnsi="宋体" w:eastAsia="宋体" w:cs="宋体"/>
                <w:color w:val="000000"/>
                <w:kern w:val="0"/>
                <w:sz w:val="24"/>
                <w:szCs w:val="24"/>
                <w:lang w:val="en-US" w:eastAsia="zh-CN" w:bidi="ar"/>
              </w:rPr>
              <w:t>在采</w:t>
            </w:r>
            <w:r>
              <w:rPr>
                <w:rFonts w:hint="default" w:ascii="Times New Roman" w:hAnsi="Times New Roman" w:eastAsia="宋体" w:cs="Times New Roman"/>
                <w:color w:val="000000"/>
                <w:kern w:val="0"/>
                <w:sz w:val="24"/>
                <w:szCs w:val="24"/>
                <w:lang w:val="en-US" w:eastAsia="zh-CN" w:bidi="ar"/>
              </w:rPr>
              <w:t xml:space="preserve">取以上分区防渗等措施后，可有效防止和避免本项目对地下水、土壤环境造成污染。为了将项目对区域地下水、土壤环境的影响降至最低限度，建议采取以下措施： </w:t>
            </w:r>
          </w:p>
          <w:p w14:paraId="78D32B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①为了及时准确地掌握厂区及其周围地下水、土壤环境质量状况，坚持分区管理和控制，对可能泄漏危险废物的重点污染防控区进行重点监控。 </w:t>
            </w:r>
          </w:p>
          <w:p w14:paraId="322CB7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②项目在运行前应编制操作性较强的事故应急预案，组织全厂职工认真学习并实地演习。一旦发生事故排放，可及时查明事故排放原因，做出正确的解决方案，将影响降到最低。</w:t>
            </w:r>
          </w:p>
          <w:p w14:paraId="444E4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snapToGrid w:val="0"/>
                <w:color w:val="auto"/>
                <w:spacing w:val="0"/>
                <w:kern w:val="0"/>
                <w:position w:val="0"/>
                <w:sz w:val="24"/>
                <w:szCs w:val="24"/>
                <w:highlight w:val="none"/>
                <w:lang w:val="en-US" w:eastAsia="zh-CN" w:bidi="ar-SA"/>
              </w:rPr>
            </w:pPr>
            <w:r>
              <w:rPr>
                <w:rFonts w:hint="eastAsia" w:ascii="Times New Roman" w:hAnsi="Times New Roman" w:cs="Times New Roman"/>
                <w:snapToGrid w:val="0"/>
                <w:color w:val="000000"/>
                <w:spacing w:val="0"/>
                <w:kern w:val="0"/>
                <w:position w:val="0"/>
                <w:sz w:val="24"/>
                <w:szCs w:val="24"/>
                <w:highlight w:val="none"/>
                <w:lang w:val="en-US" w:eastAsia="zh-CN" w:bidi="ar-SA"/>
              </w:rPr>
              <w:t>综上，企业在采取相应的土壤及地下水环境污染防治措施后，不会对项目地造成土壤及</w:t>
            </w:r>
            <w:r>
              <w:rPr>
                <w:rFonts w:hint="eastAsia" w:ascii="Times New Roman" w:hAnsi="Times New Roman" w:cs="Times New Roman"/>
                <w:snapToGrid w:val="0"/>
                <w:color w:val="auto"/>
                <w:spacing w:val="0"/>
                <w:kern w:val="0"/>
                <w:position w:val="0"/>
                <w:sz w:val="24"/>
                <w:szCs w:val="24"/>
                <w:highlight w:val="none"/>
                <w:lang w:val="en-US" w:eastAsia="zh-CN" w:bidi="ar-SA"/>
              </w:rPr>
              <w:t>地下水影响。</w:t>
            </w:r>
          </w:p>
          <w:p w14:paraId="76F1D3B2">
            <w:pPr>
              <w:numPr>
                <w:ilvl w:val="0"/>
                <w:numId w:val="2"/>
              </w:numPr>
              <w:adjustRightInd w:val="0"/>
              <w:snapToGrid w:val="0"/>
              <w:spacing w:line="360" w:lineRule="auto"/>
              <w:jc w:val="left"/>
              <w:rPr>
                <w:rFonts w:hint="eastAsia" w:hAnsi="宋体"/>
                <w:b/>
                <w:color w:val="auto"/>
                <w:kern w:val="0"/>
                <w:sz w:val="24"/>
                <w:szCs w:val="24"/>
              </w:rPr>
            </w:pPr>
            <w:r>
              <w:rPr>
                <w:rFonts w:hint="eastAsia" w:hAnsi="宋体"/>
                <w:b/>
                <w:color w:val="auto"/>
                <w:kern w:val="0"/>
                <w:sz w:val="24"/>
                <w:szCs w:val="24"/>
              </w:rPr>
              <w:t>环境风险</w:t>
            </w:r>
            <w:r>
              <w:rPr>
                <w:rFonts w:hint="eastAsia" w:hAnsi="宋体"/>
                <w:b/>
                <w:color w:val="auto"/>
                <w:kern w:val="0"/>
                <w:sz w:val="24"/>
                <w:szCs w:val="24"/>
                <w:lang w:eastAsia="zh-CN"/>
              </w:rPr>
              <w:t>影响分析</w:t>
            </w:r>
          </w:p>
          <w:p w14:paraId="23682493">
            <w:pPr>
              <w:topLinePunct/>
              <w:adjustRightInd w:val="0"/>
              <w:snapToGrid w:val="0"/>
              <w:spacing w:line="360" w:lineRule="auto"/>
              <w:outlineLvl w:val="2"/>
              <w:rPr>
                <w:rFonts w:hint="eastAsia" w:eastAsia="宋体"/>
                <w:b/>
                <w:bCs/>
                <w:color w:val="auto"/>
                <w:sz w:val="24"/>
                <w:lang w:eastAsia="zh-CN"/>
              </w:rPr>
            </w:pPr>
            <w:r>
              <w:rPr>
                <w:rFonts w:hint="eastAsia" w:hAnsi="宋体"/>
                <w:b/>
                <w:color w:val="auto"/>
                <w:kern w:val="0"/>
                <w:sz w:val="24"/>
                <w:szCs w:val="24"/>
                <w:lang w:val="en-US" w:eastAsia="zh-CN"/>
              </w:rPr>
              <w:t>6.1</w:t>
            </w:r>
            <w:r>
              <w:rPr>
                <w:rFonts w:hint="eastAsia"/>
                <w:b/>
                <w:bCs/>
                <w:color w:val="auto"/>
                <w:sz w:val="24"/>
                <w:lang w:eastAsia="zh-CN"/>
              </w:rPr>
              <w:t>专题评价依据</w:t>
            </w:r>
          </w:p>
          <w:p w14:paraId="5CA7E604">
            <w:pPr>
              <w:spacing w:line="360" w:lineRule="auto"/>
              <w:ind w:firstLine="482"/>
              <w:rPr>
                <w:sz w:val="24"/>
              </w:rPr>
            </w:pPr>
            <w:r>
              <w:rPr>
                <w:sz w:val="24"/>
              </w:rPr>
              <w:t>根据《建设项目环境风险评价技术导则》(HJ 169-2018)计算Q值，当只涉及一种物质时，计算该物质的总量与其临界量比值，即为Q；</w:t>
            </w:r>
          </w:p>
          <w:p w14:paraId="2FE9020C">
            <w:pPr>
              <w:spacing w:line="360" w:lineRule="auto"/>
              <w:ind w:firstLine="482"/>
              <w:rPr>
                <w:sz w:val="24"/>
              </w:rPr>
            </w:pPr>
            <w:r>
              <w:rPr>
                <w:sz w:val="24"/>
              </w:rPr>
              <w:t>当存在多种危险物质时，则按下式计算物质总量与其临界量比值（Q）：</w:t>
            </w:r>
          </w:p>
          <w:p w14:paraId="35EFD239">
            <w:pPr>
              <w:spacing w:line="360" w:lineRule="auto"/>
              <w:ind w:firstLine="1200" w:firstLineChars="500"/>
              <w:rPr>
                <w:sz w:val="24"/>
              </w:rPr>
            </w:pPr>
            <w:r>
              <w:rPr>
                <w:sz w:val="24"/>
              </w:rPr>
              <w:t>Q=q1/Q1+q2/Q2+…..，+qn/Qn</w:t>
            </w:r>
          </w:p>
          <w:p w14:paraId="4C7F9FBA">
            <w:pPr>
              <w:spacing w:line="360" w:lineRule="auto"/>
              <w:ind w:firstLine="482"/>
              <w:rPr>
                <w:sz w:val="24"/>
              </w:rPr>
            </w:pPr>
            <w:r>
              <w:rPr>
                <w:sz w:val="24"/>
              </w:rPr>
              <w:t>式中：q1、q2……qn ——每种危险物质最大存在量，t；</w:t>
            </w:r>
          </w:p>
          <w:p w14:paraId="7676AD47">
            <w:pPr>
              <w:spacing w:line="360" w:lineRule="auto"/>
              <w:ind w:firstLine="482"/>
              <w:rPr>
                <w:sz w:val="24"/>
              </w:rPr>
            </w:pPr>
            <w:r>
              <w:rPr>
                <w:sz w:val="24"/>
              </w:rPr>
              <w:t xml:space="preserve">      Q1、Q2……Qn ——每种危险物质的临界量，t。</w:t>
            </w:r>
          </w:p>
          <w:p w14:paraId="5C358557">
            <w:pPr>
              <w:spacing w:line="360" w:lineRule="auto"/>
              <w:ind w:firstLine="480" w:firstLineChars="200"/>
              <w:rPr>
                <w:color w:val="auto"/>
                <w:sz w:val="24"/>
              </w:rPr>
            </w:pPr>
            <w:r>
              <w:rPr>
                <w:sz w:val="24"/>
              </w:rPr>
              <w:t>当 Q≥1 时，将Q 值划分为</w:t>
            </w:r>
            <w:r>
              <w:rPr>
                <w:color w:val="auto"/>
                <w:sz w:val="24"/>
              </w:rPr>
              <w:t>：（1）1≤Q&lt;10；（2）10≤Q&lt;100；（3）Q≥100。</w:t>
            </w:r>
          </w:p>
          <w:p w14:paraId="54F294D4">
            <w:pPr>
              <w:spacing w:line="360" w:lineRule="auto"/>
              <w:ind w:firstLine="480" w:firstLineChars="200"/>
              <w:rPr>
                <w:b/>
                <w:color w:val="auto"/>
                <w:sz w:val="24"/>
              </w:rPr>
            </w:pPr>
            <w:r>
              <w:rPr>
                <w:color w:val="auto"/>
                <w:sz w:val="24"/>
              </w:rPr>
              <w:t>具体判定结果见下表。</w:t>
            </w:r>
          </w:p>
          <w:p w14:paraId="4789FE4C">
            <w:pPr>
              <w:spacing w:line="240" w:lineRule="auto"/>
              <w:jc w:val="center"/>
              <w:rPr>
                <w:b/>
                <w:color w:val="auto"/>
                <w:sz w:val="21"/>
                <w:szCs w:val="21"/>
              </w:rPr>
            </w:pPr>
            <w:r>
              <w:rPr>
                <w:b/>
                <w:color w:val="auto"/>
                <w:sz w:val="21"/>
                <w:szCs w:val="21"/>
              </w:rPr>
              <w:t>表4-</w:t>
            </w:r>
            <w:r>
              <w:rPr>
                <w:rFonts w:hint="eastAsia"/>
                <w:b/>
                <w:color w:val="auto"/>
                <w:sz w:val="21"/>
                <w:szCs w:val="21"/>
                <w:lang w:val="en-US" w:eastAsia="zh-CN"/>
              </w:rPr>
              <w:t>17</w:t>
            </w:r>
            <w:r>
              <w:rPr>
                <w:b/>
                <w:color w:val="auto"/>
                <w:sz w:val="21"/>
                <w:szCs w:val="21"/>
              </w:rPr>
              <w:t xml:space="preserve"> 建设项目Q值确定表</w:t>
            </w:r>
          </w:p>
          <w:tbl>
            <w:tblPr>
              <w:tblStyle w:val="25"/>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1344"/>
              <w:gridCol w:w="1791"/>
              <w:gridCol w:w="1742"/>
              <w:gridCol w:w="1703"/>
            </w:tblGrid>
            <w:tr w14:paraId="50EC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8" w:type="pct"/>
                  <w:vMerge w:val="restart"/>
                  <w:noWrap w:val="0"/>
                  <w:vAlign w:val="center"/>
                </w:tcPr>
                <w:p w14:paraId="001004E4">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名称</w:t>
                  </w:r>
                </w:p>
              </w:tc>
              <w:tc>
                <w:tcPr>
                  <w:tcW w:w="762" w:type="pct"/>
                  <w:vMerge w:val="restart"/>
                  <w:noWrap w:val="0"/>
                  <w:vAlign w:val="center"/>
                </w:tcPr>
                <w:p w14:paraId="6CD1D375">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状态</w:t>
                  </w:r>
                </w:p>
              </w:tc>
              <w:tc>
                <w:tcPr>
                  <w:tcW w:w="2003" w:type="pct"/>
                  <w:gridSpan w:val="2"/>
                  <w:noWrap w:val="0"/>
                  <w:vAlign w:val="center"/>
                </w:tcPr>
                <w:p w14:paraId="048697F5">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贮存物质量（t）</w:t>
                  </w:r>
                </w:p>
              </w:tc>
              <w:tc>
                <w:tcPr>
                  <w:tcW w:w="965" w:type="pct"/>
                  <w:vMerge w:val="restart"/>
                  <w:noWrap w:val="0"/>
                  <w:vAlign w:val="center"/>
                </w:tcPr>
                <w:p w14:paraId="4B4A6194">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Q</w:t>
                  </w:r>
                </w:p>
              </w:tc>
            </w:tr>
            <w:tr w14:paraId="4192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8" w:type="pct"/>
                  <w:vMerge w:val="continue"/>
                  <w:noWrap w:val="0"/>
                  <w:vAlign w:val="center"/>
                </w:tcPr>
                <w:p w14:paraId="02FB1D07">
                  <w:pPr>
                    <w:pStyle w:val="69"/>
                    <w:snapToGrid w:val="0"/>
                    <w:rPr>
                      <w:rFonts w:ascii="Times New Roman" w:hAnsi="Times New Roman"/>
                      <w:b w:val="0"/>
                      <w:bCs w:val="0"/>
                      <w:color w:val="auto"/>
                      <w:spacing w:val="-2"/>
                      <w:sz w:val="21"/>
                      <w:szCs w:val="21"/>
                      <w:lang w:val="zh-CN"/>
                    </w:rPr>
                  </w:pPr>
                </w:p>
              </w:tc>
              <w:tc>
                <w:tcPr>
                  <w:tcW w:w="762" w:type="pct"/>
                  <w:vMerge w:val="continue"/>
                  <w:noWrap w:val="0"/>
                  <w:vAlign w:val="center"/>
                </w:tcPr>
                <w:p w14:paraId="50D1445C">
                  <w:pPr>
                    <w:pStyle w:val="69"/>
                    <w:snapToGrid w:val="0"/>
                    <w:rPr>
                      <w:rFonts w:ascii="Times New Roman" w:hAnsi="Times New Roman"/>
                      <w:b w:val="0"/>
                      <w:bCs w:val="0"/>
                      <w:color w:val="auto"/>
                      <w:spacing w:val="-2"/>
                      <w:sz w:val="21"/>
                      <w:szCs w:val="21"/>
                      <w:lang w:val="zh-CN"/>
                    </w:rPr>
                  </w:pPr>
                </w:p>
              </w:tc>
              <w:tc>
                <w:tcPr>
                  <w:tcW w:w="1015" w:type="pct"/>
                  <w:noWrap w:val="0"/>
                  <w:vAlign w:val="center"/>
                </w:tcPr>
                <w:p w14:paraId="6F329BED">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最大储存量</w:t>
                  </w:r>
                </w:p>
              </w:tc>
              <w:tc>
                <w:tcPr>
                  <w:tcW w:w="987" w:type="pct"/>
                  <w:noWrap w:val="0"/>
                  <w:vAlign w:val="center"/>
                </w:tcPr>
                <w:p w14:paraId="003DC864">
                  <w:pPr>
                    <w:pStyle w:val="69"/>
                    <w:snapToGrid w:val="0"/>
                    <w:rPr>
                      <w:rFonts w:ascii="Times New Roman" w:hAnsi="Times New Roman"/>
                      <w:b w:val="0"/>
                      <w:bCs w:val="0"/>
                      <w:color w:val="auto"/>
                      <w:spacing w:val="-2"/>
                      <w:sz w:val="21"/>
                      <w:szCs w:val="21"/>
                      <w:lang w:val="zh-CN"/>
                    </w:rPr>
                  </w:pPr>
                  <w:r>
                    <w:rPr>
                      <w:rFonts w:ascii="Times New Roman" w:hAnsi="Times New Roman"/>
                      <w:b w:val="0"/>
                      <w:bCs w:val="0"/>
                      <w:color w:val="auto"/>
                      <w:spacing w:val="-2"/>
                      <w:sz w:val="21"/>
                      <w:szCs w:val="21"/>
                      <w:lang w:val="zh-CN"/>
                    </w:rPr>
                    <w:t>临界量</w:t>
                  </w:r>
                </w:p>
              </w:tc>
              <w:tc>
                <w:tcPr>
                  <w:tcW w:w="965" w:type="pct"/>
                  <w:vMerge w:val="continue"/>
                  <w:noWrap w:val="0"/>
                  <w:vAlign w:val="center"/>
                </w:tcPr>
                <w:p w14:paraId="7F4992E6">
                  <w:pPr>
                    <w:pStyle w:val="69"/>
                    <w:snapToGrid w:val="0"/>
                    <w:rPr>
                      <w:rFonts w:ascii="Times New Roman" w:hAnsi="Times New Roman"/>
                      <w:b w:val="0"/>
                      <w:bCs w:val="0"/>
                      <w:color w:val="auto"/>
                      <w:spacing w:val="-2"/>
                      <w:sz w:val="21"/>
                      <w:szCs w:val="21"/>
                      <w:lang w:val="zh-CN"/>
                    </w:rPr>
                  </w:pPr>
                </w:p>
              </w:tc>
            </w:tr>
            <w:tr w14:paraId="664E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8" w:type="pct"/>
                  <w:noWrap w:val="0"/>
                  <w:vAlign w:val="center"/>
                </w:tcPr>
                <w:p w14:paraId="2D53962E">
                  <w:pPr>
                    <w:pStyle w:val="69"/>
                    <w:snapToGrid w:val="0"/>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cs="Times New Roman"/>
                      <w:b w:val="0"/>
                      <w:bCs w:val="0"/>
                      <w:color w:val="auto"/>
                      <w:spacing w:val="-2"/>
                      <w:sz w:val="21"/>
                      <w:szCs w:val="21"/>
                      <w:lang w:eastAsia="zh-CN"/>
                    </w:rPr>
                    <w:t>盐酸</w:t>
                  </w:r>
                </w:p>
              </w:tc>
              <w:tc>
                <w:tcPr>
                  <w:tcW w:w="762" w:type="pct"/>
                  <w:noWrap w:val="0"/>
                  <w:vAlign w:val="center"/>
                </w:tcPr>
                <w:p w14:paraId="5DB98A11">
                  <w:pPr>
                    <w:pStyle w:val="69"/>
                    <w:snapToGrid w:val="0"/>
                    <w:rPr>
                      <w:rFonts w:hint="eastAsia" w:ascii="Times New Roman" w:hAnsi="Times New Roman" w:eastAsia="宋体" w:cs="Times New Roman"/>
                      <w:b w:val="0"/>
                      <w:bCs w:val="0"/>
                      <w:color w:val="auto"/>
                      <w:spacing w:val="-2"/>
                      <w:sz w:val="21"/>
                      <w:szCs w:val="21"/>
                      <w:lang w:val="zh-CN" w:eastAsia="zh-CN"/>
                    </w:rPr>
                  </w:pPr>
                  <w:r>
                    <w:rPr>
                      <w:rFonts w:hint="eastAsia" w:ascii="Times New Roman" w:hAnsi="Times New Roman" w:eastAsia="宋体" w:cs="Times New Roman"/>
                      <w:b w:val="0"/>
                      <w:bCs w:val="0"/>
                      <w:color w:val="auto"/>
                      <w:spacing w:val="-2"/>
                      <w:sz w:val="21"/>
                      <w:szCs w:val="21"/>
                      <w:lang w:val="en-US" w:eastAsia="zh-CN"/>
                    </w:rPr>
                    <w:t>液体</w:t>
                  </w:r>
                </w:p>
              </w:tc>
              <w:tc>
                <w:tcPr>
                  <w:tcW w:w="1015" w:type="pct"/>
                  <w:noWrap w:val="0"/>
                  <w:vAlign w:val="center"/>
                </w:tcPr>
                <w:p w14:paraId="5EC698FE">
                  <w:pPr>
                    <w:widowControl/>
                    <w:jc w:val="center"/>
                    <w:textAlignment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54.255</w:t>
                  </w:r>
                </w:p>
              </w:tc>
              <w:tc>
                <w:tcPr>
                  <w:tcW w:w="987" w:type="pct"/>
                  <w:noWrap w:val="0"/>
                  <w:vAlign w:val="top"/>
                </w:tcPr>
                <w:p w14:paraId="72C6E602">
                  <w:pPr>
                    <w:widowControl/>
                    <w:jc w:val="center"/>
                    <w:textAlignment w:val="center"/>
                    <w:rPr>
                      <w:rFonts w:hint="default" w:eastAsia="宋体"/>
                      <w:b w:val="0"/>
                      <w:bCs w:val="0"/>
                      <w:color w:val="auto"/>
                      <w:spacing w:val="-2"/>
                      <w:kern w:val="0"/>
                      <w:sz w:val="21"/>
                      <w:szCs w:val="21"/>
                      <w:lang w:val="en-US" w:eastAsia="zh-CN" w:bidi="ar"/>
                    </w:rPr>
                  </w:pPr>
                  <w:r>
                    <w:rPr>
                      <w:rFonts w:hint="eastAsia"/>
                      <w:b w:val="0"/>
                      <w:bCs w:val="0"/>
                      <w:color w:val="auto"/>
                      <w:kern w:val="0"/>
                      <w:sz w:val="21"/>
                      <w:szCs w:val="21"/>
                      <w:lang w:val="en-US" w:eastAsia="zh-CN"/>
                    </w:rPr>
                    <w:t>7.5</w:t>
                  </w:r>
                </w:p>
              </w:tc>
              <w:tc>
                <w:tcPr>
                  <w:tcW w:w="965" w:type="pct"/>
                  <w:noWrap w:val="0"/>
                  <w:vAlign w:val="center"/>
                </w:tcPr>
                <w:p w14:paraId="51FFC6C5">
                  <w:pPr>
                    <w:spacing w:line="260" w:lineRule="exact"/>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7.234</w:t>
                  </w:r>
                </w:p>
              </w:tc>
            </w:tr>
            <w:tr w14:paraId="5F9B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8" w:type="pct"/>
                  <w:noWrap w:val="0"/>
                  <w:vAlign w:val="center"/>
                </w:tcPr>
                <w:p w14:paraId="18A02AD3">
                  <w:pPr>
                    <w:pStyle w:val="69"/>
                    <w:snapToGrid w:val="0"/>
                    <w:rPr>
                      <w:rFonts w:hint="eastAsia" w:ascii="Times New Roman" w:hAnsi="Times New Roman" w:eastAsia="宋体" w:cs="Times New Roman"/>
                      <w:b w:val="0"/>
                      <w:bCs w:val="0"/>
                      <w:color w:val="auto"/>
                      <w:spacing w:val="-2"/>
                      <w:sz w:val="21"/>
                      <w:szCs w:val="21"/>
                      <w:lang w:eastAsia="zh-CN"/>
                    </w:rPr>
                  </w:pPr>
                  <w:r>
                    <w:rPr>
                      <w:rFonts w:hint="eastAsia" w:ascii="Times New Roman" w:hAnsi="Times New Roman" w:cs="Times New Roman"/>
                      <w:b w:val="0"/>
                      <w:bCs w:val="0"/>
                      <w:color w:val="auto"/>
                      <w:spacing w:val="-2"/>
                      <w:sz w:val="21"/>
                      <w:szCs w:val="21"/>
                      <w:lang w:eastAsia="zh-CN"/>
                    </w:rPr>
                    <w:t>废机油</w:t>
                  </w:r>
                </w:p>
              </w:tc>
              <w:tc>
                <w:tcPr>
                  <w:tcW w:w="762" w:type="pct"/>
                  <w:noWrap w:val="0"/>
                  <w:vAlign w:val="center"/>
                </w:tcPr>
                <w:p w14:paraId="19F0D6C2">
                  <w:pPr>
                    <w:snapToGrid w:val="0"/>
                    <w:jc w:val="center"/>
                    <w:rPr>
                      <w:rFonts w:hint="eastAsia" w:ascii="Times New Roman" w:hAnsi="Times New Roman" w:eastAsia="宋体" w:cs="Times New Roman"/>
                      <w:b w:val="0"/>
                      <w:bCs w:val="0"/>
                      <w:color w:val="auto"/>
                      <w:spacing w:val="-2"/>
                      <w:sz w:val="21"/>
                      <w:szCs w:val="21"/>
                      <w:lang w:val="zh-CN" w:eastAsia="zh-CN"/>
                    </w:rPr>
                  </w:pPr>
                  <w:r>
                    <w:rPr>
                      <w:rFonts w:hint="eastAsia" w:ascii="Times New Roman" w:hAnsi="Times New Roman" w:eastAsia="宋体" w:cs="Times New Roman"/>
                      <w:b w:val="0"/>
                      <w:bCs w:val="0"/>
                      <w:color w:val="auto"/>
                      <w:spacing w:val="-2"/>
                      <w:sz w:val="21"/>
                      <w:szCs w:val="21"/>
                      <w:lang w:val="en-US" w:eastAsia="zh-CN"/>
                    </w:rPr>
                    <w:t>液体</w:t>
                  </w:r>
                </w:p>
              </w:tc>
              <w:tc>
                <w:tcPr>
                  <w:tcW w:w="1015" w:type="pct"/>
                  <w:noWrap w:val="0"/>
                  <w:vAlign w:val="center"/>
                </w:tcPr>
                <w:p w14:paraId="7613B526">
                  <w:pPr>
                    <w:widowControl/>
                    <w:jc w:val="center"/>
                    <w:textAlignment w:val="center"/>
                    <w:rPr>
                      <w:rFonts w:hint="default"/>
                      <w:b w:val="0"/>
                      <w:bCs w:val="0"/>
                      <w:color w:val="auto"/>
                      <w:kern w:val="0"/>
                      <w:sz w:val="21"/>
                      <w:szCs w:val="21"/>
                      <w:lang w:val="en-US" w:eastAsia="zh-CN" w:bidi="ar"/>
                    </w:rPr>
                  </w:pPr>
                  <w:r>
                    <w:rPr>
                      <w:rFonts w:hint="eastAsia"/>
                      <w:b w:val="0"/>
                      <w:bCs w:val="0"/>
                      <w:color w:val="auto"/>
                      <w:kern w:val="0"/>
                      <w:sz w:val="21"/>
                      <w:szCs w:val="21"/>
                      <w:lang w:val="en-US" w:eastAsia="zh-CN" w:bidi="ar"/>
                    </w:rPr>
                    <w:t>0.2</w:t>
                  </w:r>
                </w:p>
              </w:tc>
              <w:tc>
                <w:tcPr>
                  <w:tcW w:w="987" w:type="pct"/>
                  <w:noWrap w:val="0"/>
                  <w:vAlign w:val="top"/>
                </w:tcPr>
                <w:p w14:paraId="6C5F91EA">
                  <w:pPr>
                    <w:widowControl/>
                    <w:jc w:val="center"/>
                    <w:textAlignment w:val="center"/>
                    <w:rPr>
                      <w:rFonts w:hint="default" w:eastAsia="宋体"/>
                      <w:b w:val="0"/>
                      <w:bCs w:val="0"/>
                      <w:color w:val="auto"/>
                      <w:spacing w:val="-2"/>
                      <w:kern w:val="0"/>
                      <w:sz w:val="21"/>
                      <w:szCs w:val="21"/>
                      <w:lang w:val="en-US" w:eastAsia="zh-CN" w:bidi="ar"/>
                    </w:rPr>
                  </w:pPr>
                  <w:r>
                    <w:rPr>
                      <w:rFonts w:hint="eastAsia"/>
                      <w:b w:val="0"/>
                      <w:bCs w:val="0"/>
                      <w:color w:val="auto"/>
                      <w:spacing w:val="-2"/>
                      <w:kern w:val="0"/>
                      <w:sz w:val="21"/>
                      <w:szCs w:val="21"/>
                      <w:lang w:val="en-US" w:eastAsia="zh-CN" w:bidi="ar"/>
                    </w:rPr>
                    <w:t>10</w:t>
                  </w:r>
                </w:p>
              </w:tc>
              <w:tc>
                <w:tcPr>
                  <w:tcW w:w="965" w:type="pct"/>
                  <w:noWrap w:val="0"/>
                  <w:vAlign w:val="center"/>
                </w:tcPr>
                <w:p w14:paraId="1AC7CCBC">
                  <w:pPr>
                    <w:spacing w:line="260" w:lineRule="exact"/>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0.02</w:t>
                  </w:r>
                </w:p>
              </w:tc>
            </w:tr>
            <w:tr w14:paraId="7BC7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8" w:type="pct"/>
                  <w:noWrap w:val="0"/>
                  <w:vAlign w:val="center"/>
                </w:tcPr>
                <w:p w14:paraId="32E36E3A">
                  <w:pPr>
                    <w:pStyle w:val="69"/>
                    <w:snapToGrid w:val="0"/>
                    <w:rPr>
                      <w:rFonts w:ascii="Times New Roman" w:hAnsi="Times New Roman"/>
                      <w:b w:val="0"/>
                      <w:bCs w:val="0"/>
                      <w:color w:val="auto"/>
                      <w:spacing w:val="-2"/>
                      <w:sz w:val="21"/>
                      <w:szCs w:val="21"/>
                    </w:rPr>
                  </w:pPr>
                  <w:r>
                    <w:rPr>
                      <w:rFonts w:ascii="Times New Roman" w:hAnsi="Times New Roman"/>
                      <w:b w:val="0"/>
                      <w:bCs w:val="0"/>
                      <w:color w:val="auto"/>
                      <w:spacing w:val="-2"/>
                      <w:sz w:val="21"/>
                      <w:szCs w:val="21"/>
                      <w:lang w:val="zh-CN"/>
                    </w:rPr>
                    <w:t>合计</w:t>
                  </w:r>
                </w:p>
              </w:tc>
              <w:tc>
                <w:tcPr>
                  <w:tcW w:w="762" w:type="pct"/>
                  <w:noWrap w:val="0"/>
                  <w:vAlign w:val="top"/>
                </w:tcPr>
                <w:p w14:paraId="5A0BC154">
                  <w:pPr>
                    <w:pStyle w:val="69"/>
                    <w:snapToGrid w:val="0"/>
                    <w:rPr>
                      <w:rFonts w:ascii="Times New Roman" w:hAnsi="Times New Roman"/>
                      <w:b w:val="0"/>
                      <w:bCs w:val="0"/>
                      <w:color w:val="auto"/>
                      <w:spacing w:val="-2"/>
                      <w:sz w:val="21"/>
                      <w:szCs w:val="21"/>
                    </w:rPr>
                  </w:pPr>
                  <w:r>
                    <w:rPr>
                      <w:rFonts w:ascii="Times New Roman" w:hAnsi="Times New Roman"/>
                      <w:b w:val="0"/>
                      <w:bCs w:val="0"/>
                      <w:color w:val="auto"/>
                      <w:spacing w:val="-2"/>
                      <w:sz w:val="21"/>
                      <w:szCs w:val="21"/>
                      <w:lang w:val="zh-CN"/>
                    </w:rPr>
                    <w:t>/</w:t>
                  </w:r>
                </w:p>
              </w:tc>
              <w:tc>
                <w:tcPr>
                  <w:tcW w:w="1015" w:type="pct"/>
                  <w:noWrap w:val="0"/>
                  <w:vAlign w:val="top"/>
                </w:tcPr>
                <w:p w14:paraId="53D278AC">
                  <w:pPr>
                    <w:spacing w:line="260" w:lineRule="exact"/>
                    <w:jc w:val="center"/>
                    <w:rPr>
                      <w:b w:val="0"/>
                      <w:bCs w:val="0"/>
                      <w:color w:val="auto"/>
                      <w:kern w:val="0"/>
                      <w:sz w:val="21"/>
                      <w:szCs w:val="21"/>
                      <w:lang w:val="zh-CN"/>
                    </w:rPr>
                  </w:pPr>
                  <w:r>
                    <w:rPr>
                      <w:b w:val="0"/>
                      <w:bCs w:val="0"/>
                      <w:color w:val="auto"/>
                      <w:kern w:val="0"/>
                      <w:sz w:val="21"/>
                      <w:szCs w:val="21"/>
                      <w:lang w:val="zh-CN"/>
                    </w:rPr>
                    <w:t>/</w:t>
                  </w:r>
                </w:p>
              </w:tc>
              <w:tc>
                <w:tcPr>
                  <w:tcW w:w="987" w:type="pct"/>
                  <w:noWrap w:val="0"/>
                  <w:vAlign w:val="top"/>
                </w:tcPr>
                <w:p w14:paraId="74B26152">
                  <w:pPr>
                    <w:spacing w:line="260" w:lineRule="exact"/>
                    <w:jc w:val="center"/>
                    <w:rPr>
                      <w:b w:val="0"/>
                      <w:bCs w:val="0"/>
                      <w:color w:val="auto"/>
                      <w:kern w:val="0"/>
                      <w:sz w:val="21"/>
                      <w:szCs w:val="21"/>
                    </w:rPr>
                  </w:pPr>
                  <w:r>
                    <w:rPr>
                      <w:b w:val="0"/>
                      <w:bCs w:val="0"/>
                      <w:color w:val="auto"/>
                      <w:kern w:val="0"/>
                      <w:sz w:val="21"/>
                      <w:szCs w:val="21"/>
                      <w:lang w:val="zh-CN"/>
                    </w:rPr>
                    <w:t>/</w:t>
                  </w:r>
                </w:p>
              </w:tc>
              <w:tc>
                <w:tcPr>
                  <w:tcW w:w="965" w:type="pct"/>
                  <w:noWrap w:val="0"/>
                  <w:vAlign w:val="center"/>
                </w:tcPr>
                <w:p w14:paraId="693D972C">
                  <w:pPr>
                    <w:spacing w:line="260" w:lineRule="exact"/>
                    <w:jc w:val="center"/>
                    <w:rPr>
                      <w:rFonts w:hint="default" w:eastAsia="宋体"/>
                      <w:b w:val="0"/>
                      <w:bCs w:val="0"/>
                      <w:color w:val="auto"/>
                      <w:kern w:val="0"/>
                      <w:sz w:val="21"/>
                      <w:szCs w:val="21"/>
                      <w:lang w:val="en-US" w:eastAsia="zh-CN"/>
                    </w:rPr>
                  </w:pPr>
                  <w:r>
                    <w:rPr>
                      <w:rFonts w:hint="eastAsia"/>
                      <w:b w:val="0"/>
                      <w:bCs w:val="0"/>
                      <w:color w:val="auto"/>
                      <w:kern w:val="0"/>
                      <w:sz w:val="21"/>
                      <w:szCs w:val="21"/>
                      <w:lang w:val="en-US" w:eastAsia="zh-CN"/>
                    </w:rPr>
                    <w:t>7.254</w:t>
                  </w:r>
                </w:p>
              </w:tc>
            </w:tr>
          </w:tbl>
          <w:p w14:paraId="6B98B412">
            <w:pPr>
              <w:spacing w:line="240" w:lineRule="auto"/>
              <w:rPr>
                <w:rFonts w:hint="default" w:ascii="Times New Roman" w:hAnsi="Times New Roman" w:eastAsia="宋体" w:cs="Times New Roman"/>
                <w:b w:val="0"/>
                <w:bCs/>
                <w:color w:val="auto"/>
                <w:sz w:val="21"/>
                <w:szCs w:val="21"/>
                <w:lang w:val="en-US" w:eastAsia="zh-CN"/>
              </w:rPr>
            </w:pPr>
            <w:r>
              <w:rPr>
                <w:rFonts w:hint="eastAsia" w:cs="Times New Roman"/>
                <w:b/>
                <w:bCs/>
                <w:color w:val="auto"/>
                <w:sz w:val="21"/>
                <w:szCs w:val="21"/>
                <w:lang w:eastAsia="zh-CN"/>
              </w:rPr>
              <w:t>注：</w:t>
            </w:r>
            <w:r>
              <w:rPr>
                <w:rFonts w:hint="default" w:ascii="Times New Roman" w:hAnsi="Times New Roman" w:eastAsia="宋体" w:cs="Times New Roman"/>
                <w:b w:val="0"/>
                <w:bCs/>
                <w:color w:val="auto"/>
                <w:sz w:val="21"/>
                <w:szCs w:val="21"/>
                <w:lang w:val="en-US" w:eastAsia="zh-CN"/>
              </w:rPr>
              <w:t>①项目有5</w:t>
            </w:r>
            <w:r>
              <w:rPr>
                <w:rFonts w:hint="default" w:ascii="Times New Roman" w:hAnsi="Times New Roman" w:eastAsia="宋体" w:cs="Times New Roman"/>
                <w:b w:val="0"/>
                <w:bCs/>
                <w:color w:val="auto"/>
                <w:spacing w:val="2"/>
                <w:sz w:val="21"/>
                <w:szCs w:val="21"/>
              </w:rPr>
              <w:t>m</w:t>
            </w:r>
            <w:r>
              <w:rPr>
                <w:rFonts w:hint="default" w:ascii="Times New Roman" w:hAnsi="Times New Roman" w:eastAsia="宋体" w:cs="Times New Roman"/>
                <w:b w:val="0"/>
                <w:bCs/>
                <w:color w:val="auto"/>
                <w:spacing w:val="2"/>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盐酸储罐10个，存储量按90%核算，容积为45</w:t>
            </w:r>
            <w:r>
              <w:rPr>
                <w:rFonts w:hint="default" w:ascii="Times New Roman" w:hAnsi="Times New Roman" w:eastAsia="宋体" w:cs="Times New Roman"/>
                <w:b w:val="0"/>
                <w:bCs/>
                <w:color w:val="auto"/>
                <w:spacing w:val="2"/>
                <w:sz w:val="21"/>
                <w:szCs w:val="21"/>
              </w:rPr>
              <w:t>m</w:t>
            </w:r>
            <w:r>
              <w:rPr>
                <w:rFonts w:hint="default" w:ascii="Times New Roman" w:hAnsi="Times New Roman" w:eastAsia="宋体" w:cs="Times New Roman"/>
                <w:b w:val="0"/>
                <w:bCs/>
                <w:color w:val="auto"/>
                <w:spacing w:val="2"/>
                <w:sz w:val="21"/>
                <w:szCs w:val="21"/>
                <w:vertAlign w:val="superscript"/>
                <w:lang w:val="en-US" w:eastAsia="zh-CN"/>
              </w:rPr>
              <w:t>3</w:t>
            </w:r>
            <w:r>
              <w:rPr>
                <w:rFonts w:hint="default" w:ascii="Times New Roman" w:hAnsi="Times New Roman" w:eastAsia="宋体" w:cs="Times New Roman"/>
                <w:b w:val="0"/>
                <w:bCs/>
                <w:color w:val="auto"/>
                <w:spacing w:val="2"/>
                <w:sz w:val="21"/>
                <w:szCs w:val="21"/>
                <w:vertAlign w:val="baseline"/>
                <w:lang w:val="en-US" w:eastAsia="zh-CN"/>
              </w:rPr>
              <w:t>，则</w:t>
            </w:r>
            <w:r>
              <w:rPr>
                <w:rFonts w:hint="default" w:ascii="Times New Roman" w:hAnsi="Times New Roman" w:eastAsia="宋体" w:cs="Times New Roman"/>
                <w:b w:val="0"/>
                <w:bCs/>
                <w:color w:val="auto"/>
                <w:sz w:val="21"/>
                <w:szCs w:val="21"/>
                <w:lang w:val="en-US" w:eastAsia="zh-CN"/>
              </w:rPr>
              <w:t>36%</w:t>
            </w:r>
            <w:r>
              <w:rPr>
                <w:rFonts w:hint="default" w:ascii="Times New Roman" w:hAnsi="Times New Roman" w:eastAsia="宋体" w:cs="Times New Roman"/>
                <w:b w:val="0"/>
                <w:bCs/>
                <w:color w:val="auto"/>
                <w:sz w:val="21"/>
                <w:szCs w:val="21"/>
                <w:lang w:eastAsia="zh-CN"/>
              </w:rPr>
              <w:t>盐酸（密度为</w:t>
            </w:r>
            <w:r>
              <w:rPr>
                <w:rFonts w:hint="default" w:ascii="Times New Roman" w:hAnsi="Times New Roman" w:eastAsia="宋体" w:cs="Times New Roman"/>
                <w:b w:val="0"/>
                <w:bCs/>
                <w:color w:val="auto"/>
                <w:sz w:val="21"/>
                <w:szCs w:val="21"/>
                <w:lang w:val="en-US" w:eastAsia="zh-CN"/>
              </w:rPr>
              <w:t>1.18g/cm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eastAsia="zh-CN"/>
              </w:rPr>
              <w:t>最大储存量</w:t>
            </w:r>
            <w:r>
              <w:rPr>
                <w:rFonts w:hint="default" w:ascii="Times New Roman" w:hAnsi="Times New Roman" w:eastAsia="宋体" w:cs="Times New Roman"/>
                <w:b w:val="0"/>
                <w:bCs/>
                <w:color w:val="auto"/>
                <w:sz w:val="21"/>
                <w:szCs w:val="21"/>
                <w:lang w:val="en-US" w:eastAsia="zh-CN"/>
              </w:rPr>
              <w:t>53.1t，折算37%</w:t>
            </w:r>
            <w:r>
              <w:rPr>
                <w:rFonts w:hint="default" w:ascii="Times New Roman" w:hAnsi="Times New Roman" w:eastAsia="宋体" w:cs="Times New Roman"/>
                <w:b w:val="0"/>
                <w:bCs/>
                <w:color w:val="auto"/>
                <w:sz w:val="21"/>
                <w:szCs w:val="21"/>
                <w:lang w:eastAsia="zh-CN"/>
              </w:rPr>
              <w:t>盐酸最大储存量</w:t>
            </w:r>
            <w:r>
              <w:rPr>
                <w:rFonts w:hint="default" w:ascii="Times New Roman" w:hAnsi="Times New Roman" w:eastAsia="宋体" w:cs="Times New Roman"/>
                <w:b w:val="0"/>
                <w:bCs/>
                <w:color w:val="auto"/>
                <w:sz w:val="21"/>
                <w:szCs w:val="21"/>
                <w:lang w:val="en-US" w:eastAsia="zh-CN"/>
              </w:rPr>
              <w:t>51.66t。</w:t>
            </w:r>
          </w:p>
          <w:p w14:paraId="3D96E40C">
            <w:pPr>
              <w:topLinePunct/>
              <w:adjustRightInd w:val="0"/>
              <w:snapToGrid w:val="0"/>
              <w:spacing w:line="240" w:lineRule="auto"/>
              <w:ind w:firstLine="420" w:firstLineChars="200"/>
              <w:outlineLvl w:val="2"/>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②</w:t>
            </w:r>
            <w:r>
              <w:rPr>
                <w:rFonts w:hint="eastAsia" w:ascii="Times New Roman" w:hAnsi="Times New Roman" w:eastAsia="宋体" w:cs="Times New Roman"/>
                <w:b w:val="0"/>
                <w:bCs/>
                <w:color w:val="auto"/>
                <w:sz w:val="21"/>
                <w:szCs w:val="21"/>
                <w:lang w:val="en-US" w:eastAsia="zh-CN"/>
              </w:rPr>
              <w:t>项目40个洗滤罐</w:t>
            </w:r>
            <w:r>
              <w:rPr>
                <w:rFonts w:hint="eastAsia" w:cs="Times New Roman"/>
                <w:b w:val="0"/>
                <w:bCs/>
                <w:color w:val="auto"/>
                <w:sz w:val="21"/>
                <w:szCs w:val="21"/>
                <w:lang w:val="en-US" w:eastAsia="zh-CN"/>
              </w:rPr>
              <w:t>同时进行4%酸洗和2%酸洗，根据企业提供资料，每个酸洗罐中盐酸在线量为0.4t，则4%盐酸（</w:t>
            </w:r>
            <w:r>
              <w:rPr>
                <w:rFonts w:hint="default" w:ascii="Times New Roman" w:hAnsi="Times New Roman" w:eastAsia="宋体" w:cs="Times New Roman"/>
                <w:b w:val="0"/>
                <w:bCs/>
                <w:color w:val="auto"/>
                <w:sz w:val="21"/>
                <w:szCs w:val="21"/>
                <w:lang w:val="en-US" w:eastAsia="zh-CN"/>
              </w:rPr>
              <w:t>折算37%</w:t>
            </w:r>
            <w:r>
              <w:rPr>
                <w:rFonts w:hint="default" w:ascii="Times New Roman" w:hAnsi="Times New Roman" w:eastAsia="宋体" w:cs="Times New Roman"/>
                <w:b w:val="0"/>
                <w:bCs/>
                <w:color w:val="auto"/>
                <w:sz w:val="21"/>
                <w:szCs w:val="21"/>
                <w:lang w:eastAsia="zh-CN"/>
              </w:rPr>
              <w:t>盐酸</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最大在线量为40*0.4*0.04/0.37=1.73t，2%盐酸（</w:t>
            </w:r>
            <w:r>
              <w:rPr>
                <w:rFonts w:hint="default" w:ascii="Times New Roman" w:hAnsi="Times New Roman" w:eastAsia="宋体" w:cs="Times New Roman"/>
                <w:b w:val="0"/>
                <w:bCs/>
                <w:color w:val="auto"/>
                <w:sz w:val="21"/>
                <w:szCs w:val="21"/>
                <w:lang w:val="en-US" w:eastAsia="zh-CN"/>
              </w:rPr>
              <w:t>折算37%</w:t>
            </w:r>
            <w:r>
              <w:rPr>
                <w:rFonts w:hint="default" w:ascii="Times New Roman" w:hAnsi="Times New Roman" w:eastAsia="宋体" w:cs="Times New Roman"/>
                <w:b w:val="0"/>
                <w:bCs/>
                <w:color w:val="auto"/>
                <w:sz w:val="21"/>
                <w:szCs w:val="21"/>
                <w:lang w:eastAsia="zh-CN"/>
              </w:rPr>
              <w:t>盐酸</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最大在线量为40*0.4*0.02/0.37=0.865t，则酸洗罐</w:t>
            </w:r>
            <w:r>
              <w:rPr>
                <w:rFonts w:hint="default" w:ascii="Times New Roman" w:hAnsi="Times New Roman" w:eastAsia="宋体" w:cs="Times New Roman"/>
                <w:b w:val="0"/>
                <w:bCs/>
                <w:color w:val="auto"/>
                <w:sz w:val="21"/>
                <w:szCs w:val="21"/>
                <w:lang w:val="en-US" w:eastAsia="zh-CN"/>
              </w:rPr>
              <w:t>37%</w:t>
            </w:r>
            <w:r>
              <w:rPr>
                <w:rFonts w:hint="default" w:ascii="Times New Roman" w:hAnsi="Times New Roman" w:eastAsia="宋体" w:cs="Times New Roman"/>
                <w:b w:val="0"/>
                <w:bCs/>
                <w:color w:val="auto"/>
                <w:sz w:val="21"/>
                <w:szCs w:val="21"/>
                <w:lang w:eastAsia="zh-CN"/>
              </w:rPr>
              <w:t>盐酸</w:t>
            </w:r>
            <w:r>
              <w:rPr>
                <w:rFonts w:hint="eastAsia" w:cs="Times New Roman"/>
                <w:b w:val="0"/>
                <w:bCs/>
                <w:color w:val="auto"/>
                <w:sz w:val="21"/>
                <w:szCs w:val="21"/>
                <w:lang w:eastAsia="zh-CN"/>
              </w:rPr>
              <w:t>最大在线量为</w:t>
            </w:r>
            <w:r>
              <w:rPr>
                <w:rFonts w:hint="eastAsia" w:cs="Times New Roman"/>
                <w:b w:val="0"/>
                <w:bCs/>
                <w:color w:val="auto"/>
                <w:sz w:val="21"/>
                <w:szCs w:val="21"/>
                <w:lang w:val="en-US" w:eastAsia="zh-CN"/>
              </w:rPr>
              <w:t>2.595t。</w:t>
            </w:r>
          </w:p>
          <w:p w14:paraId="73F3831D">
            <w:pPr>
              <w:topLinePunct/>
              <w:adjustRightInd w:val="0"/>
              <w:snapToGrid w:val="0"/>
              <w:spacing w:line="240" w:lineRule="auto"/>
              <w:ind w:firstLine="420" w:firstLineChars="200"/>
              <w:outlineLvl w:val="2"/>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 xml:space="preserve">则盐酸最大储存量为54.255t。 </w:t>
            </w:r>
          </w:p>
          <w:p w14:paraId="1677A962">
            <w:pPr>
              <w:topLinePunct/>
              <w:adjustRightInd w:val="0"/>
              <w:snapToGrid w:val="0"/>
              <w:spacing w:line="360" w:lineRule="auto"/>
              <w:ind w:firstLine="480" w:firstLineChars="200"/>
              <w:outlineLvl w:val="2"/>
              <w:rPr>
                <w:color w:val="000000"/>
                <w:kern w:val="0"/>
                <w:sz w:val="24"/>
              </w:rPr>
            </w:pPr>
            <w:r>
              <w:rPr>
                <w:rFonts w:hint="default" w:ascii="Times New Roman" w:hAnsi="Times New Roman" w:eastAsia="宋体" w:cs="Times New Roman"/>
                <w:color w:val="auto"/>
                <w:sz w:val="24"/>
              </w:rPr>
              <w:t>根据</w:t>
            </w:r>
            <w:r>
              <w:rPr>
                <w:rFonts w:hint="default" w:ascii="Times New Roman" w:hAnsi="Times New Roman" w:cs="Times New Roman"/>
                <w:color w:val="auto"/>
                <w:sz w:val="24"/>
              </w:rPr>
              <w:t>《建设项目环境影响报告表编制技术指南（污染影响类）（试行）》（2021年版）中环境风险评价章节中有毒有害和易燃易爆危险物质存储量超过临界量的建设项目需做专项评价，本项</w:t>
            </w:r>
            <w:r>
              <w:rPr>
                <w:rFonts w:hint="default" w:ascii="Times New Roman" w:hAnsi="Times New Roman" w:eastAsia="宋体" w:cs="Times New Roman"/>
                <w:color w:val="auto"/>
                <w:sz w:val="24"/>
              </w:rPr>
              <w:t>目Q=</w:t>
            </w:r>
            <w:r>
              <w:rPr>
                <w:rFonts w:hint="eastAsia" w:cs="Times New Roman"/>
                <w:color w:val="auto"/>
                <w:sz w:val="24"/>
                <w:lang w:val="en-US" w:eastAsia="zh-CN"/>
              </w:rPr>
              <w:t>7.254</w:t>
            </w:r>
            <w:r>
              <w:rPr>
                <w:rFonts w:hint="default" w:ascii="Times New Roman" w:hAnsi="Times New Roman" w:eastAsia="宋体" w:cs="Times New Roman"/>
                <w:color w:val="auto"/>
                <w:sz w:val="24"/>
              </w:rPr>
              <w:t>，</w:t>
            </w:r>
            <w:r>
              <w:rPr>
                <w:rFonts w:hint="eastAsia" w:cs="Times New Roman"/>
                <w:color w:val="auto"/>
                <w:sz w:val="24"/>
                <w:lang w:eastAsia="zh-CN"/>
              </w:rPr>
              <w:t>需设</w:t>
            </w:r>
            <w:r>
              <w:rPr>
                <w:rFonts w:hint="default" w:ascii="Times New Roman" w:hAnsi="Times New Roman" w:cs="Times New Roman"/>
                <w:color w:val="auto"/>
                <w:sz w:val="24"/>
              </w:rPr>
              <w:t>风险评价专</w:t>
            </w:r>
            <w:r>
              <w:rPr>
                <w:rFonts w:hint="default" w:ascii="Times New Roman" w:hAnsi="Times New Roman" w:cs="Times New Roman"/>
                <w:color w:val="auto"/>
                <w:kern w:val="0"/>
                <w:sz w:val="24"/>
              </w:rPr>
              <w:t>题</w:t>
            </w:r>
            <w:r>
              <w:rPr>
                <w:color w:val="000000"/>
                <w:kern w:val="0"/>
                <w:sz w:val="24"/>
              </w:rPr>
              <w:t>。</w:t>
            </w:r>
          </w:p>
          <w:p w14:paraId="684686C9">
            <w:pPr>
              <w:topLinePunct/>
              <w:adjustRightInd w:val="0"/>
              <w:snapToGrid w:val="0"/>
              <w:spacing w:line="360" w:lineRule="auto"/>
              <w:outlineLvl w:val="2"/>
              <w:rPr>
                <w:rFonts w:hint="eastAsia" w:eastAsia="宋体"/>
                <w:b/>
                <w:bCs/>
                <w:color w:val="auto"/>
                <w:sz w:val="24"/>
                <w:lang w:eastAsia="zh-CN"/>
              </w:rPr>
            </w:pPr>
            <w:r>
              <w:rPr>
                <w:rFonts w:hint="eastAsia"/>
                <w:b/>
                <w:bCs/>
                <w:sz w:val="24"/>
                <w:lang w:val="en-US" w:eastAsia="zh-CN"/>
              </w:rPr>
              <w:t>6.</w:t>
            </w:r>
            <w:r>
              <w:rPr>
                <w:rFonts w:hint="eastAsia"/>
                <w:b/>
                <w:bCs/>
                <w:sz w:val="24"/>
              </w:rPr>
              <w:t>2</w:t>
            </w:r>
            <w:r>
              <w:rPr>
                <w:rFonts w:hint="eastAsia"/>
                <w:b/>
                <w:bCs/>
                <w:sz w:val="24"/>
                <w:lang w:eastAsia="zh-CN"/>
              </w:rPr>
              <w:t>主要结论</w:t>
            </w:r>
          </w:p>
          <w:p w14:paraId="1E2EEB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根据《建设项目环境风险评价技术导则》（HJ169-2018），本项目环境风险评价等级为</w:t>
            </w:r>
            <w:r>
              <w:rPr>
                <w:rFonts w:hint="default" w:ascii="Times New Roman" w:hAnsi="Times New Roman" w:eastAsia="宋体" w:cs="Times New Roman"/>
                <w:color w:val="auto"/>
                <w:sz w:val="24"/>
                <w:lang w:val="en-US" w:eastAsia="zh-CN"/>
              </w:rPr>
              <w:t>三级评价</w:t>
            </w:r>
            <w:r>
              <w:rPr>
                <w:rFonts w:hint="default" w:ascii="Times New Roman" w:hAnsi="Times New Roman" w:eastAsia="宋体" w:cs="Times New Roman"/>
                <w:color w:val="auto"/>
                <w:sz w:val="24"/>
                <w:lang w:eastAsia="zh-CN"/>
              </w:rPr>
              <w:t>。</w:t>
            </w:r>
          </w:p>
          <w:p w14:paraId="360705E9">
            <w:pPr>
              <w:keepNext w:val="0"/>
              <w:keepLines w:val="0"/>
              <w:pageBreakBefore w:val="0"/>
              <w:widowControl w:val="0"/>
              <w:tabs>
                <w:tab w:val="left" w:pos="600"/>
              </w:tabs>
              <w:kinsoku/>
              <w:wordWrap/>
              <w:overflowPunct/>
              <w:autoSpaceDE/>
              <w:autoSpaceDN/>
              <w:bidi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本项目涉及到的危险物质主要有</w:t>
            </w:r>
            <w:r>
              <w:rPr>
                <w:rFonts w:hint="default" w:ascii="Times New Roman" w:hAnsi="Times New Roman" w:eastAsia="宋体" w:cs="Times New Roman"/>
                <w:color w:val="auto"/>
                <w:kern w:val="0"/>
                <w:sz w:val="24"/>
                <w:szCs w:val="24"/>
                <w:lang w:val="en-US" w:eastAsia="zh-CN" w:bidi="ar"/>
              </w:rPr>
              <w:t>盐酸、液碱</w:t>
            </w:r>
            <w:r>
              <w:rPr>
                <w:rFonts w:hint="eastAsia" w:ascii="Times New Roman" w:hAnsi="Times New Roman" w:eastAsia="宋体" w:cs="Times New Roman"/>
                <w:color w:val="auto"/>
                <w:kern w:val="0"/>
                <w:sz w:val="24"/>
                <w:szCs w:val="24"/>
                <w:lang w:val="en-US" w:eastAsia="zh-CN" w:bidi="ar"/>
              </w:rPr>
              <w:t>、废机油</w:t>
            </w: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0"/>
                <w:sz w:val="24"/>
                <w:szCs w:val="24"/>
                <w:lang w:val="en-US" w:eastAsia="zh-CN" w:bidi="ar"/>
              </w:rPr>
              <w:t>盐酸</w:t>
            </w:r>
            <w:r>
              <w:rPr>
                <w:rFonts w:hint="eastAsia" w:cs="Times New Roman"/>
                <w:color w:val="auto"/>
                <w:kern w:val="0"/>
                <w:sz w:val="24"/>
                <w:szCs w:val="24"/>
                <w:lang w:val="en-US" w:eastAsia="zh-CN" w:bidi="ar"/>
              </w:rPr>
              <w:t>存在于盐酸储罐区、洗滤罐区，液</w:t>
            </w:r>
            <w:r>
              <w:rPr>
                <w:rFonts w:hint="default" w:ascii="Times New Roman" w:hAnsi="Times New Roman" w:eastAsia="宋体" w:cs="Times New Roman"/>
                <w:color w:val="auto"/>
                <w:kern w:val="0"/>
                <w:sz w:val="24"/>
                <w:szCs w:val="24"/>
                <w:lang w:val="en-US" w:eastAsia="zh-CN" w:bidi="ar"/>
              </w:rPr>
              <w:t>碱</w:t>
            </w:r>
            <w:r>
              <w:rPr>
                <w:rFonts w:hint="eastAsia" w:cs="Times New Roman"/>
                <w:color w:val="auto"/>
                <w:kern w:val="0"/>
                <w:sz w:val="24"/>
                <w:szCs w:val="24"/>
                <w:lang w:val="en-US" w:eastAsia="zh-CN" w:bidi="ar"/>
              </w:rPr>
              <w:t>存在于液碱</w:t>
            </w:r>
            <w:r>
              <w:rPr>
                <w:rFonts w:hint="default" w:ascii="Times New Roman" w:hAnsi="Times New Roman" w:cs="Times New Roman"/>
                <w:color w:val="auto"/>
                <w:sz w:val="24"/>
                <w:lang w:val="en-US" w:eastAsia="zh-CN"/>
              </w:rPr>
              <w:t>储罐区内，</w:t>
            </w:r>
            <w:r>
              <w:rPr>
                <w:rFonts w:hint="eastAsia" w:cs="Times New Roman"/>
                <w:color w:val="auto"/>
                <w:sz w:val="24"/>
                <w:lang w:val="en-US" w:eastAsia="zh-CN"/>
              </w:rPr>
              <w:t>废机油储存在危废暂存间内。</w:t>
            </w:r>
            <w:r>
              <w:rPr>
                <w:rFonts w:hint="default" w:ascii="Times New Roman" w:hAnsi="Times New Roman" w:cs="Times New Roman"/>
                <w:color w:val="auto"/>
                <w:sz w:val="24"/>
              </w:rPr>
              <w:t>因此，确定</w:t>
            </w:r>
            <w:r>
              <w:rPr>
                <w:rFonts w:hint="eastAsia" w:cs="Times New Roman"/>
                <w:color w:val="auto"/>
                <w:sz w:val="24"/>
                <w:lang w:val="en-US" w:eastAsia="zh-CN"/>
              </w:rPr>
              <w:t>盐酸</w:t>
            </w:r>
            <w:r>
              <w:rPr>
                <w:rFonts w:hint="default" w:ascii="Times New Roman" w:hAnsi="Times New Roman" w:cs="Times New Roman"/>
                <w:color w:val="auto"/>
                <w:sz w:val="24"/>
                <w:lang w:val="en-US" w:eastAsia="zh-CN"/>
              </w:rPr>
              <w:t>储罐区</w:t>
            </w:r>
            <w:r>
              <w:rPr>
                <w:rFonts w:hint="eastAsia" w:cs="Times New Roman"/>
                <w:color w:val="auto"/>
                <w:sz w:val="24"/>
                <w:lang w:val="en-US" w:eastAsia="zh-CN"/>
              </w:rPr>
              <w:t>、液碱储罐区、洗滤罐区、危废暂存间</w:t>
            </w:r>
            <w:r>
              <w:rPr>
                <w:rFonts w:hint="default" w:ascii="Times New Roman" w:hAnsi="Times New Roman" w:cs="Times New Roman"/>
                <w:color w:val="auto"/>
                <w:sz w:val="24"/>
              </w:rPr>
              <w:t>为</w:t>
            </w:r>
            <w:r>
              <w:rPr>
                <w:rFonts w:hint="default" w:ascii="Times New Roman" w:hAnsi="Times New Roman" w:cs="Times New Roman"/>
                <w:color w:val="auto"/>
                <w:sz w:val="24"/>
                <w:lang w:val="en-US" w:eastAsia="zh-CN"/>
              </w:rPr>
              <w:t>风险</w:t>
            </w:r>
            <w:r>
              <w:rPr>
                <w:rFonts w:hint="default" w:ascii="Times New Roman" w:hAnsi="Times New Roman" w:cs="Times New Roman"/>
                <w:color w:val="auto"/>
                <w:sz w:val="24"/>
              </w:rPr>
              <w:t>单元。</w:t>
            </w:r>
            <w:r>
              <w:rPr>
                <w:rFonts w:hint="default" w:ascii="Times New Roman" w:hAnsi="Times New Roman" w:eastAsia="宋体" w:cs="Times New Roman"/>
                <w:color w:val="auto"/>
                <w:sz w:val="24"/>
                <w:lang w:val="en-US" w:eastAsia="zh-CN"/>
              </w:rPr>
              <w:t>项目</w:t>
            </w:r>
            <w:r>
              <w:rPr>
                <w:rFonts w:hint="eastAsia" w:ascii="Times New Roman" w:hAnsi="Times New Roman" w:eastAsia="宋体" w:cs="Times New Roman"/>
                <w:color w:val="auto"/>
                <w:sz w:val="24"/>
                <w:lang w:val="en-US" w:eastAsia="zh-CN"/>
              </w:rPr>
              <w:t>盐酸</w:t>
            </w:r>
            <w:r>
              <w:rPr>
                <w:rFonts w:hint="default" w:ascii="Times New Roman" w:hAnsi="Times New Roman" w:eastAsia="宋体" w:cs="Times New Roman"/>
                <w:color w:val="auto"/>
                <w:sz w:val="24"/>
                <w:lang w:val="en-US" w:eastAsia="zh-CN"/>
              </w:rPr>
              <w:t>储罐区</w:t>
            </w:r>
            <w:r>
              <w:rPr>
                <w:rFonts w:hint="eastAsia" w:ascii="Times New Roman" w:hAnsi="Times New Roman" w:eastAsia="宋体" w:cs="Times New Roman"/>
                <w:color w:val="auto"/>
                <w:sz w:val="24"/>
                <w:lang w:val="en-US" w:eastAsia="zh-CN"/>
              </w:rPr>
              <w:t>、液碱储罐区</w:t>
            </w:r>
            <w:r>
              <w:rPr>
                <w:rFonts w:hint="default" w:ascii="Times New Roman" w:hAnsi="Times New Roman" w:eastAsia="宋体" w:cs="Times New Roman"/>
                <w:color w:val="auto"/>
                <w:sz w:val="24"/>
                <w:lang w:val="en-US" w:eastAsia="zh-CN"/>
              </w:rPr>
              <w:t>做重点防渗，并设置围堰，按要求配备导流、截留系统，配套设置事故池。</w:t>
            </w:r>
          </w:p>
          <w:p w14:paraId="35832043">
            <w:pPr>
              <w:keepNext w:val="0"/>
              <w:keepLines w:val="0"/>
              <w:pageBreakBefore w:val="0"/>
              <w:widowControl w:val="0"/>
              <w:tabs>
                <w:tab w:val="left" w:pos="600"/>
              </w:tabs>
              <w:kinsoku/>
              <w:wordWrap/>
              <w:overflowPunct/>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为进一步建立健全企业突发环境事故应急机制，确保</w:t>
            </w:r>
            <w:r>
              <w:rPr>
                <w:rFonts w:hint="eastAsia" w:ascii="Times New Roman" w:hAnsi="Times New Roman" w:eastAsia="宋体" w:cs="Times New Roman"/>
                <w:color w:val="auto"/>
                <w:sz w:val="24"/>
                <w:lang w:eastAsia="zh-CN"/>
              </w:rPr>
              <w:t>突</w:t>
            </w:r>
            <w:r>
              <w:rPr>
                <w:rFonts w:hint="default" w:ascii="Times New Roman" w:hAnsi="Times New Roman" w:eastAsia="宋体" w:cs="Times New Roman"/>
                <w:color w:val="auto"/>
                <w:sz w:val="24"/>
              </w:rPr>
              <w:t>发性环境事故应急处理高效、有序的进行，本评价要求企业定期组织培训</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演练，及时更新修编应急预案，并向</w:t>
            </w:r>
            <w:r>
              <w:rPr>
                <w:rFonts w:hint="default" w:ascii="Times New Roman" w:hAnsi="Times New Roman" w:eastAsia="宋体" w:cs="Times New Roman"/>
                <w:color w:val="auto"/>
                <w:sz w:val="24"/>
                <w:lang w:val="en-US" w:eastAsia="zh-CN"/>
              </w:rPr>
              <w:t>生态环境</w:t>
            </w:r>
            <w:r>
              <w:rPr>
                <w:rFonts w:hint="default" w:ascii="Times New Roman" w:hAnsi="Times New Roman" w:eastAsia="宋体" w:cs="Times New Roman"/>
                <w:color w:val="auto"/>
                <w:sz w:val="24"/>
              </w:rPr>
              <w:t>部门备案。</w:t>
            </w:r>
          </w:p>
          <w:p w14:paraId="6C8773CC">
            <w:pPr>
              <w:keepNext w:val="0"/>
              <w:keepLines w:val="0"/>
              <w:pageBreakBefore w:val="0"/>
              <w:widowControl w:val="0"/>
              <w:tabs>
                <w:tab w:val="left" w:pos="600"/>
              </w:tabs>
              <w:kinsoku/>
              <w:wordWrap/>
              <w:overflowPunct/>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建设单位须高度重视，做到风险防范警钟长鸣，环境安全管理常抓不懈，严格落实各项风险防范措施，不断完善风险管理体系。有效降低风险事故发生概率、杜绝特大事故的发生隐患。</w:t>
            </w:r>
          </w:p>
          <w:p w14:paraId="19E33994">
            <w:pPr>
              <w:keepNext w:val="0"/>
              <w:keepLines w:val="0"/>
              <w:pageBreakBefore w:val="0"/>
              <w:widowControl w:val="0"/>
              <w:kinsoku/>
              <w:wordWrap/>
              <w:overflowPunct/>
              <w:topLinePunct/>
              <w:autoSpaceDE/>
              <w:autoSpaceDN/>
              <w:bidi w:val="0"/>
              <w:adjustRightInd w:val="0"/>
              <w:snapToGrid w:val="0"/>
              <w:spacing w:line="360" w:lineRule="auto"/>
              <w:ind w:firstLine="480" w:firstLineChars="200"/>
              <w:textAlignment w:val="auto"/>
              <w:outlineLvl w:val="2"/>
              <w:rPr>
                <w:rFonts w:hint="default"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sz w:val="24"/>
              </w:rPr>
              <w:t>综上所述，本评价认为，在有效落实风险防范措施和事故应急预案的前提下，从环境风险角度评价，项目建设是可行的</w:t>
            </w:r>
            <w:r>
              <w:rPr>
                <w:rFonts w:hint="default" w:ascii="Times New Roman" w:hAnsi="Times New Roman" w:eastAsia="宋体" w:cs="Times New Roman"/>
                <w:color w:val="auto"/>
                <w:sz w:val="24"/>
                <w:lang w:eastAsia="zh-CN"/>
              </w:rPr>
              <w:t>。</w:t>
            </w:r>
          </w:p>
          <w:p w14:paraId="2C285565">
            <w:pPr>
              <w:adjustRightInd w:val="0"/>
              <w:snapToGrid w:val="0"/>
              <w:spacing w:line="360" w:lineRule="auto"/>
              <w:rPr>
                <w:rFonts w:hint="default"/>
                <w:b w:val="0"/>
                <w:bCs w:val="0"/>
                <w:sz w:val="24"/>
                <w:szCs w:val="24"/>
                <w:lang w:eastAsia="zh-CN"/>
              </w:rPr>
            </w:pPr>
            <w:r>
              <w:rPr>
                <w:rFonts w:hint="eastAsia"/>
                <w:b/>
                <w:bCs/>
                <w:kern w:val="0"/>
                <w:sz w:val="24"/>
                <w:lang w:val="en-US" w:eastAsia="zh-CN"/>
              </w:rPr>
              <w:t>7</w:t>
            </w:r>
            <w:r>
              <w:rPr>
                <w:rFonts w:hint="eastAsia"/>
                <w:b/>
                <w:bCs/>
                <w:kern w:val="0"/>
                <w:sz w:val="24"/>
              </w:rPr>
              <w:t>、</w:t>
            </w:r>
            <w:r>
              <w:rPr>
                <w:rFonts w:hint="default"/>
                <w:b/>
                <w:bCs/>
                <w:sz w:val="24"/>
                <w:szCs w:val="24"/>
                <w:lang w:eastAsia="zh-CN"/>
              </w:rPr>
              <w:t>项目环评与排污许可联动内容</w:t>
            </w:r>
          </w:p>
          <w:p w14:paraId="26CAA7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color w:val="auto"/>
                <w:sz w:val="24"/>
                <w:szCs w:val="24"/>
                <w:lang w:eastAsia="zh-CN"/>
              </w:rPr>
            </w:pPr>
            <w:r>
              <w:rPr>
                <w:rFonts w:hint="default"/>
                <w:b w:val="0"/>
                <w:bCs w:val="0"/>
                <w:sz w:val="24"/>
                <w:szCs w:val="24"/>
                <w:lang w:eastAsia="zh-CN"/>
              </w:rPr>
              <w:t>根据安徽省生态环境厅于</w:t>
            </w:r>
            <w:r>
              <w:rPr>
                <w:rFonts w:hint="default"/>
                <w:b w:val="0"/>
                <w:bCs w:val="0"/>
                <w:sz w:val="24"/>
                <w:szCs w:val="24"/>
                <w:lang w:val="en-US" w:eastAsia="zh-CN"/>
              </w:rPr>
              <w:t>2021年1月30日发布的</w:t>
            </w:r>
            <w:r>
              <w:rPr>
                <w:rFonts w:hint="default"/>
                <w:b w:val="0"/>
                <w:bCs w:val="0"/>
                <w:sz w:val="24"/>
                <w:szCs w:val="24"/>
              </w:rPr>
              <w:t>《</w:t>
            </w:r>
            <w:r>
              <w:rPr>
                <w:rFonts w:hint="default"/>
                <w:b w:val="0"/>
                <w:bCs w:val="0"/>
                <w:sz w:val="24"/>
                <w:szCs w:val="24"/>
                <w:lang w:val="en-US" w:eastAsia="zh-CN"/>
              </w:rPr>
              <w:t>安徽省生态环境厅关于统筹做好固定污染源排污许可日常监管工作的通知</w:t>
            </w:r>
            <w:r>
              <w:rPr>
                <w:rFonts w:hint="default"/>
                <w:b w:val="0"/>
                <w:bCs w:val="0"/>
                <w:sz w:val="24"/>
                <w:szCs w:val="24"/>
              </w:rPr>
              <w:t>》</w:t>
            </w:r>
            <w:r>
              <w:rPr>
                <w:rFonts w:hint="default"/>
                <w:b w:val="0"/>
                <w:bCs w:val="0"/>
                <w:sz w:val="24"/>
                <w:szCs w:val="24"/>
                <w:lang w:val="en-US" w:eastAsia="zh-CN"/>
              </w:rPr>
              <w:t>（皖环发[2021]7号），属于现行</w:t>
            </w:r>
            <w:r>
              <w:rPr>
                <w:rFonts w:hint="default"/>
                <w:b w:val="0"/>
                <w:bCs w:val="0"/>
                <w:sz w:val="24"/>
                <w:szCs w:val="24"/>
              </w:rPr>
              <w:t>《</w:t>
            </w:r>
            <w:r>
              <w:rPr>
                <w:rFonts w:hint="default"/>
                <w:b w:val="0"/>
                <w:bCs w:val="0"/>
                <w:sz w:val="24"/>
                <w:szCs w:val="24"/>
                <w:lang w:val="en-US" w:eastAsia="zh-CN"/>
              </w:rPr>
              <w:t>固定污染源排污许可分类管理名录</w:t>
            </w:r>
            <w:r>
              <w:rPr>
                <w:rFonts w:hint="default"/>
                <w:b w:val="0"/>
                <w:bCs w:val="0"/>
                <w:sz w:val="24"/>
                <w:szCs w:val="24"/>
              </w:rPr>
              <w:t>》</w:t>
            </w:r>
            <w:r>
              <w:rPr>
                <w:rFonts w:hint="default"/>
                <w:b w:val="0"/>
                <w:bCs w:val="0"/>
                <w:sz w:val="24"/>
                <w:szCs w:val="24"/>
                <w:lang w:eastAsia="zh-CN"/>
              </w:rPr>
              <w:t>内重点管理和简化管理的行</w:t>
            </w:r>
            <w:r>
              <w:rPr>
                <w:rFonts w:hint="default"/>
                <w:b w:val="0"/>
                <w:bCs w:val="0"/>
                <w:color w:val="auto"/>
                <w:sz w:val="24"/>
                <w:szCs w:val="24"/>
                <w:lang w:eastAsia="zh-CN"/>
              </w:rPr>
              <w:t>业，在环评文件中应明确“建设项目环境影响评价与排污许可联动内容”和</w:t>
            </w:r>
            <w:r>
              <w:rPr>
                <w:rFonts w:hint="default"/>
                <w:b w:val="0"/>
                <w:bCs w:val="0"/>
                <w:color w:val="auto"/>
                <w:sz w:val="24"/>
                <w:szCs w:val="24"/>
              </w:rPr>
              <w:t>《</w:t>
            </w:r>
            <w:r>
              <w:rPr>
                <w:rFonts w:hint="default"/>
                <w:b w:val="0"/>
                <w:bCs w:val="0"/>
                <w:color w:val="auto"/>
                <w:sz w:val="24"/>
                <w:szCs w:val="24"/>
                <w:lang w:eastAsia="zh-CN"/>
              </w:rPr>
              <w:t>建设项目排污许可申请与填发信息表</w:t>
            </w:r>
            <w:r>
              <w:rPr>
                <w:rFonts w:hint="default"/>
                <w:b w:val="0"/>
                <w:bCs w:val="0"/>
                <w:color w:val="auto"/>
                <w:sz w:val="24"/>
                <w:szCs w:val="24"/>
              </w:rPr>
              <w:t>》</w:t>
            </w:r>
            <w:r>
              <w:rPr>
                <w:rFonts w:hint="default"/>
                <w:b w:val="0"/>
                <w:bCs w:val="0"/>
                <w:color w:val="auto"/>
                <w:sz w:val="24"/>
                <w:szCs w:val="24"/>
                <w:lang w:eastAsia="zh-CN"/>
              </w:rPr>
              <w:t>。</w:t>
            </w:r>
          </w:p>
          <w:p w14:paraId="5CA8D659">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（1）排污许可管理</w:t>
            </w:r>
          </w:p>
          <w:p w14:paraId="0D3966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sz w:val="24"/>
                <w:szCs w:val="24"/>
                <w:lang w:val="en-US" w:eastAsia="zh-CN"/>
              </w:rPr>
            </w:pPr>
            <w:r>
              <w:rPr>
                <w:rFonts w:hint="eastAsia"/>
                <w:color w:val="auto"/>
                <w:sz w:val="24"/>
                <w:szCs w:val="24"/>
                <w:lang w:val="en-US" w:eastAsia="zh-CN"/>
              </w:rPr>
              <w:t>本项目行业类别为：</w:t>
            </w:r>
            <w:r>
              <w:rPr>
                <w:rFonts w:hint="eastAsia" w:eastAsia="宋体"/>
                <w:color w:val="auto"/>
                <w:sz w:val="24"/>
                <w:lang w:val="en-US" w:eastAsia="zh-CN"/>
              </w:rPr>
              <w:t>C</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985电子专用材料</w:t>
            </w:r>
            <w:r>
              <w:rPr>
                <w:rFonts w:hint="default" w:ascii="Times New Roman" w:hAnsi="Times New Roman" w:eastAsia="宋体" w:cs="Times New Roman"/>
                <w:color w:val="auto"/>
                <w:sz w:val="24"/>
                <w:szCs w:val="24"/>
                <w:lang w:val="en-US" w:eastAsia="zh-CN"/>
              </w:rPr>
              <w:t>制造</w:t>
            </w:r>
            <w:r>
              <w:rPr>
                <w:rFonts w:hint="eastAsia" w:cs="Times New Roman"/>
                <w:color w:val="auto"/>
                <w:sz w:val="24"/>
                <w:lang w:eastAsia="zh-CN"/>
              </w:rPr>
              <w:t>；对照</w:t>
            </w:r>
            <w:r>
              <w:rPr>
                <w:rFonts w:hint="default"/>
                <w:b w:val="0"/>
                <w:bCs w:val="0"/>
                <w:color w:val="auto"/>
                <w:sz w:val="24"/>
                <w:szCs w:val="24"/>
              </w:rPr>
              <w:t>《</w:t>
            </w:r>
            <w:r>
              <w:rPr>
                <w:rFonts w:hint="default"/>
                <w:b w:val="0"/>
                <w:bCs w:val="0"/>
                <w:color w:val="auto"/>
                <w:sz w:val="24"/>
                <w:szCs w:val="24"/>
                <w:lang w:val="en-US" w:eastAsia="zh-CN"/>
              </w:rPr>
              <w:t>固定污染源排污许可分类管理名录</w:t>
            </w:r>
            <w:r>
              <w:rPr>
                <w:rFonts w:hint="default"/>
                <w:b w:val="0"/>
                <w:bCs w:val="0"/>
                <w:color w:val="auto"/>
                <w:sz w:val="24"/>
                <w:szCs w:val="24"/>
              </w:rPr>
              <w:t>》</w:t>
            </w:r>
            <w:r>
              <w:rPr>
                <w:rFonts w:hint="eastAsia"/>
                <w:b w:val="0"/>
                <w:bCs w:val="0"/>
                <w:color w:val="auto"/>
                <w:sz w:val="24"/>
                <w:szCs w:val="24"/>
                <w:lang w:eastAsia="zh-CN"/>
              </w:rPr>
              <w:t>（</w:t>
            </w:r>
            <w:r>
              <w:rPr>
                <w:rFonts w:hint="eastAsia"/>
                <w:b w:val="0"/>
                <w:bCs w:val="0"/>
                <w:color w:val="auto"/>
                <w:sz w:val="24"/>
                <w:szCs w:val="24"/>
                <w:lang w:val="en-US" w:eastAsia="zh-CN"/>
              </w:rPr>
              <w:t>2019年版</w:t>
            </w:r>
            <w:r>
              <w:rPr>
                <w:rFonts w:hint="eastAsia"/>
                <w:b w:val="0"/>
                <w:bCs w:val="0"/>
                <w:color w:val="auto"/>
                <w:sz w:val="24"/>
                <w:szCs w:val="24"/>
                <w:lang w:eastAsia="zh-CN"/>
              </w:rPr>
              <w:t>），本项目属于</w:t>
            </w:r>
            <w:r>
              <w:rPr>
                <w:rFonts w:hint="eastAsia"/>
                <w:b w:val="0"/>
                <w:bCs w:val="0"/>
                <w:color w:val="auto"/>
                <w:sz w:val="24"/>
                <w:szCs w:val="24"/>
                <w:lang w:val="en-US" w:eastAsia="zh-CN"/>
              </w:rPr>
              <w:t>89电子元件及电子专用材料制造398；除重点管理以外的年使用10吨及以上溶剂型涂料（含稀释剂）的，</w:t>
            </w:r>
            <w:r>
              <w:rPr>
                <w:rFonts w:hint="eastAsia"/>
                <w:b w:val="0"/>
                <w:bCs w:val="0"/>
                <w:color w:val="auto"/>
                <w:sz w:val="24"/>
                <w:szCs w:val="24"/>
                <w:lang w:eastAsia="zh-CN"/>
              </w:rPr>
              <w:t>本项目为</w:t>
            </w:r>
            <w:r>
              <w:rPr>
                <w:rFonts w:hint="eastAsia"/>
                <w:b w:val="0"/>
                <w:bCs w:val="0"/>
                <w:color w:val="auto"/>
                <w:sz w:val="24"/>
                <w:szCs w:val="24"/>
                <w:lang w:val="en-US" w:eastAsia="zh-CN"/>
              </w:rPr>
              <w:t>登记管理，</w:t>
            </w:r>
            <w:r>
              <w:rPr>
                <w:color w:val="auto"/>
                <w:sz w:val="24"/>
                <w:szCs w:val="22"/>
              </w:rPr>
              <w:t>项目运营前应办理排污许可</w:t>
            </w:r>
            <w:r>
              <w:rPr>
                <w:rFonts w:hint="eastAsia"/>
                <w:b w:val="0"/>
                <w:bCs w:val="0"/>
                <w:color w:val="auto"/>
                <w:sz w:val="24"/>
                <w:szCs w:val="24"/>
                <w:lang w:val="en-US" w:eastAsia="zh-CN"/>
              </w:rPr>
              <w:t>。</w:t>
            </w:r>
          </w:p>
          <w:p w14:paraId="07CF2251">
            <w:pPr>
              <w:pStyle w:val="22"/>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相关排污许可管理要求内容如下：</w:t>
            </w:r>
          </w:p>
          <w:p w14:paraId="6841D8FE">
            <w:pPr>
              <w:pStyle w:val="7"/>
              <w:adjustRightInd w:val="0"/>
              <w:snapToGrid w:val="0"/>
              <w:spacing w:line="240" w:lineRule="auto"/>
              <w:ind w:firstLine="480"/>
              <w:jc w:val="center"/>
              <w:rPr>
                <w:rFonts w:hint="eastAsia" w:eastAsia="宋体"/>
                <w:b/>
                <w:bCs/>
                <w:sz w:val="21"/>
                <w:szCs w:val="21"/>
                <w:lang w:eastAsia="zh-CN"/>
              </w:rPr>
            </w:pPr>
            <w:r>
              <w:rPr>
                <w:b/>
                <w:bCs/>
                <w:sz w:val="21"/>
                <w:szCs w:val="21"/>
              </w:rPr>
              <w:t>表</w:t>
            </w:r>
            <w:r>
              <w:rPr>
                <w:rFonts w:hint="eastAsia"/>
                <w:b/>
                <w:bCs/>
                <w:sz w:val="21"/>
                <w:szCs w:val="21"/>
              </w:rPr>
              <w:t>4</w:t>
            </w:r>
            <w:r>
              <w:rPr>
                <w:b/>
                <w:bCs/>
                <w:sz w:val="21"/>
                <w:szCs w:val="21"/>
              </w:rPr>
              <w:t>-</w:t>
            </w:r>
            <w:r>
              <w:rPr>
                <w:rFonts w:hint="eastAsia"/>
                <w:b/>
                <w:bCs/>
                <w:sz w:val="21"/>
                <w:szCs w:val="21"/>
                <w:lang w:val="en-US" w:eastAsia="zh-CN"/>
              </w:rPr>
              <w:t xml:space="preserve">19 </w:t>
            </w:r>
            <w:r>
              <w:rPr>
                <w:rFonts w:hint="eastAsia"/>
                <w:b/>
                <w:bCs/>
                <w:sz w:val="21"/>
                <w:szCs w:val="21"/>
                <w:lang w:eastAsia="zh-CN"/>
              </w:rPr>
              <w:t>固定污染源排污许可证分类管理名录（</w:t>
            </w:r>
            <w:r>
              <w:rPr>
                <w:rFonts w:hint="eastAsia"/>
                <w:b/>
                <w:bCs/>
                <w:sz w:val="21"/>
                <w:szCs w:val="21"/>
                <w:lang w:val="en-US" w:eastAsia="zh-CN"/>
              </w:rPr>
              <w:t>2019版</w:t>
            </w:r>
            <w:r>
              <w:rPr>
                <w:rFonts w:hint="eastAsia"/>
                <w:b/>
                <w:bCs/>
                <w:sz w:val="21"/>
                <w:szCs w:val="21"/>
                <w:lang w:eastAsia="zh-CN"/>
              </w:rPr>
              <w:t>）对照表</w:t>
            </w:r>
          </w:p>
          <w:tbl>
            <w:tblPr>
              <w:tblStyle w:val="2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22"/>
              <w:gridCol w:w="2070"/>
              <w:gridCol w:w="3227"/>
              <w:gridCol w:w="1435"/>
            </w:tblGrid>
            <w:tr w14:paraId="40BE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 w:type="pct"/>
                  <w:vAlign w:val="center"/>
                </w:tcPr>
                <w:p w14:paraId="0F1C58AD">
                  <w:pPr>
                    <w:adjustRightIn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807" w:type="pct"/>
                  <w:vAlign w:val="center"/>
                </w:tcPr>
                <w:p w14:paraId="61652144">
                  <w:pPr>
                    <w:adjustRightIn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行业类别</w:t>
                  </w:r>
                </w:p>
              </w:tc>
              <w:tc>
                <w:tcPr>
                  <w:tcW w:w="1175" w:type="pct"/>
                  <w:vAlign w:val="center"/>
                </w:tcPr>
                <w:p w14:paraId="4DECDCA1">
                  <w:pPr>
                    <w:adjustRightIn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重点管理</w:t>
                  </w:r>
                </w:p>
              </w:tc>
              <w:tc>
                <w:tcPr>
                  <w:tcW w:w="1831" w:type="pct"/>
                  <w:vAlign w:val="center"/>
                </w:tcPr>
                <w:p w14:paraId="2CBB01A4">
                  <w:pPr>
                    <w:adjustRightIn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简化管理</w:t>
                  </w:r>
                </w:p>
              </w:tc>
              <w:tc>
                <w:tcPr>
                  <w:tcW w:w="814" w:type="pct"/>
                  <w:vAlign w:val="center"/>
                </w:tcPr>
                <w:p w14:paraId="6332A9C7">
                  <w:pPr>
                    <w:adjustRightIn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登记管理</w:t>
                  </w:r>
                </w:p>
              </w:tc>
            </w:tr>
            <w:tr w14:paraId="782B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5"/>
                  <w:vAlign w:val="center"/>
                </w:tcPr>
                <w:p w14:paraId="1B9E6FEB">
                  <w:pPr>
                    <w:adjustRightInd w:val="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三十四、计算机、通信和其他电子设备制造业</w:t>
                  </w:r>
                  <w:r>
                    <w:rPr>
                      <w:rFonts w:hint="eastAsia" w:cs="Times New Roman"/>
                      <w:sz w:val="21"/>
                      <w:szCs w:val="21"/>
                      <w:lang w:val="en-US" w:eastAsia="zh-CN"/>
                    </w:rPr>
                    <w:t>39</w:t>
                  </w:r>
                </w:p>
              </w:tc>
            </w:tr>
            <w:tr w14:paraId="7C76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71" w:type="pct"/>
                  <w:vAlign w:val="center"/>
                </w:tcPr>
                <w:p w14:paraId="54A7D350">
                  <w:pPr>
                    <w:adjustRightIn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89</w:t>
                  </w:r>
                </w:p>
              </w:tc>
              <w:tc>
                <w:tcPr>
                  <w:tcW w:w="807" w:type="pct"/>
                  <w:vAlign w:val="center"/>
                </w:tcPr>
                <w:p w14:paraId="663A7743">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b w:val="0"/>
                      <w:bCs w:val="0"/>
                      <w:color w:val="auto"/>
                      <w:sz w:val="21"/>
                      <w:szCs w:val="21"/>
                      <w:lang w:val="en-US" w:eastAsia="zh-CN"/>
                    </w:rPr>
                    <w:t>电子元件及电子专用材料制造398</w:t>
                  </w:r>
                </w:p>
              </w:tc>
              <w:tc>
                <w:tcPr>
                  <w:tcW w:w="1175" w:type="pct"/>
                  <w:vAlign w:val="center"/>
                </w:tcPr>
                <w:p w14:paraId="5875747F">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b w:val="0"/>
                      <w:bCs w:val="0"/>
                      <w:color w:val="auto"/>
                      <w:sz w:val="21"/>
                      <w:szCs w:val="21"/>
                      <w:lang w:val="en-US" w:eastAsia="zh-CN"/>
                    </w:rPr>
                    <w:t>纳入重点排污单位名录的</w:t>
                  </w:r>
                </w:p>
              </w:tc>
              <w:tc>
                <w:tcPr>
                  <w:tcW w:w="1831" w:type="pct"/>
                  <w:vAlign w:val="center"/>
                </w:tcPr>
                <w:p w14:paraId="02D30194">
                  <w:pPr>
                    <w:keepNext w:val="0"/>
                    <w:keepLines w:val="0"/>
                    <w:widowControl/>
                    <w:suppressLineNumbers w:val="0"/>
                    <w:jc w:val="center"/>
                    <w:rPr>
                      <w:rFonts w:hint="default" w:ascii="Times New Roman" w:hAnsi="Times New Roman" w:eastAsia="宋体" w:cs="Times New Roman"/>
                      <w:sz w:val="21"/>
                      <w:szCs w:val="21"/>
                      <w:lang w:val="en-US" w:eastAsia="zh-CN"/>
                    </w:rPr>
                  </w:pPr>
                  <w:r>
                    <w:rPr>
                      <w:rFonts w:hint="eastAsia"/>
                      <w:b w:val="0"/>
                      <w:bCs w:val="0"/>
                      <w:color w:val="auto"/>
                      <w:sz w:val="21"/>
                      <w:szCs w:val="21"/>
                      <w:lang w:val="en-US" w:eastAsia="zh-CN"/>
                    </w:rPr>
                    <w:t>除重点管理以外的年使用10吨及以上溶剂型涂料（含稀释剂）的</w:t>
                  </w:r>
                </w:p>
              </w:tc>
              <w:tc>
                <w:tcPr>
                  <w:tcW w:w="814" w:type="pct"/>
                  <w:vAlign w:val="center"/>
                </w:tcPr>
                <w:p w14:paraId="2F572FB2">
                  <w:pPr>
                    <w:keepNext w:val="0"/>
                    <w:keepLines w:val="0"/>
                    <w:widowControl/>
                    <w:suppressLineNumbers w:val="0"/>
                    <w:jc w:val="center"/>
                    <w:rPr>
                      <w:rFonts w:hint="default" w:ascii="Times New Roman" w:hAnsi="Times New Roman" w:eastAsia="宋体" w:cs="Times New Roman"/>
                      <w:kern w:val="2"/>
                      <w:sz w:val="21"/>
                      <w:szCs w:val="21"/>
                      <w:lang w:val="en-US" w:eastAsia="zh-CN" w:bidi="ar-SA"/>
                    </w:rPr>
                  </w:pPr>
                  <w:r>
                    <w:rPr>
                      <w:rFonts w:hint="eastAsia"/>
                      <w:b/>
                      <w:bCs/>
                      <w:color w:val="auto"/>
                      <w:sz w:val="21"/>
                      <w:szCs w:val="21"/>
                      <w:lang w:val="en-US" w:eastAsia="zh-CN"/>
                    </w:rPr>
                    <w:t>其他</w:t>
                  </w:r>
                </w:p>
              </w:tc>
            </w:tr>
          </w:tbl>
          <w:p w14:paraId="040E9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（2）建设项目排污许可申请与填发信息表</w:t>
            </w:r>
          </w:p>
          <w:p w14:paraId="61E76A3E">
            <w:pPr>
              <w:adjustRightInd w:val="0"/>
              <w:snapToGrid w:val="0"/>
              <w:spacing w:line="360" w:lineRule="auto"/>
              <w:ind w:firstLine="480" w:firstLineChars="200"/>
              <w:rPr>
                <w:color w:val="auto"/>
                <w:sz w:val="24"/>
                <w:szCs w:val="24"/>
              </w:rPr>
            </w:pPr>
            <w:r>
              <w:rPr>
                <w:rFonts w:hint="eastAsia"/>
                <w:sz w:val="24"/>
                <w:szCs w:val="24"/>
                <w:lang w:val="en-US" w:eastAsia="zh-CN"/>
              </w:rPr>
              <w:t>本项目属于排污许可登记管理，在环评文件中无需明确</w:t>
            </w:r>
            <w:r>
              <w:rPr>
                <w:rFonts w:hint="default"/>
                <w:b w:val="0"/>
                <w:bCs w:val="0"/>
                <w:sz w:val="24"/>
                <w:szCs w:val="24"/>
                <w:lang w:eastAsia="zh-CN"/>
              </w:rPr>
              <w:t>“建设项目环境影响评价与排污许</w:t>
            </w:r>
            <w:r>
              <w:rPr>
                <w:rFonts w:hint="default"/>
                <w:b w:val="0"/>
                <w:bCs w:val="0"/>
                <w:color w:val="auto"/>
                <w:sz w:val="24"/>
                <w:szCs w:val="24"/>
                <w:lang w:eastAsia="zh-CN"/>
              </w:rPr>
              <w:t>可联动内容”和</w:t>
            </w:r>
            <w:r>
              <w:rPr>
                <w:rFonts w:hint="default"/>
                <w:b w:val="0"/>
                <w:bCs w:val="0"/>
                <w:color w:val="auto"/>
                <w:sz w:val="24"/>
                <w:szCs w:val="24"/>
              </w:rPr>
              <w:t>《</w:t>
            </w:r>
            <w:r>
              <w:rPr>
                <w:rFonts w:hint="default"/>
                <w:b w:val="0"/>
                <w:bCs w:val="0"/>
                <w:color w:val="auto"/>
                <w:sz w:val="24"/>
                <w:szCs w:val="24"/>
                <w:lang w:eastAsia="zh-CN"/>
              </w:rPr>
              <w:t>建设项目排污许可申请与填发信息表</w:t>
            </w:r>
            <w:r>
              <w:rPr>
                <w:rFonts w:hint="default"/>
                <w:b w:val="0"/>
                <w:bCs w:val="0"/>
                <w:color w:val="auto"/>
                <w:sz w:val="24"/>
                <w:szCs w:val="24"/>
              </w:rPr>
              <w:t>》</w:t>
            </w:r>
            <w:r>
              <w:rPr>
                <w:rFonts w:hint="eastAsia"/>
                <w:b w:val="0"/>
                <w:bCs w:val="0"/>
                <w:color w:val="auto"/>
                <w:sz w:val="24"/>
                <w:szCs w:val="24"/>
                <w:lang w:eastAsia="zh-CN"/>
              </w:rPr>
              <w:t>。</w:t>
            </w:r>
          </w:p>
          <w:p w14:paraId="783F3710">
            <w:pPr>
              <w:adjustRightInd w:val="0"/>
              <w:snapToGrid w:val="0"/>
              <w:spacing w:line="240" w:lineRule="auto"/>
              <w:rPr>
                <w:rFonts w:hint="default"/>
                <w:b w:val="0"/>
                <w:bCs w:val="0"/>
                <w:color w:val="auto"/>
                <w:sz w:val="24"/>
                <w:szCs w:val="24"/>
                <w:lang w:eastAsia="zh-CN"/>
              </w:rPr>
            </w:pPr>
            <w:r>
              <w:rPr>
                <w:rFonts w:hint="eastAsia"/>
                <w:b/>
                <w:bCs/>
                <w:color w:val="auto"/>
                <w:sz w:val="24"/>
                <w:szCs w:val="24"/>
                <w:lang w:val="en-US" w:eastAsia="zh-CN"/>
              </w:rPr>
              <w:t>8、</w:t>
            </w:r>
            <w:r>
              <w:rPr>
                <w:rFonts w:hint="eastAsia"/>
                <w:b/>
                <w:bCs/>
                <w:color w:val="auto"/>
                <w:sz w:val="24"/>
                <w:szCs w:val="24"/>
                <w:lang w:eastAsia="zh-CN"/>
              </w:rPr>
              <w:t>环保投资</w:t>
            </w:r>
          </w:p>
          <w:p w14:paraId="2B1A365D">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eastAsia="zh-CN"/>
              </w:rPr>
              <w:t>本项目总投资</w:t>
            </w:r>
            <w:r>
              <w:rPr>
                <w:rFonts w:hint="eastAsia"/>
                <w:b w:val="0"/>
                <w:bCs w:val="0"/>
                <w:color w:val="auto"/>
                <w:sz w:val="24"/>
                <w:szCs w:val="24"/>
                <w:lang w:val="en-US" w:eastAsia="zh-CN"/>
              </w:rPr>
              <w:t>25000万元，预计环保投资125万元，占总投资的0.5%。</w:t>
            </w:r>
          </w:p>
          <w:p w14:paraId="220322A8">
            <w:pPr>
              <w:pStyle w:val="7"/>
              <w:adjustRightInd w:val="0"/>
              <w:snapToGrid w:val="0"/>
              <w:spacing w:line="240" w:lineRule="auto"/>
              <w:ind w:firstLine="480"/>
              <w:jc w:val="center"/>
              <w:rPr>
                <w:rFonts w:hint="eastAsia"/>
                <w:b/>
                <w:bCs/>
                <w:color w:val="auto"/>
                <w:sz w:val="21"/>
                <w:szCs w:val="21"/>
                <w:lang w:val="en-US" w:eastAsia="zh-CN"/>
              </w:rPr>
            </w:pPr>
            <w:r>
              <w:rPr>
                <w:b/>
                <w:bCs/>
                <w:color w:val="auto"/>
                <w:sz w:val="21"/>
                <w:szCs w:val="21"/>
              </w:rPr>
              <w:t>表</w:t>
            </w:r>
            <w:r>
              <w:rPr>
                <w:rFonts w:hint="eastAsia"/>
                <w:b/>
                <w:bCs/>
                <w:color w:val="auto"/>
                <w:sz w:val="21"/>
                <w:szCs w:val="21"/>
              </w:rPr>
              <w:t>4</w:t>
            </w:r>
            <w:r>
              <w:rPr>
                <w:b/>
                <w:bCs/>
                <w:color w:val="auto"/>
                <w:sz w:val="21"/>
                <w:szCs w:val="21"/>
              </w:rPr>
              <w:t>-</w:t>
            </w:r>
            <w:r>
              <w:rPr>
                <w:rFonts w:hint="eastAsia"/>
                <w:b/>
                <w:bCs/>
                <w:color w:val="auto"/>
                <w:sz w:val="21"/>
                <w:szCs w:val="21"/>
                <w:lang w:val="en-US" w:eastAsia="zh-CN"/>
              </w:rPr>
              <w:t>20 环保投资一览表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10"/>
              <w:gridCol w:w="2009"/>
              <w:gridCol w:w="3496"/>
              <w:gridCol w:w="1065"/>
            </w:tblGrid>
            <w:tr w14:paraId="3498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noWrap w:val="0"/>
                  <w:vAlign w:val="center"/>
                </w:tcPr>
                <w:p w14:paraId="0E541F5D">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污染源</w:t>
                  </w:r>
                </w:p>
              </w:tc>
              <w:tc>
                <w:tcPr>
                  <w:tcW w:w="800" w:type="pct"/>
                  <w:noWrap w:val="0"/>
                  <w:vAlign w:val="center"/>
                </w:tcPr>
                <w:p w14:paraId="703AC2EE">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项目</w:t>
                  </w:r>
                </w:p>
              </w:tc>
              <w:tc>
                <w:tcPr>
                  <w:tcW w:w="1140" w:type="pct"/>
                  <w:noWrap w:val="0"/>
                  <w:vAlign w:val="center"/>
                </w:tcPr>
                <w:p w14:paraId="75DE6151">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主要措施说明</w:t>
                  </w:r>
                </w:p>
              </w:tc>
              <w:tc>
                <w:tcPr>
                  <w:tcW w:w="1984" w:type="pct"/>
                  <w:noWrap w:val="0"/>
                  <w:vAlign w:val="center"/>
                </w:tcPr>
                <w:p w14:paraId="7ED95B00">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预期效果</w:t>
                  </w:r>
                </w:p>
              </w:tc>
              <w:tc>
                <w:tcPr>
                  <w:tcW w:w="604" w:type="pct"/>
                  <w:noWrap w:val="0"/>
                  <w:vAlign w:val="center"/>
                </w:tcPr>
                <w:p w14:paraId="65F6AC53">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环保投资</w:t>
                  </w:r>
                </w:p>
                <w:p w14:paraId="02391CAB">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（万元）</w:t>
                  </w:r>
                </w:p>
              </w:tc>
            </w:tr>
            <w:tr w14:paraId="7441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vMerge w:val="restart"/>
                  <w:noWrap w:val="0"/>
                  <w:vAlign w:val="center"/>
                </w:tcPr>
                <w:p w14:paraId="14C6A3D9">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废气</w:t>
                  </w:r>
                </w:p>
              </w:tc>
              <w:tc>
                <w:tcPr>
                  <w:tcW w:w="800" w:type="pct"/>
                  <w:noWrap w:val="0"/>
                  <w:vAlign w:val="center"/>
                </w:tcPr>
                <w:p w14:paraId="14F7C3ED">
                  <w:pPr>
                    <w:adjustRightInd w:val="0"/>
                    <w:spacing w:line="240" w:lineRule="auto"/>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kern w:val="0"/>
                      <w:sz w:val="21"/>
                      <w:szCs w:val="21"/>
                      <w:lang w:val="en-US" w:eastAsia="zh-CN"/>
                    </w:rPr>
                    <w:t>盐酸储罐呼吸废气、配酸废气、酸洗</w:t>
                  </w:r>
                  <w:r>
                    <w:rPr>
                      <w:rFonts w:hint="eastAsia" w:cs="Times New Roman"/>
                      <w:b w:val="0"/>
                      <w:bCs w:val="0"/>
                      <w:color w:val="auto"/>
                      <w:kern w:val="0"/>
                      <w:sz w:val="21"/>
                      <w:szCs w:val="21"/>
                      <w:lang w:val="en-US" w:eastAsia="zh-CN"/>
                    </w:rPr>
                    <w:t>、干燥废气</w:t>
                  </w:r>
                </w:p>
              </w:tc>
              <w:tc>
                <w:tcPr>
                  <w:tcW w:w="1140" w:type="pct"/>
                  <w:noWrap w:val="0"/>
                  <w:vAlign w:val="center"/>
                </w:tcPr>
                <w:p w14:paraId="7B4AAC35">
                  <w:pPr>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kern w:val="0"/>
                      <w:sz w:val="21"/>
                      <w:szCs w:val="21"/>
                      <w:lang w:val="en-US" w:eastAsia="zh-CN"/>
                    </w:rPr>
                    <w:t>2套</w:t>
                  </w:r>
                  <w:r>
                    <w:rPr>
                      <w:rFonts w:hint="default" w:ascii="Times New Roman" w:hAnsi="Times New Roman" w:eastAsia="宋体" w:cs="Times New Roman"/>
                      <w:color w:val="auto"/>
                      <w:kern w:val="0"/>
                      <w:sz w:val="21"/>
                      <w:szCs w:val="21"/>
                      <w:lang w:val="en-US" w:eastAsia="zh-CN"/>
                    </w:rPr>
                    <w:t>二级碱喷淋+1根20m高排气筒</w:t>
                  </w:r>
                </w:p>
              </w:tc>
              <w:tc>
                <w:tcPr>
                  <w:tcW w:w="1984" w:type="pct"/>
                  <w:noWrap w:val="0"/>
                  <w:vAlign w:val="center"/>
                </w:tcPr>
                <w:p w14:paraId="1955E886">
                  <w:pPr>
                    <w:pStyle w:val="48"/>
                    <w:adjustRightInd w:val="0"/>
                    <w:snapToGrid w:val="0"/>
                    <w:spacing w:after="0"/>
                    <w:ind w:firstLine="0" w:firstLineChars="0"/>
                    <w:jc w:val="center"/>
                    <w:rPr>
                      <w:rFonts w:hint="eastAsia" w:ascii="Times New Roman" w:hAnsi="Times New Roman" w:eastAsia="宋体" w:cs="Times New Roman"/>
                      <w:b w:val="0"/>
                      <w:bCs w:val="0"/>
                      <w:color w:val="auto"/>
                      <w:sz w:val="21"/>
                      <w:szCs w:val="21"/>
                      <w:lang w:eastAsia="zh-CN"/>
                    </w:rPr>
                  </w:pPr>
                  <w:r>
                    <w:rPr>
                      <w:rFonts w:hint="eastAsia"/>
                      <w:sz w:val="21"/>
                      <w:szCs w:val="21"/>
                      <w:lang w:eastAsia="zh-CN"/>
                    </w:rPr>
                    <w:t>符合</w:t>
                  </w:r>
                  <w:r>
                    <w:rPr>
                      <w:sz w:val="21"/>
                      <w:szCs w:val="21"/>
                    </w:rPr>
                    <w:t>《大气污染物综合排放标准》（</w:t>
                  </w:r>
                  <w:r>
                    <w:rPr>
                      <w:rFonts w:hint="eastAsia"/>
                      <w:sz w:val="21"/>
                      <w:szCs w:val="21"/>
                    </w:rPr>
                    <w:t>GB</w:t>
                  </w:r>
                  <w:r>
                    <w:rPr>
                      <w:sz w:val="21"/>
                      <w:szCs w:val="21"/>
                    </w:rPr>
                    <w:t>16297-1996）</w:t>
                  </w:r>
                  <w:r>
                    <w:rPr>
                      <w:rFonts w:hint="eastAsia"/>
                      <w:sz w:val="21"/>
                      <w:szCs w:val="21"/>
                      <w:lang w:eastAsia="zh-CN"/>
                    </w:rPr>
                    <w:t>排放限制要求</w:t>
                  </w:r>
                </w:p>
              </w:tc>
              <w:tc>
                <w:tcPr>
                  <w:tcW w:w="604" w:type="pct"/>
                  <w:noWrap w:val="0"/>
                  <w:vAlign w:val="center"/>
                </w:tcPr>
                <w:p w14:paraId="519FCF9E">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25</w:t>
                  </w:r>
                </w:p>
              </w:tc>
            </w:tr>
            <w:tr w14:paraId="43A5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vMerge w:val="continue"/>
                  <w:noWrap w:val="0"/>
                  <w:vAlign w:val="center"/>
                </w:tcPr>
                <w:p w14:paraId="102F226B">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val="en-US" w:eastAsia="zh-CN"/>
                    </w:rPr>
                  </w:pPr>
                </w:p>
              </w:tc>
              <w:tc>
                <w:tcPr>
                  <w:tcW w:w="800" w:type="pct"/>
                  <w:noWrap w:val="0"/>
                  <w:vAlign w:val="center"/>
                </w:tcPr>
                <w:p w14:paraId="3DDB8782">
                  <w:pPr>
                    <w:adjustRightInd w:val="0"/>
                    <w:spacing w:line="240" w:lineRule="auto"/>
                    <w:jc w:val="center"/>
                    <w:rPr>
                      <w:rFonts w:hint="eastAsia" w:cs="Times New Roman"/>
                      <w:b w:val="0"/>
                      <w:bCs w:val="0"/>
                      <w:color w:val="auto"/>
                      <w:kern w:val="0"/>
                      <w:sz w:val="21"/>
                      <w:szCs w:val="21"/>
                      <w:lang w:val="en-US" w:eastAsia="zh-CN"/>
                    </w:rPr>
                  </w:pPr>
                  <w:r>
                    <w:rPr>
                      <w:rFonts w:hint="default" w:ascii="Times New Roman" w:hAnsi="Times New Roman" w:eastAsia="宋体" w:cs="Times New Roman"/>
                      <w:color w:val="auto"/>
                      <w:kern w:val="0"/>
                      <w:sz w:val="21"/>
                      <w:szCs w:val="21"/>
                      <w:lang w:eastAsia="zh-CN"/>
                    </w:rPr>
                    <w:t>粉碎粉尘</w:t>
                  </w:r>
                </w:p>
              </w:tc>
              <w:tc>
                <w:tcPr>
                  <w:tcW w:w="1140" w:type="pct"/>
                  <w:noWrap w:val="0"/>
                  <w:vAlign w:val="center"/>
                </w:tcPr>
                <w:p w14:paraId="4E3BAA14">
                  <w:pPr>
                    <w:snapToGrid w:val="0"/>
                    <w:jc w:val="center"/>
                    <w:rPr>
                      <w:rFonts w:hint="eastAsia"/>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2套</w:t>
                  </w: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+1根20m高排气筒</w:t>
                  </w:r>
                </w:p>
              </w:tc>
              <w:tc>
                <w:tcPr>
                  <w:tcW w:w="1984" w:type="pct"/>
                  <w:noWrap w:val="0"/>
                  <w:vAlign w:val="center"/>
                </w:tcPr>
                <w:p w14:paraId="44B36BBE">
                  <w:pPr>
                    <w:adjustRightInd w:val="0"/>
                    <w:snapToGrid w:val="0"/>
                    <w:spacing w:after="0"/>
                    <w:ind w:firstLine="0" w:firstLineChars="0"/>
                    <w:jc w:val="center"/>
                    <w:rPr>
                      <w:rFonts w:hint="eastAsia"/>
                      <w:sz w:val="21"/>
                      <w:szCs w:val="21"/>
                      <w:lang w:eastAsia="zh-CN"/>
                    </w:rPr>
                  </w:pPr>
                  <w:r>
                    <w:rPr>
                      <w:rFonts w:hint="eastAsia"/>
                      <w:sz w:val="21"/>
                      <w:szCs w:val="21"/>
                      <w:lang w:eastAsia="zh-CN"/>
                    </w:rPr>
                    <w:t>符合</w:t>
                  </w:r>
                  <w:r>
                    <w:rPr>
                      <w:sz w:val="21"/>
                      <w:szCs w:val="21"/>
                    </w:rPr>
                    <w:t>《大气污染物综合排放标准》（</w:t>
                  </w:r>
                  <w:r>
                    <w:rPr>
                      <w:rFonts w:hint="eastAsia"/>
                      <w:sz w:val="21"/>
                      <w:szCs w:val="21"/>
                    </w:rPr>
                    <w:t>GB</w:t>
                  </w:r>
                  <w:r>
                    <w:rPr>
                      <w:sz w:val="21"/>
                      <w:szCs w:val="21"/>
                    </w:rPr>
                    <w:t>16297-1996）</w:t>
                  </w:r>
                  <w:r>
                    <w:rPr>
                      <w:rFonts w:hint="eastAsia"/>
                      <w:sz w:val="21"/>
                      <w:szCs w:val="21"/>
                      <w:lang w:eastAsia="zh-CN"/>
                    </w:rPr>
                    <w:t>排放限制要求</w:t>
                  </w:r>
                </w:p>
              </w:tc>
              <w:tc>
                <w:tcPr>
                  <w:tcW w:w="604" w:type="pct"/>
                  <w:noWrap w:val="0"/>
                  <w:vAlign w:val="center"/>
                </w:tcPr>
                <w:p w14:paraId="5B583FCC">
                  <w:pPr>
                    <w:pStyle w:val="55"/>
                    <w:keepNext w:val="0"/>
                    <w:keepLines w:val="0"/>
                    <w:pageBreakBefore w:val="0"/>
                    <w:kinsoku/>
                    <w:wordWrap/>
                    <w:overflowPunct/>
                    <w:topLinePunct w:val="0"/>
                    <w:autoSpaceDE/>
                    <w:autoSpaceDN/>
                    <w:bidi w:val="0"/>
                    <w:spacing w:line="240" w:lineRule="auto"/>
                    <w:ind w:left="-105" w:leftChars="-50" w:right="-105" w:rightChars="-50"/>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r>
            <w:tr w14:paraId="3562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vMerge w:val="continue"/>
                  <w:noWrap w:val="0"/>
                  <w:vAlign w:val="center"/>
                </w:tcPr>
                <w:p w14:paraId="55FED965">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val="en-US" w:eastAsia="zh-CN"/>
                    </w:rPr>
                  </w:pPr>
                </w:p>
              </w:tc>
              <w:tc>
                <w:tcPr>
                  <w:tcW w:w="800" w:type="pct"/>
                  <w:noWrap w:val="0"/>
                  <w:vAlign w:val="center"/>
                </w:tcPr>
                <w:p w14:paraId="3C625306">
                  <w:pPr>
                    <w:pStyle w:val="14"/>
                    <w:jc w:val="center"/>
                    <w:rPr>
                      <w:rFonts w:hint="eastAsia"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车间</w:t>
                  </w:r>
                </w:p>
              </w:tc>
              <w:tc>
                <w:tcPr>
                  <w:tcW w:w="1140" w:type="pct"/>
                  <w:noWrap w:val="0"/>
                  <w:vAlign w:val="center"/>
                </w:tcPr>
                <w:p w14:paraId="58B30808">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封闭厂房生产、滤芯除尘</w:t>
                  </w:r>
                </w:p>
              </w:tc>
              <w:tc>
                <w:tcPr>
                  <w:tcW w:w="1984" w:type="pct"/>
                  <w:noWrap w:val="0"/>
                  <w:vAlign w:val="center"/>
                </w:tcPr>
                <w:p w14:paraId="3C546A94">
                  <w:pPr>
                    <w:pStyle w:val="48"/>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sz w:val="21"/>
                      <w:szCs w:val="21"/>
                      <w:lang w:eastAsia="zh-CN"/>
                    </w:rPr>
                    <w:t>符合</w:t>
                  </w:r>
                  <w:r>
                    <w:rPr>
                      <w:sz w:val="21"/>
                      <w:szCs w:val="21"/>
                    </w:rPr>
                    <w:t>《大气污染物综合排放标准》（</w:t>
                  </w:r>
                  <w:r>
                    <w:rPr>
                      <w:rFonts w:hint="eastAsia"/>
                      <w:sz w:val="21"/>
                      <w:szCs w:val="21"/>
                    </w:rPr>
                    <w:t>GB</w:t>
                  </w:r>
                  <w:r>
                    <w:rPr>
                      <w:sz w:val="21"/>
                      <w:szCs w:val="21"/>
                    </w:rPr>
                    <w:t>16297-1996）</w:t>
                  </w:r>
                  <w:r>
                    <w:rPr>
                      <w:rFonts w:hint="eastAsia"/>
                      <w:sz w:val="21"/>
                      <w:szCs w:val="21"/>
                      <w:lang w:eastAsia="zh-CN"/>
                    </w:rPr>
                    <w:t>排放限制要求</w:t>
                  </w:r>
                </w:p>
              </w:tc>
              <w:tc>
                <w:tcPr>
                  <w:tcW w:w="604" w:type="pct"/>
                  <w:noWrap w:val="0"/>
                  <w:vAlign w:val="center"/>
                </w:tcPr>
                <w:p w14:paraId="3FA8DEF5">
                  <w:pPr>
                    <w:pStyle w:val="55"/>
                    <w:keepNext w:val="0"/>
                    <w:keepLines w:val="0"/>
                    <w:pageBreakBefore w:val="0"/>
                    <w:kinsoku/>
                    <w:wordWrap/>
                    <w:overflowPunct/>
                    <w:topLinePunct w:val="0"/>
                    <w:autoSpaceDE/>
                    <w:autoSpaceDN/>
                    <w:bidi w:val="0"/>
                    <w:spacing w:line="240" w:lineRule="auto"/>
                    <w:ind w:left="-105" w:leftChars="-50" w:right="-105" w:rightChars="-50"/>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r>
            <w:tr w14:paraId="4F25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vMerge w:val="restart"/>
                  <w:noWrap w:val="0"/>
                  <w:vAlign w:val="center"/>
                </w:tcPr>
                <w:p w14:paraId="5692158D">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废水</w:t>
                  </w:r>
                </w:p>
              </w:tc>
              <w:tc>
                <w:tcPr>
                  <w:tcW w:w="800" w:type="pct"/>
                  <w:noWrap w:val="0"/>
                  <w:vAlign w:val="center"/>
                </w:tcPr>
                <w:p w14:paraId="26C82F20">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spacing w:val="0"/>
                      <w:kern w:val="2"/>
                      <w:position w:val="0"/>
                      <w:sz w:val="21"/>
                      <w:szCs w:val="21"/>
                      <w:lang w:val="en-US" w:eastAsia="zh-CN"/>
                    </w:rPr>
                    <w:t>生活污水</w:t>
                  </w:r>
                </w:p>
              </w:tc>
              <w:tc>
                <w:tcPr>
                  <w:tcW w:w="1140" w:type="pct"/>
                  <w:noWrap w:val="0"/>
                  <w:vAlign w:val="center"/>
                </w:tcPr>
                <w:p w14:paraId="1D4567FA">
                  <w:pPr>
                    <w:jc w:val="center"/>
                    <w:rPr>
                      <w:rFonts w:hint="default" w:ascii="Times New Roman" w:hAnsi="Times New Roman" w:eastAsia="宋体" w:cs="Times New Roman"/>
                      <w:b w:val="0"/>
                      <w:bCs w:val="0"/>
                      <w:color w:val="auto"/>
                      <w:sz w:val="21"/>
                      <w:szCs w:val="21"/>
                      <w:lang w:val="en-US" w:eastAsia="zh-CN"/>
                    </w:rPr>
                  </w:pPr>
                  <w:r>
                    <w:rPr>
                      <w:rFonts w:hint="eastAsia"/>
                      <w:color w:val="auto"/>
                      <w:szCs w:val="21"/>
                      <w:lang w:eastAsia="zh-CN"/>
                    </w:rPr>
                    <w:t>隔油池、</w:t>
                  </w:r>
                  <w:r>
                    <w:rPr>
                      <w:rFonts w:hint="eastAsia"/>
                      <w:color w:val="auto"/>
                      <w:szCs w:val="21"/>
                    </w:rPr>
                    <w:t>化粪池</w:t>
                  </w:r>
                </w:p>
              </w:tc>
              <w:tc>
                <w:tcPr>
                  <w:tcW w:w="1984" w:type="pct"/>
                  <w:vMerge w:val="restart"/>
                  <w:noWrap w:val="0"/>
                  <w:vAlign w:val="center"/>
                </w:tcPr>
                <w:p w14:paraId="75A3E3CC">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ascii="Times New Roman" w:hAnsi="Times New Roman" w:eastAsia="宋体" w:cs="Times New Roman"/>
                      <w:sz w:val="21"/>
                      <w:szCs w:val="21"/>
                      <w:lang w:eastAsia="zh-CN"/>
                    </w:rPr>
                  </w:pPr>
                  <w:r>
                    <w:rPr>
                      <w:rFonts w:hint="default" w:ascii="Times New Roman" w:hAnsi="Times New Roman" w:eastAsia="宋体" w:cs="Times New Roman"/>
                      <w:snapToGrid w:val="0"/>
                      <w:color w:val="auto"/>
                      <w:kern w:val="0"/>
                      <w:sz w:val="21"/>
                      <w:szCs w:val="21"/>
                    </w:rPr>
                    <w:t>《</w:t>
                  </w:r>
                  <w:r>
                    <w:rPr>
                      <w:rFonts w:hint="eastAsia" w:cs="Times New Roman"/>
                      <w:color w:val="auto"/>
                      <w:sz w:val="21"/>
                      <w:szCs w:val="21"/>
                      <w:lang w:eastAsia="zh-CN"/>
                    </w:rPr>
                    <w:t>电子工业水污染物</w:t>
                  </w:r>
                  <w:r>
                    <w:rPr>
                      <w:rFonts w:ascii="Times New Roman" w:hAnsi="Times New Roman" w:eastAsia="宋体" w:cs="Times New Roman"/>
                      <w:color w:val="auto"/>
                      <w:sz w:val="21"/>
                      <w:szCs w:val="21"/>
                    </w:rPr>
                    <w:t>排放标准》（GB</w:t>
                  </w:r>
                  <w:r>
                    <w:rPr>
                      <w:rFonts w:hint="eastAsia" w:cs="Times New Roman"/>
                      <w:color w:val="auto"/>
                      <w:sz w:val="21"/>
                      <w:szCs w:val="21"/>
                      <w:lang w:val="en-US" w:eastAsia="zh-CN"/>
                    </w:rPr>
                    <w:t>39731</w:t>
                  </w:r>
                  <w:r>
                    <w:rPr>
                      <w:rFonts w:ascii="Times New Roman" w:hAnsi="Times New Roman" w:eastAsia="宋体" w:cs="Times New Roman"/>
                      <w:color w:val="auto"/>
                      <w:sz w:val="21"/>
                      <w:szCs w:val="21"/>
                    </w:rPr>
                    <w:t>-</w:t>
                  </w:r>
                  <w:r>
                    <w:rPr>
                      <w:rFonts w:hint="eastAsia" w:cs="Times New Roman"/>
                      <w:color w:val="auto"/>
                      <w:sz w:val="21"/>
                      <w:szCs w:val="21"/>
                      <w:lang w:val="en-US" w:eastAsia="zh-CN"/>
                    </w:rPr>
                    <w:t>2020</w:t>
                  </w:r>
                  <w:r>
                    <w:rPr>
                      <w:rFonts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rPr>
                    <w:t>以及</w:t>
                  </w:r>
                  <w:r>
                    <w:rPr>
                      <w:rFonts w:hint="eastAsia" w:cs="Times New Roman"/>
                      <w:snapToGrid w:val="0"/>
                      <w:color w:val="auto"/>
                      <w:kern w:val="0"/>
                      <w:sz w:val="21"/>
                      <w:szCs w:val="21"/>
                      <w:lang w:eastAsia="zh-CN"/>
                    </w:rPr>
                    <w:t>固镇经济开发区</w:t>
                  </w:r>
                  <w:r>
                    <w:rPr>
                      <w:rFonts w:hint="default" w:ascii="Times New Roman" w:hAnsi="Times New Roman" w:eastAsia="宋体" w:cs="Times New Roman"/>
                      <w:snapToGrid w:val="0"/>
                      <w:color w:val="auto"/>
                      <w:kern w:val="0"/>
                      <w:sz w:val="21"/>
                      <w:szCs w:val="21"/>
                    </w:rPr>
                    <w:t>污水处理厂</w:t>
                  </w:r>
                  <w:r>
                    <w:rPr>
                      <w:rFonts w:hint="default" w:ascii="Times New Roman" w:hAnsi="Times New Roman" w:eastAsia="宋体" w:cs="Times New Roman"/>
                      <w:color w:val="auto"/>
                      <w:sz w:val="21"/>
                      <w:szCs w:val="21"/>
                      <w:highlight w:val="none"/>
                      <w:lang w:eastAsia="zh-CN"/>
                    </w:rPr>
                    <w:t>接管标准</w:t>
                  </w:r>
                </w:p>
              </w:tc>
              <w:tc>
                <w:tcPr>
                  <w:tcW w:w="604" w:type="pct"/>
                  <w:vMerge w:val="restart"/>
                  <w:noWrap w:val="0"/>
                  <w:vAlign w:val="center"/>
                </w:tcPr>
                <w:p w14:paraId="43405631">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w:t>
                  </w:r>
                </w:p>
              </w:tc>
            </w:tr>
            <w:tr w14:paraId="65B8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trPr>
              <w:tc>
                <w:tcPr>
                  <w:tcW w:w="469" w:type="pct"/>
                  <w:vMerge w:val="continue"/>
                  <w:noWrap w:val="0"/>
                  <w:vAlign w:val="center"/>
                </w:tcPr>
                <w:p w14:paraId="4CE90471">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val="en-US" w:eastAsia="zh-CN"/>
                    </w:rPr>
                  </w:pPr>
                </w:p>
              </w:tc>
              <w:tc>
                <w:tcPr>
                  <w:tcW w:w="800" w:type="pct"/>
                  <w:noWrap w:val="0"/>
                  <w:vAlign w:val="center"/>
                </w:tcPr>
                <w:p w14:paraId="36B0E7FD">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eastAsia="宋体" w:cs="Times New Roman"/>
                      <w:b w:val="0"/>
                      <w:bCs w:val="0"/>
                      <w:color w:val="auto"/>
                      <w:sz w:val="21"/>
                      <w:szCs w:val="21"/>
                      <w:lang w:eastAsia="zh-CN"/>
                    </w:rPr>
                  </w:pPr>
                  <w:r>
                    <w:rPr>
                      <w:rFonts w:hint="eastAsia" w:ascii="Times New Roman" w:cs="Times New Roman"/>
                      <w:b w:val="0"/>
                      <w:bCs w:val="0"/>
                      <w:color w:val="auto"/>
                      <w:spacing w:val="0"/>
                      <w:kern w:val="2"/>
                      <w:position w:val="0"/>
                      <w:sz w:val="21"/>
                      <w:szCs w:val="21"/>
                      <w:lang w:val="en-US" w:eastAsia="zh-CN"/>
                    </w:rPr>
                    <w:t>纯水制备浓水、反冲洗废水、</w:t>
                  </w:r>
                  <w:r>
                    <w:rPr>
                      <w:rFonts w:hint="eastAsia" w:ascii="Times New Roman" w:cs="Times New Roman"/>
                      <w:b w:val="0"/>
                      <w:bCs/>
                      <w:color w:val="auto"/>
                      <w:spacing w:val="0"/>
                      <w:kern w:val="2"/>
                      <w:position w:val="0"/>
                      <w:sz w:val="21"/>
                      <w:szCs w:val="21"/>
                      <w:lang w:val="en-US" w:eastAsia="zh-CN"/>
                    </w:rPr>
                    <w:t>循环冷却排水</w:t>
                  </w:r>
                </w:p>
              </w:tc>
              <w:tc>
                <w:tcPr>
                  <w:tcW w:w="1140" w:type="pct"/>
                  <w:noWrap w:val="0"/>
                  <w:vAlign w:val="center"/>
                </w:tcPr>
                <w:p w14:paraId="3CF359E0">
                  <w:pPr>
                    <w:jc w:val="center"/>
                    <w:rPr>
                      <w:rFonts w:hint="eastAsia" w:cs="Times New Roman"/>
                      <w:b w:val="0"/>
                      <w:bCs w:val="0"/>
                      <w:color w:val="auto"/>
                      <w:sz w:val="21"/>
                      <w:szCs w:val="21"/>
                      <w:lang w:val="en-US" w:eastAsia="zh-CN"/>
                    </w:rPr>
                  </w:pPr>
                  <w:r>
                    <w:rPr>
                      <w:rFonts w:hint="eastAsia"/>
                      <w:color w:val="auto"/>
                      <w:szCs w:val="21"/>
                      <w:lang w:val="en-US" w:eastAsia="zh-CN"/>
                    </w:rPr>
                    <w:t>/</w:t>
                  </w:r>
                </w:p>
              </w:tc>
              <w:tc>
                <w:tcPr>
                  <w:tcW w:w="1984" w:type="pct"/>
                  <w:vMerge w:val="continue"/>
                  <w:noWrap w:val="0"/>
                  <w:vAlign w:val="center"/>
                </w:tcPr>
                <w:p w14:paraId="560C9244">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ascii="Times New Roman" w:hAnsi="Times New Roman" w:eastAsia="宋体" w:cs="Times New Roman"/>
                      <w:sz w:val="21"/>
                      <w:szCs w:val="21"/>
                      <w:lang w:eastAsia="zh-CN"/>
                    </w:rPr>
                  </w:pPr>
                </w:p>
              </w:tc>
              <w:tc>
                <w:tcPr>
                  <w:tcW w:w="604" w:type="pct"/>
                  <w:vMerge w:val="continue"/>
                  <w:noWrap w:val="0"/>
                  <w:vAlign w:val="center"/>
                </w:tcPr>
                <w:p w14:paraId="47B343F2">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cs="Times New Roman"/>
                      <w:b w:val="0"/>
                      <w:bCs w:val="0"/>
                      <w:color w:val="auto"/>
                      <w:sz w:val="21"/>
                      <w:szCs w:val="21"/>
                      <w:lang w:val="en-US" w:eastAsia="zh-CN"/>
                    </w:rPr>
                  </w:pPr>
                </w:p>
              </w:tc>
            </w:tr>
            <w:tr w14:paraId="4B86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pct"/>
                  <w:vMerge w:val="continue"/>
                  <w:noWrap w:val="0"/>
                  <w:vAlign w:val="center"/>
                </w:tcPr>
                <w:p w14:paraId="05AAF2F9">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val="en-US" w:eastAsia="zh-CN"/>
                    </w:rPr>
                  </w:pPr>
                </w:p>
              </w:tc>
              <w:tc>
                <w:tcPr>
                  <w:tcW w:w="800" w:type="pct"/>
                  <w:noWrap w:val="0"/>
                  <w:vAlign w:val="center"/>
                </w:tcPr>
                <w:p w14:paraId="1CE265FD">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eastAsia="宋体" w:cs="Times New Roman"/>
                      <w:b w:val="0"/>
                      <w:bCs w:val="0"/>
                      <w:color w:val="auto"/>
                      <w:sz w:val="21"/>
                      <w:szCs w:val="21"/>
                      <w:lang w:eastAsia="zh-CN"/>
                    </w:rPr>
                  </w:pPr>
                  <w:r>
                    <w:rPr>
                      <w:rFonts w:hint="eastAsia" w:ascii="Times New Roman" w:cs="Times New Roman"/>
                      <w:b w:val="0"/>
                      <w:bCs w:val="0"/>
                      <w:color w:val="auto"/>
                      <w:spacing w:val="0"/>
                      <w:kern w:val="2"/>
                      <w:position w:val="0"/>
                      <w:sz w:val="21"/>
                      <w:szCs w:val="21"/>
                      <w:lang w:val="en-US" w:eastAsia="zh-CN"/>
                    </w:rPr>
                    <w:t>酸洗废水、</w:t>
                  </w:r>
                  <w:r>
                    <w:rPr>
                      <w:rFonts w:hint="eastAsia" w:ascii="Times New Roman" w:cs="Times New Roman"/>
                      <w:b w:val="0"/>
                      <w:bCs/>
                      <w:color w:val="auto"/>
                      <w:spacing w:val="0"/>
                      <w:kern w:val="2"/>
                      <w:position w:val="0"/>
                      <w:sz w:val="21"/>
                      <w:szCs w:val="21"/>
                      <w:lang w:val="en-US" w:eastAsia="zh-CN"/>
                    </w:rPr>
                    <w:t>喷淋废水</w:t>
                  </w:r>
                </w:p>
              </w:tc>
              <w:tc>
                <w:tcPr>
                  <w:tcW w:w="1140" w:type="pct"/>
                  <w:noWrap w:val="0"/>
                  <w:vAlign w:val="center"/>
                </w:tcPr>
                <w:p w14:paraId="724E406C">
                  <w:pPr>
                    <w:jc w:val="center"/>
                    <w:rPr>
                      <w:rFonts w:hint="eastAsia" w:cs="Times New Roman"/>
                      <w:b w:val="0"/>
                      <w:bCs w:val="0"/>
                      <w:color w:val="auto"/>
                      <w:sz w:val="21"/>
                      <w:szCs w:val="21"/>
                      <w:lang w:val="en-US" w:eastAsia="zh-CN"/>
                    </w:rPr>
                  </w:pPr>
                  <w:r>
                    <w:rPr>
                      <w:rFonts w:hint="eastAsia"/>
                      <w:b w:val="0"/>
                      <w:bCs/>
                      <w:color w:val="auto"/>
                      <w:sz w:val="21"/>
                      <w:szCs w:val="21"/>
                      <w:lang w:eastAsia="zh-CN"/>
                    </w:rPr>
                    <w:t>采用液碱在中和罐进行中和至中性后进入调节池</w:t>
                  </w:r>
                </w:p>
              </w:tc>
              <w:tc>
                <w:tcPr>
                  <w:tcW w:w="1984" w:type="pct"/>
                  <w:vMerge w:val="continue"/>
                  <w:noWrap w:val="0"/>
                  <w:vAlign w:val="center"/>
                </w:tcPr>
                <w:p w14:paraId="07DE6709">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ascii="Times New Roman" w:hAnsi="Times New Roman" w:eastAsia="宋体" w:cs="Times New Roman"/>
                      <w:sz w:val="21"/>
                      <w:szCs w:val="21"/>
                      <w:lang w:eastAsia="zh-CN"/>
                    </w:rPr>
                  </w:pPr>
                </w:p>
              </w:tc>
              <w:tc>
                <w:tcPr>
                  <w:tcW w:w="604" w:type="pct"/>
                  <w:vMerge w:val="continue"/>
                  <w:noWrap w:val="0"/>
                  <w:vAlign w:val="center"/>
                </w:tcPr>
                <w:p w14:paraId="0F828234">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cs="Times New Roman"/>
                      <w:b w:val="0"/>
                      <w:bCs w:val="0"/>
                      <w:color w:val="auto"/>
                      <w:sz w:val="21"/>
                      <w:szCs w:val="21"/>
                      <w:lang w:val="en-US" w:eastAsia="zh-CN"/>
                    </w:rPr>
                  </w:pPr>
                </w:p>
              </w:tc>
            </w:tr>
            <w:tr w14:paraId="537D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vMerge w:val="continue"/>
                  <w:noWrap w:val="0"/>
                  <w:vAlign w:val="center"/>
                </w:tcPr>
                <w:p w14:paraId="358B41D4">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val="en-US" w:eastAsia="zh-CN"/>
                    </w:rPr>
                  </w:pPr>
                </w:p>
              </w:tc>
              <w:tc>
                <w:tcPr>
                  <w:tcW w:w="800" w:type="pct"/>
                  <w:noWrap w:val="0"/>
                  <w:vAlign w:val="center"/>
                </w:tcPr>
                <w:p w14:paraId="0710C40C">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eastAsia="宋体" w:cs="Times New Roman"/>
                      <w:b w:val="0"/>
                      <w:bCs w:val="0"/>
                      <w:color w:val="auto"/>
                      <w:sz w:val="21"/>
                      <w:szCs w:val="21"/>
                      <w:lang w:eastAsia="zh-CN"/>
                    </w:rPr>
                  </w:pPr>
                  <w:r>
                    <w:rPr>
                      <w:rFonts w:hint="eastAsia" w:ascii="Times New Roman" w:cs="Times New Roman"/>
                      <w:b w:val="0"/>
                      <w:bCs/>
                      <w:color w:val="auto"/>
                      <w:spacing w:val="0"/>
                      <w:kern w:val="2"/>
                      <w:position w:val="0"/>
                      <w:sz w:val="21"/>
                      <w:szCs w:val="21"/>
                      <w:lang w:val="en-US" w:eastAsia="zh-CN"/>
                    </w:rPr>
                    <w:t>初期雨水</w:t>
                  </w:r>
                </w:p>
              </w:tc>
              <w:tc>
                <w:tcPr>
                  <w:tcW w:w="1140" w:type="pct"/>
                  <w:noWrap w:val="0"/>
                  <w:vAlign w:val="center"/>
                </w:tcPr>
                <w:p w14:paraId="5BC2F45D">
                  <w:pPr>
                    <w:jc w:val="center"/>
                    <w:rPr>
                      <w:rFonts w:hint="eastAsia" w:cs="Times New Roman"/>
                      <w:b w:val="0"/>
                      <w:bCs w:val="0"/>
                      <w:color w:val="auto"/>
                      <w:sz w:val="21"/>
                      <w:szCs w:val="21"/>
                      <w:lang w:val="en-US" w:eastAsia="zh-CN"/>
                    </w:rPr>
                  </w:pPr>
                  <w:r>
                    <w:rPr>
                      <w:rFonts w:hint="eastAsia"/>
                      <w:color w:val="auto"/>
                      <w:szCs w:val="21"/>
                      <w:lang w:val="en-US" w:eastAsia="zh-CN"/>
                    </w:rPr>
                    <w:t>900m</w:t>
                  </w:r>
                  <w:r>
                    <w:rPr>
                      <w:rFonts w:hint="eastAsia"/>
                      <w:color w:val="auto"/>
                      <w:szCs w:val="21"/>
                      <w:vertAlign w:val="superscript"/>
                      <w:lang w:val="en-US" w:eastAsia="zh-CN"/>
                    </w:rPr>
                    <w:t>3</w:t>
                  </w:r>
                  <w:r>
                    <w:rPr>
                      <w:rFonts w:hint="eastAsia"/>
                      <w:color w:val="auto"/>
                      <w:szCs w:val="21"/>
                      <w:lang w:eastAsia="zh-CN"/>
                    </w:rPr>
                    <w:t>事故应急池</w:t>
                  </w:r>
                </w:p>
              </w:tc>
              <w:tc>
                <w:tcPr>
                  <w:tcW w:w="1984" w:type="pct"/>
                  <w:vMerge w:val="continue"/>
                  <w:noWrap w:val="0"/>
                  <w:vAlign w:val="center"/>
                </w:tcPr>
                <w:p w14:paraId="749E1203">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ascii="Times New Roman" w:hAnsi="Times New Roman" w:eastAsia="宋体" w:cs="Times New Roman"/>
                      <w:sz w:val="21"/>
                      <w:szCs w:val="21"/>
                      <w:lang w:eastAsia="zh-CN"/>
                    </w:rPr>
                  </w:pPr>
                </w:p>
              </w:tc>
              <w:tc>
                <w:tcPr>
                  <w:tcW w:w="604" w:type="pct"/>
                  <w:vMerge w:val="continue"/>
                  <w:noWrap w:val="0"/>
                  <w:vAlign w:val="center"/>
                </w:tcPr>
                <w:p w14:paraId="1205E957">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cs="Times New Roman"/>
                      <w:b w:val="0"/>
                      <w:bCs w:val="0"/>
                      <w:color w:val="auto"/>
                      <w:sz w:val="21"/>
                      <w:szCs w:val="21"/>
                      <w:lang w:val="en-US" w:eastAsia="zh-CN"/>
                    </w:rPr>
                  </w:pPr>
                </w:p>
              </w:tc>
            </w:tr>
            <w:tr w14:paraId="7453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noWrap w:val="0"/>
                  <w:vAlign w:val="center"/>
                </w:tcPr>
                <w:p w14:paraId="5F39E345">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噪声</w:t>
                  </w:r>
                </w:p>
              </w:tc>
              <w:tc>
                <w:tcPr>
                  <w:tcW w:w="800" w:type="pct"/>
                  <w:noWrap w:val="0"/>
                  <w:vAlign w:val="center"/>
                </w:tcPr>
                <w:p w14:paraId="1A935564">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噪声治理</w:t>
                  </w:r>
                </w:p>
              </w:tc>
              <w:tc>
                <w:tcPr>
                  <w:tcW w:w="1140" w:type="pct"/>
                  <w:noWrap w:val="0"/>
                  <w:vAlign w:val="center"/>
                </w:tcPr>
                <w:p w14:paraId="1D4CF9DA">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选用低噪声设备、基础减震等</w:t>
                  </w:r>
                </w:p>
              </w:tc>
              <w:tc>
                <w:tcPr>
                  <w:tcW w:w="1984" w:type="pct"/>
                  <w:noWrap w:val="0"/>
                  <w:vAlign w:val="center"/>
                </w:tcPr>
                <w:p w14:paraId="32A09D6D">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bCs/>
                      <w:sz w:val="21"/>
                      <w:szCs w:val="21"/>
                      <w:lang w:eastAsia="zh-CN"/>
                    </w:rPr>
                    <w:t>符合</w:t>
                  </w:r>
                  <w:r>
                    <w:rPr>
                      <w:bCs/>
                      <w:sz w:val="21"/>
                      <w:szCs w:val="21"/>
                    </w:rPr>
                    <w:t>《工业企业厂界环境噪声排放标准》（GB12348-2008）中3类标准</w:t>
                  </w:r>
                </w:p>
              </w:tc>
              <w:tc>
                <w:tcPr>
                  <w:tcW w:w="604" w:type="pct"/>
                  <w:noWrap w:val="0"/>
                  <w:vAlign w:val="center"/>
                </w:tcPr>
                <w:p w14:paraId="61FCAE6E">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r>
            <w:tr w14:paraId="19C4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9" w:type="pct"/>
                  <w:noWrap w:val="0"/>
                  <w:vAlign w:val="center"/>
                </w:tcPr>
                <w:p w14:paraId="42108B8E">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固废</w:t>
                  </w:r>
                </w:p>
              </w:tc>
              <w:tc>
                <w:tcPr>
                  <w:tcW w:w="800" w:type="pct"/>
                  <w:noWrap w:val="0"/>
                  <w:vAlign w:val="center"/>
                </w:tcPr>
                <w:p w14:paraId="6FE01EE8">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固废治理</w:t>
                  </w:r>
                </w:p>
              </w:tc>
              <w:tc>
                <w:tcPr>
                  <w:tcW w:w="1140" w:type="pct"/>
                  <w:noWrap w:val="0"/>
                  <w:vAlign w:val="center"/>
                </w:tcPr>
                <w:p w14:paraId="64B336B4">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设置垃圾桶、一般固废暂存间、危废暂存间</w:t>
                  </w:r>
                </w:p>
              </w:tc>
              <w:tc>
                <w:tcPr>
                  <w:tcW w:w="1984" w:type="pct"/>
                  <w:noWrap w:val="0"/>
                  <w:vAlign w:val="center"/>
                </w:tcPr>
                <w:p w14:paraId="7C590D14">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kern w:val="0"/>
                      <w:sz w:val="21"/>
                      <w:szCs w:val="21"/>
                      <w:lang w:eastAsia="zh-CN"/>
                    </w:rPr>
                    <w:t>符合</w:t>
                  </w:r>
                  <w:r>
                    <w:rPr>
                      <w:rFonts w:hint="default" w:ascii="Times New Roman" w:hAnsi="Times New Roman" w:cs="Times New Roman"/>
                      <w:kern w:val="0"/>
                      <w:sz w:val="21"/>
                      <w:szCs w:val="21"/>
                    </w:rPr>
                    <w:t>《</w:t>
                  </w:r>
                  <w:r>
                    <w:rPr>
                      <w:rFonts w:hint="default" w:ascii="Times New Roman" w:hAnsi="Times New Roman" w:cs="Times New Roman"/>
                      <w:color w:val="auto"/>
                      <w:sz w:val="21"/>
                      <w:szCs w:val="21"/>
                      <w:lang w:eastAsia="zh-CN"/>
                    </w:rPr>
                    <w:t>安徽省实施〈中华人民共和国固体废物污染环境防治法〉办法</w:t>
                  </w:r>
                  <w:r>
                    <w:rPr>
                      <w:rFonts w:hint="default" w:ascii="Times New Roman" w:hAnsi="Times New Roman" w:cs="Times New Roman"/>
                      <w:kern w:val="0"/>
                      <w:sz w:val="21"/>
                      <w:szCs w:val="21"/>
                    </w:rPr>
                    <w:t>》</w:t>
                  </w:r>
                  <w:r>
                    <w:rPr>
                      <w:rFonts w:hint="eastAsia" w:ascii="Times New Roman" w:hAnsi="Times New Roman" w:cs="Times New Roman"/>
                      <w:kern w:val="0"/>
                      <w:sz w:val="21"/>
                      <w:szCs w:val="21"/>
                      <w:lang w:eastAsia="zh-CN"/>
                    </w:rPr>
                    <w:t>要求</w:t>
                  </w:r>
                  <w:r>
                    <w:rPr>
                      <w:rFonts w:hint="eastAsia" w:ascii="Times New Roman" w:hAnsi="Times New Roman" w:cs="Times New Roman"/>
                      <w:color w:val="auto"/>
                      <w:sz w:val="21"/>
                      <w:szCs w:val="21"/>
                      <w:lang w:eastAsia="zh-CN"/>
                    </w:rPr>
                    <w:t>、</w:t>
                  </w:r>
                  <w:r>
                    <w:rPr>
                      <w:rFonts w:hint="default" w:ascii="Times New Roman" w:hAnsi="Times New Roman" w:cs="Times New Roman"/>
                      <w:kern w:val="0"/>
                      <w:sz w:val="21"/>
                      <w:szCs w:val="21"/>
                    </w:rPr>
                    <w:t>《危险废物贮存污染控制标准》（GB18597-20</w:t>
                  </w:r>
                  <w:r>
                    <w:rPr>
                      <w:rFonts w:hint="eastAsia" w:cs="Times New Roman"/>
                      <w:kern w:val="0"/>
                      <w:sz w:val="21"/>
                      <w:szCs w:val="21"/>
                      <w:lang w:val="en-US" w:eastAsia="zh-CN"/>
                    </w:rPr>
                    <w:t>23</w:t>
                  </w:r>
                  <w:r>
                    <w:rPr>
                      <w:rFonts w:hint="default" w:ascii="Times New Roman" w:hAnsi="Times New Roman" w:cs="Times New Roman"/>
                      <w:kern w:val="0"/>
                      <w:sz w:val="21"/>
                      <w:szCs w:val="21"/>
                    </w:rPr>
                    <w:t>）中相关要求</w:t>
                  </w:r>
                </w:p>
              </w:tc>
              <w:tc>
                <w:tcPr>
                  <w:tcW w:w="604" w:type="pct"/>
                  <w:noWrap w:val="0"/>
                  <w:vAlign w:val="center"/>
                </w:tcPr>
                <w:p w14:paraId="541F35B2">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r>
            <w:tr w14:paraId="5C4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0" w:type="pct"/>
                  <w:gridSpan w:val="2"/>
                  <w:noWrap w:val="0"/>
                  <w:vAlign w:val="center"/>
                </w:tcPr>
                <w:p w14:paraId="036CD7F0">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kern w:val="0"/>
                      <w:sz w:val="21"/>
                      <w:szCs w:val="21"/>
                      <w:lang w:val="en-US" w:eastAsia="zh-CN" w:bidi="ar-SA"/>
                    </w:rPr>
                  </w:pPr>
                  <w:r>
                    <w:rPr>
                      <w:rFonts w:hint="eastAsia" w:eastAsia="宋体" w:cs="Times New Roman"/>
                      <w:b w:val="0"/>
                      <w:bCs w:val="0"/>
                      <w:color w:val="auto"/>
                      <w:sz w:val="21"/>
                      <w:szCs w:val="21"/>
                      <w:lang w:val="en-US" w:eastAsia="zh-CN"/>
                    </w:rPr>
                    <w:t>地下水、土壤</w:t>
                  </w:r>
                </w:p>
                <w:p w14:paraId="7B8D863D">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eastAsia" w:eastAsia="宋体" w:cs="Times New Roman"/>
                      <w:b w:val="0"/>
                      <w:bCs w:val="0"/>
                      <w:color w:val="auto"/>
                      <w:sz w:val="21"/>
                      <w:szCs w:val="21"/>
                      <w:lang w:eastAsia="zh-CN"/>
                    </w:rPr>
                    <w:t>防渗措施</w:t>
                  </w:r>
                </w:p>
              </w:tc>
              <w:tc>
                <w:tcPr>
                  <w:tcW w:w="3125" w:type="pct"/>
                  <w:gridSpan w:val="2"/>
                  <w:noWrap w:val="0"/>
                  <w:vAlign w:val="center"/>
                </w:tcPr>
                <w:p w14:paraId="424CEDA3">
                  <w:pPr>
                    <w:pStyle w:val="14"/>
                    <w:tabs>
                      <w:tab w:val="left" w:pos="0"/>
                    </w:tabs>
                    <w:spacing w:line="240" w:lineRule="auto"/>
                    <w:jc w:val="center"/>
                    <w:rPr>
                      <w:rFonts w:hint="default" w:ascii="Times New Roman" w:hAnsi="Times New Roman" w:eastAsia="宋体" w:cs="Times New Roman"/>
                      <w:b w:val="0"/>
                      <w:bCs w:val="0"/>
                      <w:color w:val="auto"/>
                      <w:sz w:val="21"/>
                      <w:szCs w:val="21"/>
                      <w:lang w:eastAsia="zh-CN"/>
                    </w:rPr>
                  </w:pPr>
                  <w:r>
                    <w:rPr>
                      <w:rFonts w:ascii="Times New Roman" w:hAnsi="Times New Roman"/>
                      <w:color w:val="000000"/>
                      <w:sz w:val="21"/>
                      <w:szCs w:val="21"/>
                    </w:rPr>
                    <w:t>采取分区防</w:t>
                  </w:r>
                  <w:r>
                    <w:rPr>
                      <w:rFonts w:ascii="Times New Roman" w:hAnsi="Times New Roman"/>
                      <w:color w:val="auto"/>
                      <w:sz w:val="21"/>
                      <w:szCs w:val="21"/>
                    </w:rPr>
                    <w:t>渗措施，危废暂存间</w:t>
                  </w:r>
                  <w:r>
                    <w:rPr>
                      <w:rFonts w:hint="eastAsia" w:ascii="Times New Roman" w:hAnsi="Times New Roman"/>
                      <w:color w:val="auto"/>
                      <w:sz w:val="21"/>
                      <w:szCs w:val="21"/>
                      <w:lang w:eastAsia="zh-CN"/>
                    </w:rPr>
                    <w:t>、盐酸储罐区、液碱储罐区、洗滤罐区、二级碱喷淋塔处、污水处理区、事故应急池等</w:t>
                  </w:r>
                  <w:r>
                    <w:rPr>
                      <w:rFonts w:ascii="Times New Roman" w:hAnsi="Times New Roman"/>
                      <w:color w:val="auto"/>
                      <w:sz w:val="21"/>
                      <w:szCs w:val="21"/>
                    </w:rPr>
                    <w:t>做重点防渗，</w:t>
                  </w:r>
                  <w:r>
                    <w:rPr>
                      <w:rFonts w:hint="eastAsia" w:ascii="Times New Roman" w:hAnsi="Times New Roman"/>
                      <w:color w:val="auto"/>
                      <w:sz w:val="21"/>
                      <w:szCs w:val="21"/>
                      <w:lang w:eastAsia="zh-CN"/>
                    </w:rPr>
                    <w:t>生产车间其他区域、隔油池、化粪池等</w:t>
                  </w:r>
                  <w:r>
                    <w:rPr>
                      <w:rFonts w:ascii="Times New Roman" w:hAnsi="Times New Roman"/>
                      <w:color w:val="auto"/>
                      <w:sz w:val="21"/>
                      <w:szCs w:val="21"/>
                    </w:rPr>
                    <w:t>一般防渗</w:t>
                  </w:r>
                  <w:r>
                    <w:rPr>
                      <w:rFonts w:hint="eastAsia" w:ascii="Times New Roman" w:hAnsi="Times New Roman"/>
                      <w:color w:val="auto"/>
                      <w:sz w:val="21"/>
                      <w:szCs w:val="21"/>
                      <w:lang w:eastAsia="zh-CN"/>
                    </w:rPr>
                    <w:t>，厂区内道路区域、办公楼、食堂宿舍等简单防渗</w:t>
                  </w:r>
                  <w:r>
                    <w:rPr>
                      <w:rFonts w:ascii="Times New Roman" w:hAnsi="Times New Roman"/>
                      <w:color w:val="000000"/>
                      <w:sz w:val="21"/>
                      <w:szCs w:val="21"/>
                    </w:rPr>
                    <w:t>。</w:t>
                  </w:r>
                </w:p>
              </w:tc>
              <w:tc>
                <w:tcPr>
                  <w:tcW w:w="604" w:type="pct"/>
                  <w:noWrap w:val="0"/>
                  <w:vAlign w:val="center"/>
                </w:tcPr>
                <w:p w14:paraId="13419061">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w:t>
                  </w:r>
                </w:p>
              </w:tc>
            </w:tr>
            <w:tr w14:paraId="5AA4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0" w:type="pct"/>
                  <w:gridSpan w:val="2"/>
                  <w:noWrap w:val="0"/>
                  <w:vAlign w:val="center"/>
                </w:tcPr>
                <w:p w14:paraId="407A33FF">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eastAsia="宋体" w:cs="Times New Roman"/>
                      <w:b w:val="0"/>
                      <w:bCs w:val="0"/>
                      <w:color w:val="auto"/>
                      <w:sz w:val="21"/>
                      <w:szCs w:val="21"/>
                      <w:lang w:eastAsia="zh-CN"/>
                    </w:rPr>
                  </w:pPr>
                  <w:r>
                    <w:rPr>
                      <w:rFonts w:hint="eastAsia" w:eastAsia="宋体" w:cs="Times New Roman"/>
                      <w:b w:val="0"/>
                      <w:bCs w:val="0"/>
                      <w:color w:val="auto"/>
                      <w:sz w:val="21"/>
                      <w:szCs w:val="21"/>
                      <w:lang w:val="en-US" w:eastAsia="zh-CN"/>
                    </w:rPr>
                    <w:t>风险防范</w:t>
                  </w:r>
                </w:p>
              </w:tc>
              <w:tc>
                <w:tcPr>
                  <w:tcW w:w="3125" w:type="pct"/>
                  <w:gridSpan w:val="2"/>
                  <w:noWrap w:val="0"/>
                  <w:vAlign w:val="center"/>
                </w:tcPr>
                <w:p w14:paraId="33777324">
                  <w:pPr>
                    <w:spacing w:line="240" w:lineRule="auto"/>
                    <w:jc w:val="center"/>
                    <w:rPr>
                      <w:rFonts w:hint="eastAsia" w:eastAsia="宋体" w:cs="Times New Roman"/>
                      <w:b w:val="0"/>
                      <w:bCs w:val="0"/>
                      <w:color w:val="auto"/>
                      <w:sz w:val="21"/>
                      <w:szCs w:val="21"/>
                      <w:lang w:eastAsia="zh-CN"/>
                    </w:rPr>
                  </w:pPr>
                  <w:r>
                    <w:rPr>
                      <w:rFonts w:hint="eastAsia" w:ascii="Times New Roman" w:hAnsi="Times New Roman"/>
                      <w:color w:val="auto"/>
                      <w:sz w:val="21"/>
                      <w:szCs w:val="21"/>
                      <w:lang w:eastAsia="zh-CN"/>
                    </w:rPr>
                    <w:t>编制</w:t>
                  </w:r>
                  <w:r>
                    <w:rPr>
                      <w:rFonts w:ascii="Times New Roman" w:hAnsi="Times New Roman"/>
                      <w:color w:val="auto"/>
                      <w:sz w:val="21"/>
                      <w:szCs w:val="21"/>
                    </w:rPr>
                    <w:t>应急预案</w:t>
                  </w:r>
                  <w:r>
                    <w:rPr>
                      <w:rFonts w:hint="eastAsia" w:ascii="Times New Roman" w:hAnsi="Times New Roman"/>
                      <w:color w:val="auto"/>
                      <w:sz w:val="21"/>
                      <w:szCs w:val="21"/>
                      <w:lang w:eastAsia="zh-CN"/>
                    </w:rPr>
                    <w:t>；</w:t>
                  </w:r>
                  <w:r>
                    <w:rPr>
                      <w:rFonts w:ascii="Times New Roman" w:hAnsi="Times New Roman"/>
                      <w:color w:val="auto"/>
                      <w:sz w:val="21"/>
                      <w:szCs w:val="21"/>
                    </w:rPr>
                    <w:t>危废暂存间</w:t>
                  </w:r>
                  <w:r>
                    <w:rPr>
                      <w:rFonts w:hint="eastAsia" w:ascii="Times New Roman" w:hAnsi="Times New Roman"/>
                      <w:color w:val="auto"/>
                      <w:sz w:val="21"/>
                      <w:szCs w:val="21"/>
                      <w:lang w:eastAsia="zh-CN"/>
                    </w:rPr>
                    <w:t>、盐酸储罐区、液碱储罐区、洗滤罐区、二级碱喷淋塔处、污水处理区、事故应急池等</w:t>
                  </w:r>
                  <w:r>
                    <w:rPr>
                      <w:rFonts w:ascii="Times New Roman" w:hAnsi="Times New Roman"/>
                      <w:color w:val="auto"/>
                      <w:sz w:val="21"/>
                      <w:szCs w:val="21"/>
                    </w:rPr>
                    <w:t>做重点防渗</w:t>
                  </w:r>
                  <w:r>
                    <w:rPr>
                      <w:rFonts w:hint="eastAsia" w:ascii="Times New Roman" w:hAnsi="Times New Roman"/>
                      <w:color w:val="auto"/>
                      <w:sz w:val="21"/>
                      <w:szCs w:val="21"/>
                      <w:lang w:eastAsia="zh-CN"/>
                    </w:rPr>
                    <w:t>；盐酸储罐区、液碱储罐区设置围堰；设置事故应急池；</w:t>
                  </w:r>
                  <w:r>
                    <w:rPr>
                      <w:rFonts w:ascii="Times New Roman" w:hAnsi="Times New Roman"/>
                      <w:color w:val="auto"/>
                      <w:sz w:val="21"/>
                      <w:szCs w:val="21"/>
                    </w:rPr>
                    <w:t>加强员工操作管理</w:t>
                  </w:r>
                  <w:r>
                    <w:rPr>
                      <w:rFonts w:hint="default" w:ascii="Times New Roman" w:hAnsi="Times New Roman" w:eastAsia="宋体" w:cs="Times New Roman"/>
                      <w:color w:val="auto"/>
                      <w:sz w:val="21"/>
                      <w:szCs w:val="21"/>
                    </w:rPr>
                    <w:t>。</w:t>
                  </w:r>
                </w:p>
              </w:tc>
              <w:tc>
                <w:tcPr>
                  <w:tcW w:w="604" w:type="pct"/>
                  <w:noWrap w:val="0"/>
                  <w:vAlign w:val="center"/>
                </w:tcPr>
                <w:p w14:paraId="2C1D8C64">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40</w:t>
                  </w:r>
                </w:p>
              </w:tc>
            </w:tr>
            <w:tr w14:paraId="1A95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95" w:type="pct"/>
                  <w:gridSpan w:val="4"/>
                  <w:noWrap w:val="0"/>
                  <w:vAlign w:val="center"/>
                </w:tcPr>
                <w:p w14:paraId="4AA4D030">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合计</w:t>
                  </w:r>
                </w:p>
              </w:tc>
              <w:tc>
                <w:tcPr>
                  <w:tcW w:w="604" w:type="pct"/>
                  <w:noWrap w:val="0"/>
                  <w:vAlign w:val="center"/>
                </w:tcPr>
                <w:p w14:paraId="42C499AB">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125</w:t>
                  </w:r>
                </w:p>
              </w:tc>
            </w:tr>
          </w:tbl>
          <w:p w14:paraId="24D5AD2A">
            <w:pPr>
              <w:adjustRightInd w:val="0"/>
              <w:snapToGrid w:val="0"/>
              <w:spacing w:line="360" w:lineRule="auto"/>
              <w:jc w:val="left"/>
              <w:rPr>
                <w:kern w:val="0"/>
                <w:sz w:val="24"/>
                <w:szCs w:val="24"/>
              </w:rPr>
            </w:pPr>
          </w:p>
        </w:tc>
      </w:tr>
    </w:tbl>
    <w:p w14:paraId="30603818">
      <w:pPr>
        <w:pStyle w:val="24"/>
        <w:jc w:val="center"/>
        <w:rPr>
          <w:rFonts w:hint="eastAsia"/>
          <w:snapToGrid w:val="0"/>
        </w:rPr>
        <w:sectPr>
          <w:pgSz w:w="11906" w:h="16838"/>
          <w:pgMar w:top="1440" w:right="1134"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4" w:name="_Toc7773"/>
    </w:p>
    <w:p w14:paraId="6CF81F2F">
      <w:pPr>
        <w:pStyle w:val="24"/>
        <w:jc w:val="center"/>
        <w:rPr>
          <w:snapToGrid w:val="0"/>
          <w:color w:val="auto"/>
        </w:rPr>
      </w:pPr>
      <w:r>
        <w:rPr>
          <w:rFonts w:hint="eastAsia"/>
          <w:snapToGrid w:val="0"/>
          <w:color w:val="auto"/>
        </w:rPr>
        <w:t>五、</w:t>
      </w:r>
      <w:bookmarkStart w:id="5" w:name="_Hlk54167917"/>
      <w:r>
        <w:rPr>
          <w:rFonts w:hint="eastAsia"/>
          <w:snapToGrid w:val="0"/>
          <w:color w:val="auto"/>
        </w:rPr>
        <w:t>环境保护措施监督检查清单</w:t>
      </w:r>
      <w:bookmarkEnd w:id="4"/>
      <w:bookmarkEnd w:id="5"/>
    </w:p>
    <w:tbl>
      <w:tblPr>
        <w:tblStyle w:val="25"/>
        <w:tblW w:w="8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658"/>
        <w:gridCol w:w="1259"/>
        <w:gridCol w:w="1846"/>
        <w:gridCol w:w="2486"/>
      </w:tblGrid>
      <w:tr w14:paraId="7559B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tcBorders>
              <w:tl2br w:val="single" w:color="auto" w:sz="4" w:space="0"/>
            </w:tcBorders>
          </w:tcPr>
          <w:p w14:paraId="0C9C0152">
            <w:pPr>
              <w:adjustRightInd w:val="0"/>
              <w:snapToGrid w:val="0"/>
              <w:ind w:firstLine="840"/>
              <w:rPr>
                <w:color w:val="auto"/>
                <w:szCs w:val="21"/>
              </w:rPr>
            </w:pPr>
            <w:r>
              <w:rPr>
                <w:rFonts w:hAnsi="宋体"/>
                <w:color w:val="auto"/>
                <w:szCs w:val="21"/>
              </w:rPr>
              <w:t>内容</w:t>
            </w:r>
          </w:p>
          <w:p w14:paraId="60B33F17">
            <w:pPr>
              <w:adjustRightInd w:val="0"/>
              <w:snapToGrid w:val="0"/>
              <w:rPr>
                <w:color w:val="auto"/>
                <w:szCs w:val="21"/>
              </w:rPr>
            </w:pPr>
            <w:r>
              <w:rPr>
                <w:rFonts w:hAnsi="宋体"/>
                <w:color w:val="auto"/>
                <w:szCs w:val="21"/>
              </w:rPr>
              <w:t>要素</w:t>
            </w:r>
          </w:p>
        </w:tc>
        <w:tc>
          <w:tcPr>
            <w:tcW w:w="1658" w:type="dxa"/>
            <w:vAlign w:val="center"/>
          </w:tcPr>
          <w:p w14:paraId="765AA15C">
            <w:pPr>
              <w:adjustRightInd w:val="0"/>
              <w:snapToGrid w:val="0"/>
              <w:jc w:val="center"/>
              <w:rPr>
                <w:color w:val="auto"/>
                <w:szCs w:val="21"/>
              </w:rPr>
            </w:pPr>
            <w:r>
              <w:rPr>
                <w:rFonts w:hAnsi="宋体"/>
                <w:color w:val="auto"/>
                <w:szCs w:val="21"/>
              </w:rPr>
              <w:t>排放口</w:t>
            </w:r>
            <w:r>
              <w:rPr>
                <w:color w:val="auto"/>
                <w:szCs w:val="21"/>
              </w:rPr>
              <w:t>(</w:t>
            </w:r>
            <w:r>
              <w:rPr>
                <w:rFonts w:hAnsi="宋体"/>
                <w:color w:val="auto"/>
                <w:szCs w:val="21"/>
              </w:rPr>
              <w:t>编号、名称</w:t>
            </w:r>
            <w:r>
              <w:rPr>
                <w:color w:val="auto"/>
                <w:szCs w:val="21"/>
              </w:rPr>
              <w:t>)/</w:t>
            </w:r>
            <w:r>
              <w:rPr>
                <w:rFonts w:hAnsi="宋体"/>
                <w:color w:val="auto"/>
                <w:szCs w:val="21"/>
              </w:rPr>
              <w:t>污染源</w:t>
            </w:r>
          </w:p>
        </w:tc>
        <w:tc>
          <w:tcPr>
            <w:tcW w:w="1259" w:type="dxa"/>
            <w:vAlign w:val="center"/>
          </w:tcPr>
          <w:p w14:paraId="1F148C5F">
            <w:pPr>
              <w:adjustRightInd w:val="0"/>
              <w:snapToGrid w:val="0"/>
              <w:jc w:val="center"/>
              <w:rPr>
                <w:color w:val="auto"/>
                <w:szCs w:val="21"/>
              </w:rPr>
            </w:pPr>
            <w:r>
              <w:rPr>
                <w:rFonts w:hAnsi="宋体"/>
                <w:color w:val="auto"/>
                <w:szCs w:val="21"/>
              </w:rPr>
              <w:t>污染物项目</w:t>
            </w:r>
          </w:p>
        </w:tc>
        <w:tc>
          <w:tcPr>
            <w:tcW w:w="1846" w:type="dxa"/>
            <w:vAlign w:val="center"/>
          </w:tcPr>
          <w:p w14:paraId="41995577">
            <w:pPr>
              <w:adjustRightInd w:val="0"/>
              <w:snapToGrid w:val="0"/>
              <w:jc w:val="center"/>
              <w:rPr>
                <w:color w:val="auto"/>
                <w:szCs w:val="21"/>
              </w:rPr>
            </w:pPr>
            <w:r>
              <w:rPr>
                <w:rFonts w:hAnsi="宋体"/>
                <w:color w:val="auto"/>
                <w:szCs w:val="21"/>
              </w:rPr>
              <w:t>环境保护措施</w:t>
            </w:r>
          </w:p>
        </w:tc>
        <w:tc>
          <w:tcPr>
            <w:tcW w:w="2486" w:type="dxa"/>
            <w:vAlign w:val="center"/>
          </w:tcPr>
          <w:p w14:paraId="42183175">
            <w:pPr>
              <w:adjustRightInd w:val="0"/>
              <w:snapToGrid w:val="0"/>
              <w:jc w:val="center"/>
              <w:rPr>
                <w:color w:val="auto"/>
                <w:szCs w:val="21"/>
              </w:rPr>
            </w:pPr>
            <w:r>
              <w:rPr>
                <w:rFonts w:hAnsi="宋体"/>
                <w:color w:val="auto"/>
                <w:szCs w:val="21"/>
              </w:rPr>
              <w:t>执行标准</w:t>
            </w:r>
          </w:p>
        </w:tc>
      </w:tr>
      <w:tr w14:paraId="6B784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restart"/>
            <w:vAlign w:val="center"/>
          </w:tcPr>
          <w:p w14:paraId="4D78F924">
            <w:pPr>
              <w:adjustRightInd w:val="0"/>
              <w:snapToGrid w:val="0"/>
              <w:jc w:val="center"/>
              <w:rPr>
                <w:color w:val="auto"/>
                <w:szCs w:val="21"/>
              </w:rPr>
            </w:pPr>
            <w:r>
              <w:rPr>
                <w:rFonts w:hAnsi="宋体"/>
                <w:color w:val="auto"/>
                <w:szCs w:val="21"/>
              </w:rPr>
              <w:t>大气环境</w:t>
            </w:r>
          </w:p>
        </w:tc>
        <w:tc>
          <w:tcPr>
            <w:tcW w:w="1658" w:type="dxa"/>
            <w:vAlign w:val="center"/>
          </w:tcPr>
          <w:p w14:paraId="0E231FAC">
            <w:pPr>
              <w:adjustRightInd w:val="0"/>
              <w:spacing w:line="240" w:lineRule="auto"/>
              <w:jc w:val="center"/>
              <w:rPr>
                <w:rFonts w:hint="default"/>
                <w:color w:val="auto"/>
                <w:lang w:val="en-US" w:eastAsia="zh-CN"/>
              </w:rPr>
            </w:pPr>
            <w:r>
              <w:rPr>
                <w:rFonts w:hint="eastAsia" w:ascii="Times New Roman" w:hAnsi="Times New Roman" w:eastAsia="宋体" w:cs="Times New Roman"/>
                <w:b w:val="0"/>
                <w:bCs w:val="0"/>
                <w:color w:val="auto"/>
                <w:kern w:val="0"/>
                <w:sz w:val="21"/>
                <w:szCs w:val="21"/>
                <w:lang w:val="en-US" w:eastAsia="zh-CN"/>
              </w:rPr>
              <w:t>1#车间</w:t>
            </w:r>
            <w:r>
              <w:rPr>
                <w:rFonts w:hint="default" w:ascii="Times New Roman" w:hAnsi="Times New Roman" w:eastAsia="宋体" w:cs="Times New Roman"/>
                <w:b w:val="0"/>
                <w:bCs w:val="0"/>
                <w:color w:val="auto"/>
                <w:kern w:val="0"/>
                <w:sz w:val="21"/>
                <w:szCs w:val="21"/>
                <w:lang w:val="en-US" w:eastAsia="zh-CN"/>
              </w:rPr>
              <w:t>盐酸储罐呼吸废气、配酸废气、酸洗</w:t>
            </w:r>
            <w:r>
              <w:rPr>
                <w:rFonts w:hint="eastAsia" w:cs="Times New Roman"/>
                <w:b w:val="0"/>
                <w:bCs w:val="0"/>
                <w:color w:val="auto"/>
                <w:kern w:val="0"/>
                <w:sz w:val="21"/>
                <w:szCs w:val="21"/>
                <w:lang w:val="en-US" w:eastAsia="zh-CN"/>
              </w:rPr>
              <w:t>、干燥废气</w:t>
            </w:r>
            <w:r>
              <w:rPr>
                <w:rFonts w:hint="default" w:ascii="Times New Roman" w:hAnsi="Times New Roman" w:eastAsia="宋体" w:cs="Times New Roman"/>
                <w:color w:val="auto"/>
                <w:kern w:val="0"/>
                <w:sz w:val="21"/>
                <w:szCs w:val="21"/>
                <w:lang w:val="en-US" w:eastAsia="zh-CN"/>
              </w:rPr>
              <w:t>（DA001）</w:t>
            </w:r>
          </w:p>
        </w:tc>
        <w:tc>
          <w:tcPr>
            <w:tcW w:w="1259" w:type="dxa"/>
            <w:vAlign w:val="center"/>
          </w:tcPr>
          <w:p w14:paraId="5E46BCF9">
            <w:pPr>
              <w:adjustRightInd w:val="0"/>
              <w:spacing w:line="240" w:lineRule="auto"/>
              <w:jc w:val="center"/>
              <w:rPr>
                <w:rFonts w:hint="default" w:eastAsia="宋体"/>
                <w:color w:val="auto"/>
                <w:kern w:val="0"/>
                <w:szCs w:val="21"/>
                <w:lang w:val="en-US" w:eastAsia="zh-CN"/>
              </w:rPr>
            </w:pPr>
            <w:r>
              <w:rPr>
                <w:rFonts w:hint="eastAsia"/>
                <w:color w:val="auto"/>
                <w:kern w:val="0"/>
                <w:szCs w:val="21"/>
                <w:lang w:val="en-US" w:eastAsia="zh-CN"/>
              </w:rPr>
              <w:t>HCl、颗粒物</w:t>
            </w:r>
          </w:p>
        </w:tc>
        <w:tc>
          <w:tcPr>
            <w:tcW w:w="1846" w:type="dxa"/>
            <w:tcBorders>
              <w:bottom w:val="single" w:color="auto" w:sz="4" w:space="0"/>
            </w:tcBorders>
            <w:vAlign w:val="center"/>
          </w:tcPr>
          <w:p w14:paraId="7AFECABE">
            <w:pPr>
              <w:snapToGrid w:val="0"/>
              <w:jc w:val="center"/>
              <w:rPr>
                <w:rFonts w:hint="default" w:eastAsia="宋体"/>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二级碱喷淋+1根20m高排气筒（DA001）</w:t>
            </w:r>
          </w:p>
        </w:tc>
        <w:tc>
          <w:tcPr>
            <w:tcW w:w="2486" w:type="dxa"/>
            <w:vAlign w:val="center"/>
          </w:tcPr>
          <w:p w14:paraId="60F4F2E9">
            <w:pPr>
              <w:widowControl/>
              <w:tabs>
                <w:tab w:val="left" w:pos="630"/>
                <w:tab w:val="left" w:pos="1260"/>
              </w:tabs>
              <w:adjustRightInd w:val="0"/>
              <w:jc w:val="center"/>
              <w:rPr>
                <w:kern w:val="0"/>
                <w:szCs w:val="21"/>
              </w:rPr>
            </w:pPr>
            <w:r>
              <w:rPr>
                <w:sz w:val="21"/>
                <w:szCs w:val="21"/>
              </w:rPr>
              <w:t>《大气污染物综合排放标准》（</w:t>
            </w:r>
            <w:r>
              <w:rPr>
                <w:rFonts w:hint="eastAsia"/>
                <w:sz w:val="21"/>
                <w:szCs w:val="21"/>
              </w:rPr>
              <w:t>GB</w:t>
            </w:r>
            <w:r>
              <w:rPr>
                <w:sz w:val="21"/>
                <w:szCs w:val="21"/>
              </w:rPr>
              <w:t>16297-1996）</w:t>
            </w:r>
          </w:p>
        </w:tc>
      </w:tr>
      <w:tr w14:paraId="718C4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04066118">
            <w:pPr>
              <w:adjustRightInd w:val="0"/>
              <w:snapToGrid w:val="0"/>
              <w:jc w:val="center"/>
              <w:rPr>
                <w:rFonts w:hAnsi="宋体"/>
                <w:color w:val="auto"/>
                <w:szCs w:val="21"/>
              </w:rPr>
            </w:pPr>
          </w:p>
        </w:tc>
        <w:tc>
          <w:tcPr>
            <w:tcW w:w="1658" w:type="dxa"/>
            <w:vAlign w:val="center"/>
          </w:tcPr>
          <w:p w14:paraId="24499A6D">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1#车间</w:t>
            </w:r>
            <w:r>
              <w:rPr>
                <w:rFonts w:hint="default" w:ascii="Times New Roman" w:hAnsi="Times New Roman" w:eastAsia="宋体" w:cs="Times New Roman"/>
                <w:color w:val="auto"/>
                <w:kern w:val="0"/>
                <w:sz w:val="21"/>
                <w:szCs w:val="21"/>
                <w:lang w:eastAsia="zh-CN"/>
              </w:rPr>
              <w:t>粉碎粉尘</w:t>
            </w:r>
            <w:r>
              <w:rPr>
                <w:rFonts w:hint="default" w:ascii="Times New Roman" w:hAnsi="Times New Roman" w:eastAsia="宋体" w:cs="Times New Roman"/>
                <w:color w:val="auto"/>
                <w:kern w:val="0"/>
                <w:sz w:val="21"/>
                <w:szCs w:val="21"/>
                <w:lang w:val="en-US" w:eastAsia="zh-CN"/>
              </w:rPr>
              <w:t>（DA00</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p>
        </w:tc>
        <w:tc>
          <w:tcPr>
            <w:tcW w:w="1259" w:type="dxa"/>
            <w:vAlign w:val="center"/>
          </w:tcPr>
          <w:p w14:paraId="513BB449">
            <w:pPr>
              <w:adjustRightInd w:val="0"/>
              <w:spacing w:line="240" w:lineRule="auto"/>
              <w:jc w:val="center"/>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颗粒物</w:t>
            </w:r>
          </w:p>
        </w:tc>
        <w:tc>
          <w:tcPr>
            <w:tcW w:w="1846" w:type="dxa"/>
            <w:tcBorders>
              <w:bottom w:val="single" w:color="auto" w:sz="4" w:space="0"/>
            </w:tcBorders>
            <w:vAlign w:val="center"/>
          </w:tcPr>
          <w:p w14:paraId="0A150986">
            <w:pPr>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+1根20m高排气筒（DA00</w:t>
            </w:r>
            <w:r>
              <w:rPr>
                <w:rFonts w:hint="eastAsia" w:cs="Times New Roman"/>
                <w:color w:val="auto"/>
                <w:kern w:val="0"/>
                <w:sz w:val="21"/>
                <w:szCs w:val="21"/>
                <w:lang w:val="en-US" w:eastAsia="zh-CN"/>
              </w:rPr>
              <w:t>2</w:t>
            </w:r>
            <w:r>
              <w:rPr>
                <w:rFonts w:hint="default" w:ascii="Times New Roman" w:hAnsi="Times New Roman" w:eastAsia="宋体" w:cs="Times New Roman"/>
                <w:color w:val="auto"/>
                <w:kern w:val="0"/>
                <w:sz w:val="21"/>
                <w:szCs w:val="21"/>
                <w:lang w:val="en-US" w:eastAsia="zh-CN"/>
              </w:rPr>
              <w:t>）</w:t>
            </w:r>
          </w:p>
        </w:tc>
        <w:tc>
          <w:tcPr>
            <w:tcW w:w="2486" w:type="dxa"/>
            <w:vAlign w:val="center"/>
          </w:tcPr>
          <w:p w14:paraId="47E6031A">
            <w:pPr>
              <w:widowControl/>
              <w:adjustRightInd w:val="0"/>
              <w:jc w:val="center"/>
              <w:rPr>
                <w:sz w:val="21"/>
                <w:szCs w:val="21"/>
              </w:rPr>
            </w:pPr>
            <w:r>
              <w:rPr>
                <w:sz w:val="21"/>
                <w:szCs w:val="21"/>
              </w:rPr>
              <w:t>《大气污染物综合排放标准》（</w:t>
            </w:r>
            <w:r>
              <w:rPr>
                <w:rFonts w:hint="eastAsia"/>
                <w:sz w:val="21"/>
                <w:szCs w:val="21"/>
              </w:rPr>
              <w:t>GB</w:t>
            </w:r>
            <w:r>
              <w:rPr>
                <w:sz w:val="21"/>
                <w:szCs w:val="21"/>
              </w:rPr>
              <w:t>16297-1996）</w:t>
            </w:r>
          </w:p>
        </w:tc>
      </w:tr>
      <w:tr w14:paraId="15DF9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128B5A62">
            <w:pPr>
              <w:adjustRightInd w:val="0"/>
              <w:snapToGrid w:val="0"/>
              <w:jc w:val="center"/>
              <w:rPr>
                <w:rFonts w:hAnsi="宋体"/>
                <w:color w:val="auto"/>
                <w:szCs w:val="21"/>
              </w:rPr>
            </w:pPr>
          </w:p>
        </w:tc>
        <w:tc>
          <w:tcPr>
            <w:tcW w:w="1658" w:type="dxa"/>
            <w:vAlign w:val="center"/>
          </w:tcPr>
          <w:p w14:paraId="6A801E82">
            <w:pPr>
              <w:adjustRightInd w:val="0"/>
              <w:spacing w:line="240" w:lineRule="auto"/>
              <w:jc w:val="center"/>
              <w:rPr>
                <w:rFonts w:hint="default" w:ascii="Times New Roman" w:hAnsi="Times New Roman" w:eastAsia="宋体" w:cs="Times New Roman"/>
                <w:b w:val="0"/>
                <w:bCs w:val="0"/>
                <w:color w:val="auto"/>
                <w:kern w:val="0"/>
                <w:sz w:val="21"/>
                <w:szCs w:val="21"/>
                <w:lang w:val="en-US" w:eastAsia="zh-CN"/>
              </w:rPr>
            </w:pPr>
            <w:r>
              <w:rPr>
                <w:rFonts w:hint="eastAsia" w:ascii="Times New Roman" w:hAnsi="Times New Roman" w:eastAsia="宋体" w:cs="Times New Roman"/>
                <w:b w:val="0"/>
                <w:bCs w:val="0"/>
                <w:color w:val="auto"/>
                <w:kern w:val="0"/>
                <w:sz w:val="21"/>
                <w:szCs w:val="21"/>
                <w:lang w:val="en-US" w:eastAsia="zh-CN"/>
              </w:rPr>
              <w:t>2#车间</w:t>
            </w:r>
            <w:r>
              <w:rPr>
                <w:rFonts w:hint="default" w:ascii="Times New Roman" w:hAnsi="Times New Roman" w:eastAsia="宋体" w:cs="Times New Roman"/>
                <w:b w:val="0"/>
                <w:bCs w:val="0"/>
                <w:color w:val="auto"/>
                <w:kern w:val="0"/>
                <w:sz w:val="21"/>
                <w:szCs w:val="21"/>
                <w:lang w:val="en-US" w:eastAsia="zh-CN"/>
              </w:rPr>
              <w:t>盐酸储罐呼吸废气、配酸废气、酸洗</w:t>
            </w:r>
            <w:r>
              <w:rPr>
                <w:rFonts w:hint="eastAsia" w:cs="Times New Roman"/>
                <w:b w:val="0"/>
                <w:bCs w:val="0"/>
                <w:color w:val="auto"/>
                <w:kern w:val="0"/>
                <w:sz w:val="21"/>
                <w:szCs w:val="21"/>
                <w:lang w:val="en-US" w:eastAsia="zh-CN"/>
              </w:rPr>
              <w:t>、干燥废气</w:t>
            </w:r>
            <w:r>
              <w:rPr>
                <w:rFonts w:hint="default" w:ascii="Times New Roman" w:hAnsi="Times New Roman" w:eastAsia="宋体" w:cs="Times New Roman"/>
                <w:color w:val="auto"/>
                <w:kern w:val="0"/>
                <w:sz w:val="21"/>
                <w:szCs w:val="21"/>
                <w:lang w:val="en-US" w:eastAsia="zh-CN"/>
              </w:rPr>
              <w:t>（DA00</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w:t>
            </w:r>
          </w:p>
        </w:tc>
        <w:tc>
          <w:tcPr>
            <w:tcW w:w="1259" w:type="dxa"/>
            <w:vAlign w:val="center"/>
          </w:tcPr>
          <w:p w14:paraId="49982193">
            <w:pPr>
              <w:adjustRightInd w:val="0"/>
              <w:spacing w:line="240" w:lineRule="auto"/>
              <w:jc w:val="center"/>
              <w:rPr>
                <w:rFonts w:hint="default" w:ascii="Times New Roman" w:hAnsi="Times New Roman" w:eastAsia="宋体" w:cs="Times New Roman"/>
                <w:color w:val="auto"/>
                <w:kern w:val="0"/>
                <w:sz w:val="21"/>
                <w:szCs w:val="21"/>
                <w:lang w:eastAsia="zh-CN"/>
              </w:rPr>
            </w:pPr>
            <w:r>
              <w:rPr>
                <w:rFonts w:hint="eastAsia"/>
                <w:color w:val="auto"/>
                <w:kern w:val="0"/>
                <w:szCs w:val="21"/>
                <w:lang w:val="en-US" w:eastAsia="zh-CN"/>
              </w:rPr>
              <w:t>HCl、颗粒物</w:t>
            </w:r>
          </w:p>
        </w:tc>
        <w:tc>
          <w:tcPr>
            <w:tcW w:w="1846" w:type="dxa"/>
            <w:tcBorders>
              <w:bottom w:val="single" w:color="auto" w:sz="4" w:space="0"/>
            </w:tcBorders>
            <w:vAlign w:val="center"/>
          </w:tcPr>
          <w:p w14:paraId="50B58055">
            <w:pPr>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二级碱喷淋+1根20m高排气筒（DA00</w:t>
            </w:r>
            <w:r>
              <w:rPr>
                <w:rFonts w:hint="eastAsia"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w:t>
            </w:r>
          </w:p>
        </w:tc>
        <w:tc>
          <w:tcPr>
            <w:tcW w:w="2486" w:type="dxa"/>
            <w:vAlign w:val="center"/>
          </w:tcPr>
          <w:p w14:paraId="5907456F">
            <w:pPr>
              <w:widowControl/>
              <w:adjustRightInd w:val="0"/>
              <w:jc w:val="center"/>
              <w:rPr>
                <w:sz w:val="21"/>
                <w:szCs w:val="21"/>
              </w:rPr>
            </w:pPr>
            <w:r>
              <w:rPr>
                <w:sz w:val="21"/>
                <w:szCs w:val="21"/>
              </w:rPr>
              <w:t>《大气污染物综合排放标准》（</w:t>
            </w:r>
            <w:r>
              <w:rPr>
                <w:rFonts w:hint="eastAsia"/>
                <w:sz w:val="21"/>
                <w:szCs w:val="21"/>
              </w:rPr>
              <w:t>GB</w:t>
            </w:r>
            <w:r>
              <w:rPr>
                <w:sz w:val="21"/>
                <w:szCs w:val="21"/>
              </w:rPr>
              <w:t>16297-1996）</w:t>
            </w:r>
          </w:p>
        </w:tc>
      </w:tr>
      <w:tr w14:paraId="796C7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77B5D1CB">
            <w:pPr>
              <w:adjustRightInd w:val="0"/>
              <w:snapToGrid w:val="0"/>
              <w:jc w:val="center"/>
              <w:rPr>
                <w:rFonts w:hAnsi="宋体"/>
                <w:color w:val="auto"/>
                <w:szCs w:val="21"/>
              </w:rPr>
            </w:pPr>
          </w:p>
        </w:tc>
        <w:tc>
          <w:tcPr>
            <w:tcW w:w="1658" w:type="dxa"/>
            <w:vAlign w:val="center"/>
          </w:tcPr>
          <w:p w14:paraId="713E1C0A">
            <w:pPr>
              <w:adjustRightInd w:val="0"/>
              <w:spacing w:line="240" w:lineRule="auto"/>
              <w:jc w:val="center"/>
              <w:rPr>
                <w:rFonts w:hint="eastAsia"/>
                <w:color w:val="auto"/>
                <w:lang w:val="en-US" w:eastAsia="zh-CN"/>
              </w:rPr>
            </w:pPr>
            <w:r>
              <w:rPr>
                <w:rFonts w:hint="eastAsia" w:ascii="Times New Roman" w:hAnsi="Times New Roman" w:eastAsia="宋体" w:cs="Times New Roman"/>
                <w:b w:val="0"/>
                <w:bCs w:val="0"/>
                <w:color w:val="auto"/>
                <w:kern w:val="0"/>
                <w:sz w:val="21"/>
                <w:szCs w:val="21"/>
                <w:lang w:val="en-US" w:eastAsia="zh-CN"/>
              </w:rPr>
              <w:t>2#车间</w:t>
            </w:r>
            <w:r>
              <w:rPr>
                <w:rFonts w:hint="default" w:ascii="Times New Roman" w:hAnsi="Times New Roman" w:eastAsia="宋体" w:cs="Times New Roman"/>
                <w:color w:val="auto"/>
                <w:kern w:val="0"/>
                <w:sz w:val="21"/>
                <w:szCs w:val="21"/>
                <w:lang w:eastAsia="zh-CN"/>
              </w:rPr>
              <w:t>粉碎粉尘</w:t>
            </w:r>
            <w:r>
              <w:rPr>
                <w:rFonts w:hint="default" w:ascii="Times New Roman" w:hAnsi="Times New Roman" w:eastAsia="宋体" w:cs="Times New Roman"/>
                <w:color w:val="auto"/>
                <w:kern w:val="0"/>
                <w:sz w:val="21"/>
                <w:szCs w:val="21"/>
                <w:lang w:val="en-US" w:eastAsia="zh-CN"/>
              </w:rPr>
              <w:t>（DA00</w:t>
            </w:r>
            <w:r>
              <w:rPr>
                <w:rFonts w:hint="eastAsia"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val="en-US" w:eastAsia="zh-CN"/>
              </w:rPr>
              <w:t>）</w:t>
            </w:r>
          </w:p>
        </w:tc>
        <w:tc>
          <w:tcPr>
            <w:tcW w:w="1259" w:type="dxa"/>
            <w:vAlign w:val="center"/>
          </w:tcPr>
          <w:p w14:paraId="5D58444D">
            <w:pPr>
              <w:adjustRightInd w:val="0"/>
              <w:spacing w:line="240" w:lineRule="auto"/>
              <w:jc w:val="center"/>
              <w:rPr>
                <w:rFonts w:hint="eastAsia"/>
                <w:color w:val="auto"/>
                <w:kern w:val="0"/>
                <w:szCs w:val="21"/>
                <w:lang w:eastAsia="zh-CN"/>
              </w:rPr>
            </w:pPr>
            <w:r>
              <w:rPr>
                <w:rFonts w:hint="eastAsia" w:cs="Times New Roman"/>
                <w:color w:val="auto"/>
                <w:kern w:val="0"/>
                <w:sz w:val="21"/>
                <w:szCs w:val="21"/>
                <w:lang w:eastAsia="zh-CN"/>
              </w:rPr>
              <w:t>颗粒物</w:t>
            </w:r>
          </w:p>
        </w:tc>
        <w:tc>
          <w:tcPr>
            <w:tcW w:w="1846" w:type="dxa"/>
            <w:vAlign w:val="center"/>
          </w:tcPr>
          <w:p w14:paraId="6F7FBC2E">
            <w:pPr>
              <w:snapToGrid w:val="0"/>
              <w:jc w:val="center"/>
              <w:rPr>
                <w:rFonts w:hint="eastAsia"/>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设备自带</w:t>
            </w:r>
            <w:r>
              <w:rPr>
                <w:rFonts w:hint="eastAsia" w:cs="Times New Roman"/>
                <w:color w:val="auto"/>
                <w:kern w:val="0"/>
                <w:sz w:val="21"/>
                <w:szCs w:val="21"/>
                <w:lang w:val="en-US" w:eastAsia="zh-CN"/>
              </w:rPr>
              <w:t>布袋</w:t>
            </w:r>
            <w:r>
              <w:rPr>
                <w:rFonts w:hint="eastAsia" w:ascii="Times New Roman" w:hAnsi="Times New Roman" w:eastAsia="宋体" w:cs="Times New Roman"/>
                <w:color w:val="auto"/>
                <w:kern w:val="0"/>
                <w:sz w:val="21"/>
                <w:szCs w:val="21"/>
                <w:lang w:val="en-US" w:eastAsia="zh-CN"/>
              </w:rPr>
              <w:t>除尘</w:t>
            </w:r>
            <w:r>
              <w:rPr>
                <w:rFonts w:hint="default" w:ascii="Times New Roman" w:hAnsi="Times New Roman" w:eastAsia="宋体" w:cs="Times New Roman"/>
                <w:color w:val="auto"/>
                <w:kern w:val="0"/>
                <w:sz w:val="21"/>
                <w:szCs w:val="21"/>
                <w:lang w:val="en-US" w:eastAsia="zh-CN"/>
              </w:rPr>
              <w:t>+1根20m高排气筒（DA00</w:t>
            </w:r>
            <w:r>
              <w:rPr>
                <w:rFonts w:hint="eastAsia"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val="en-US" w:eastAsia="zh-CN"/>
              </w:rPr>
              <w:t>）</w:t>
            </w:r>
          </w:p>
        </w:tc>
        <w:tc>
          <w:tcPr>
            <w:tcW w:w="2486" w:type="dxa"/>
            <w:vAlign w:val="center"/>
          </w:tcPr>
          <w:p w14:paraId="1A0F23B4">
            <w:pPr>
              <w:pStyle w:val="48"/>
              <w:adjustRightInd w:val="0"/>
              <w:snapToGrid w:val="0"/>
              <w:spacing w:after="0"/>
              <w:ind w:firstLine="0" w:firstLineChars="0"/>
              <w:jc w:val="center"/>
              <w:rPr>
                <w:rFonts w:hint="eastAsia"/>
                <w:bCs/>
                <w:szCs w:val="21"/>
              </w:rPr>
            </w:pPr>
            <w:r>
              <w:rPr>
                <w:sz w:val="21"/>
                <w:szCs w:val="21"/>
              </w:rPr>
              <w:t>《大气污染物综合排放标准》（</w:t>
            </w:r>
            <w:r>
              <w:rPr>
                <w:rFonts w:hint="eastAsia"/>
                <w:sz w:val="21"/>
                <w:szCs w:val="21"/>
              </w:rPr>
              <w:t>GB</w:t>
            </w:r>
            <w:r>
              <w:rPr>
                <w:sz w:val="21"/>
                <w:szCs w:val="21"/>
              </w:rPr>
              <w:t>16297-1996）</w:t>
            </w:r>
          </w:p>
        </w:tc>
      </w:tr>
      <w:tr w14:paraId="3A18E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50E75190">
            <w:pPr>
              <w:adjustRightInd w:val="0"/>
              <w:snapToGrid w:val="0"/>
              <w:jc w:val="center"/>
              <w:rPr>
                <w:rFonts w:hAnsi="宋体"/>
                <w:color w:val="auto"/>
                <w:szCs w:val="21"/>
              </w:rPr>
            </w:pPr>
          </w:p>
        </w:tc>
        <w:tc>
          <w:tcPr>
            <w:tcW w:w="1658" w:type="dxa"/>
            <w:vAlign w:val="center"/>
          </w:tcPr>
          <w:p w14:paraId="2C2CAA32">
            <w:pPr>
              <w:pStyle w:val="14"/>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车间</w:t>
            </w:r>
          </w:p>
        </w:tc>
        <w:tc>
          <w:tcPr>
            <w:tcW w:w="1259" w:type="dxa"/>
            <w:vAlign w:val="center"/>
          </w:tcPr>
          <w:p w14:paraId="56CB0C8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kern w:val="0"/>
                <w:sz w:val="21"/>
                <w:szCs w:val="21"/>
                <w:lang w:val="en-US" w:eastAsia="zh-CN" w:bidi="ar-SA"/>
              </w:rPr>
            </w:pPr>
            <w:r>
              <w:rPr>
                <w:rFonts w:hint="eastAsia"/>
                <w:kern w:val="0"/>
                <w:szCs w:val="21"/>
                <w:lang w:val="en-US" w:eastAsia="zh-CN"/>
              </w:rPr>
              <w:t>HCl、</w:t>
            </w:r>
            <w:r>
              <w:rPr>
                <w:color w:val="000000" w:themeColor="text1"/>
                <w:szCs w:val="21"/>
                <w14:textFill>
                  <w14:solidFill>
                    <w14:schemeClr w14:val="tx1"/>
                  </w14:solidFill>
                </w14:textFill>
              </w:rPr>
              <w:t>颗粒物</w:t>
            </w:r>
          </w:p>
        </w:tc>
        <w:tc>
          <w:tcPr>
            <w:tcW w:w="1846" w:type="dxa"/>
            <w:vAlign w:val="center"/>
          </w:tcPr>
          <w:p w14:paraId="1A365FED">
            <w:pPr>
              <w:keepNext w:val="0"/>
              <w:keepLines w:val="0"/>
              <w:pageBreakBefore w:val="0"/>
              <w:widowControl w:val="0"/>
              <w:kinsoku/>
              <w:wordWrap/>
              <w:overflowPunct/>
              <w:topLinePunct w:val="0"/>
              <w:autoSpaceDE/>
              <w:autoSpaceDN/>
              <w:bidi w:val="0"/>
              <w:adjustRightInd w:val="0"/>
              <w:snapToGrid/>
              <w:spacing w:line="240" w:lineRule="auto"/>
              <w:ind w:left="-105" w:leftChars="-50" w:right="-105" w:rightChars="-50"/>
              <w:jc w:val="center"/>
              <w:textAlignment w:val="auto"/>
              <w:rPr>
                <w:rFonts w:hint="eastAsia"/>
                <w:color w:val="auto"/>
                <w:kern w:val="0"/>
                <w:sz w:val="21"/>
                <w:szCs w:val="21"/>
                <w:lang w:val="en-US" w:eastAsia="zh-CN"/>
              </w:rPr>
            </w:pPr>
            <w:r>
              <w:rPr>
                <w:rFonts w:hint="eastAsia"/>
                <w:color w:val="auto"/>
                <w:kern w:val="0"/>
                <w:sz w:val="21"/>
                <w:szCs w:val="21"/>
                <w:lang w:val="en-US" w:eastAsia="zh-CN"/>
              </w:rPr>
              <w:t>封闭厂房生产、滤芯除尘</w:t>
            </w:r>
          </w:p>
        </w:tc>
        <w:tc>
          <w:tcPr>
            <w:tcW w:w="2486" w:type="dxa"/>
            <w:vAlign w:val="center"/>
          </w:tcPr>
          <w:p w14:paraId="37A32984">
            <w:pPr>
              <w:pStyle w:val="48"/>
              <w:adjustRightInd w:val="0"/>
              <w:snapToGrid w:val="0"/>
              <w:spacing w:after="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《大气污染物综合排放标准》（GB16297-1996）</w:t>
            </w:r>
          </w:p>
        </w:tc>
      </w:tr>
      <w:tr w14:paraId="3E6B7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restart"/>
            <w:vAlign w:val="center"/>
          </w:tcPr>
          <w:p w14:paraId="35974AB8">
            <w:pPr>
              <w:adjustRightInd w:val="0"/>
              <w:snapToGrid w:val="0"/>
              <w:jc w:val="center"/>
              <w:rPr>
                <w:szCs w:val="21"/>
              </w:rPr>
            </w:pPr>
            <w:r>
              <w:rPr>
                <w:rFonts w:hAnsi="宋体"/>
                <w:szCs w:val="21"/>
              </w:rPr>
              <w:t>地表水环境</w:t>
            </w:r>
          </w:p>
        </w:tc>
        <w:tc>
          <w:tcPr>
            <w:tcW w:w="1658" w:type="dxa"/>
            <w:tcBorders>
              <w:bottom w:val="single" w:color="auto" w:sz="4" w:space="0"/>
            </w:tcBorders>
            <w:vAlign w:val="center"/>
          </w:tcPr>
          <w:p w14:paraId="675B8D15">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kern w:val="0"/>
                <w:szCs w:val="21"/>
              </w:rPr>
            </w:pPr>
            <w:r>
              <w:rPr>
                <w:rFonts w:hint="default" w:ascii="Times New Roman" w:hAnsi="Times New Roman" w:eastAsia="宋体" w:cs="Times New Roman"/>
                <w:b w:val="0"/>
                <w:bCs w:val="0"/>
                <w:spacing w:val="0"/>
                <w:kern w:val="2"/>
                <w:position w:val="0"/>
                <w:sz w:val="21"/>
                <w:szCs w:val="21"/>
                <w:lang w:val="en-US" w:eastAsia="zh-CN"/>
              </w:rPr>
              <w:t>生活污水</w:t>
            </w:r>
          </w:p>
        </w:tc>
        <w:tc>
          <w:tcPr>
            <w:tcW w:w="1259" w:type="dxa"/>
            <w:tcBorders>
              <w:bottom w:val="single" w:color="auto" w:sz="4" w:space="0"/>
            </w:tcBorders>
            <w:vAlign w:val="center"/>
          </w:tcPr>
          <w:p w14:paraId="72D7DFBB">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eastAsia="宋体"/>
                <w:bCs/>
                <w:szCs w:val="21"/>
                <w:lang w:eastAsia="zh-CN"/>
              </w:rPr>
            </w:pPr>
            <w:r>
              <w:rPr>
                <w:rFonts w:hint="default" w:ascii="Times New Roman" w:hAnsi="Times New Roman" w:eastAsia="宋体" w:cs="Times New Roman"/>
                <w:b w:val="0"/>
                <w:bCs w:val="0"/>
                <w:spacing w:val="0"/>
                <w:kern w:val="2"/>
                <w:position w:val="0"/>
                <w:sz w:val="21"/>
                <w:szCs w:val="21"/>
                <w:lang w:val="en-US" w:eastAsia="zh-CN"/>
              </w:rPr>
              <w:t>COD、BOD</w:t>
            </w:r>
            <w:r>
              <w:rPr>
                <w:rFonts w:hint="default" w:ascii="Times New Roman" w:hAnsi="Times New Roman" w:eastAsia="宋体" w:cs="Times New Roman"/>
                <w:b w:val="0"/>
                <w:bCs w:val="0"/>
                <w:spacing w:val="0"/>
                <w:kern w:val="2"/>
                <w:position w:val="0"/>
                <w:sz w:val="21"/>
                <w:szCs w:val="21"/>
                <w:vertAlign w:val="subscript"/>
                <w:lang w:val="en-US" w:eastAsia="zh-CN"/>
              </w:rPr>
              <w:t>5</w:t>
            </w:r>
            <w:r>
              <w:rPr>
                <w:rFonts w:hint="default" w:ascii="Times New Roman" w:hAnsi="Times New Roman" w:eastAsia="宋体" w:cs="Times New Roman"/>
                <w:b w:val="0"/>
                <w:bCs w:val="0"/>
                <w:spacing w:val="0"/>
                <w:kern w:val="2"/>
                <w:position w:val="0"/>
                <w:sz w:val="21"/>
                <w:szCs w:val="21"/>
                <w:lang w:val="en-US" w:eastAsia="zh-CN"/>
              </w:rPr>
              <w:t>、SS、NH</w:t>
            </w:r>
            <w:r>
              <w:rPr>
                <w:rFonts w:hint="default" w:ascii="Times New Roman" w:hAnsi="Times New Roman" w:eastAsia="宋体" w:cs="Times New Roman"/>
                <w:b w:val="0"/>
                <w:bCs w:val="0"/>
                <w:spacing w:val="0"/>
                <w:kern w:val="2"/>
                <w:position w:val="0"/>
                <w:sz w:val="21"/>
                <w:szCs w:val="21"/>
                <w:vertAlign w:val="subscript"/>
                <w:lang w:val="en-US" w:eastAsia="zh-CN"/>
              </w:rPr>
              <w:t>3</w:t>
            </w:r>
            <w:r>
              <w:rPr>
                <w:rFonts w:hint="default" w:ascii="Times New Roman" w:hAnsi="Times New Roman" w:eastAsia="宋体" w:cs="Times New Roman"/>
                <w:b w:val="0"/>
                <w:bCs w:val="0"/>
                <w:spacing w:val="0"/>
                <w:kern w:val="2"/>
                <w:position w:val="0"/>
                <w:sz w:val="21"/>
                <w:szCs w:val="21"/>
                <w:lang w:val="en-US" w:eastAsia="zh-CN"/>
              </w:rPr>
              <w:t>-N、动植物油</w:t>
            </w:r>
          </w:p>
        </w:tc>
        <w:tc>
          <w:tcPr>
            <w:tcW w:w="1846" w:type="dxa"/>
            <w:tcBorders>
              <w:bottom w:val="single" w:color="auto" w:sz="4" w:space="0"/>
            </w:tcBorders>
            <w:vAlign w:val="center"/>
          </w:tcPr>
          <w:p w14:paraId="04F8846F">
            <w:pPr>
              <w:jc w:val="center"/>
              <w:rPr>
                <w:rFonts w:hint="eastAsia" w:eastAsia="宋体"/>
                <w:bCs/>
                <w:szCs w:val="21"/>
                <w:lang w:eastAsia="zh-CN"/>
              </w:rPr>
            </w:pPr>
            <w:r>
              <w:rPr>
                <w:rFonts w:hint="eastAsia"/>
                <w:color w:val="auto"/>
                <w:szCs w:val="21"/>
                <w:lang w:eastAsia="zh-CN"/>
              </w:rPr>
              <w:t>隔油池、</w:t>
            </w:r>
            <w:r>
              <w:rPr>
                <w:rFonts w:hint="eastAsia"/>
                <w:color w:val="auto"/>
                <w:szCs w:val="21"/>
              </w:rPr>
              <w:t>化粪池</w:t>
            </w:r>
          </w:p>
        </w:tc>
        <w:tc>
          <w:tcPr>
            <w:tcW w:w="2486" w:type="dxa"/>
            <w:vMerge w:val="restart"/>
            <w:vAlign w:val="center"/>
          </w:tcPr>
          <w:p w14:paraId="6195F4E2">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cs="Times New Roman"/>
                <w:sz w:val="21"/>
                <w:szCs w:val="21"/>
                <w:lang w:eastAsia="zh-CN"/>
              </w:rPr>
            </w:pPr>
            <w:r>
              <w:rPr>
                <w:rFonts w:hint="default" w:ascii="Times New Roman" w:hAnsi="Times New Roman" w:eastAsia="宋体" w:cs="Times New Roman"/>
                <w:snapToGrid w:val="0"/>
                <w:color w:val="auto"/>
                <w:kern w:val="0"/>
                <w:sz w:val="21"/>
                <w:szCs w:val="21"/>
              </w:rPr>
              <w:t>《</w:t>
            </w:r>
            <w:r>
              <w:rPr>
                <w:rFonts w:hint="eastAsia" w:cs="Times New Roman"/>
                <w:color w:val="auto"/>
                <w:sz w:val="21"/>
                <w:szCs w:val="21"/>
                <w:lang w:eastAsia="zh-CN"/>
              </w:rPr>
              <w:t>电子工业水污染物</w:t>
            </w:r>
            <w:r>
              <w:rPr>
                <w:rFonts w:ascii="Times New Roman" w:hAnsi="Times New Roman" w:eastAsia="宋体" w:cs="Times New Roman"/>
                <w:color w:val="auto"/>
                <w:sz w:val="21"/>
                <w:szCs w:val="21"/>
              </w:rPr>
              <w:t>排放标准》（GB</w:t>
            </w:r>
            <w:r>
              <w:rPr>
                <w:rFonts w:hint="eastAsia" w:cs="Times New Roman"/>
                <w:color w:val="auto"/>
                <w:sz w:val="21"/>
                <w:szCs w:val="21"/>
                <w:lang w:val="en-US" w:eastAsia="zh-CN"/>
              </w:rPr>
              <w:t>39731</w:t>
            </w:r>
            <w:r>
              <w:rPr>
                <w:rFonts w:ascii="Times New Roman" w:hAnsi="Times New Roman" w:eastAsia="宋体" w:cs="Times New Roman"/>
                <w:color w:val="auto"/>
                <w:sz w:val="21"/>
                <w:szCs w:val="21"/>
              </w:rPr>
              <w:t>-</w:t>
            </w:r>
            <w:r>
              <w:rPr>
                <w:rFonts w:hint="eastAsia" w:cs="Times New Roman"/>
                <w:color w:val="auto"/>
                <w:sz w:val="21"/>
                <w:szCs w:val="21"/>
                <w:lang w:val="en-US" w:eastAsia="zh-CN"/>
              </w:rPr>
              <w:t>2020</w:t>
            </w:r>
            <w:r>
              <w:rPr>
                <w:rFonts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rPr>
              <w:t>以及</w:t>
            </w:r>
            <w:r>
              <w:rPr>
                <w:rFonts w:hint="eastAsia" w:cs="Times New Roman"/>
                <w:snapToGrid w:val="0"/>
                <w:color w:val="auto"/>
                <w:kern w:val="0"/>
                <w:sz w:val="21"/>
                <w:szCs w:val="21"/>
                <w:lang w:eastAsia="zh-CN"/>
              </w:rPr>
              <w:t>固镇经济开发区</w:t>
            </w:r>
            <w:r>
              <w:rPr>
                <w:rFonts w:hint="default" w:ascii="Times New Roman" w:hAnsi="Times New Roman" w:eastAsia="宋体" w:cs="Times New Roman"/>
                <w:snapToGrid w:val="0"/>
                <w:color w:val="auto"/>
                <w:kern w:val="0"/>
                <w:sz w:val="21"/>
                <w:szCs w:val="21"/>
              </w:rPr>
              <w:t>污水处理厂</w:t>
            </w:r>
            <w:r>
              <w:rPr>
                <w:rFonts w:hint="default" w:ascii="Times New Roman" w:hAnsi="Times New Roman" w:eastAsia="宋体" w:cs="Times New Roman"/>
                <w:color w:val="auto"/>
                <w:sz w:val="21"/>
                <w:szCs w:val="21"/>
                <w:highlight w:val="none"/>
                <w:lang w:eastAsia="zh-CN"/>
              </w:rPr>
              <w:t>接管标准</w:t>
            </w:r>
          </w:p>
        </w:tc>
      </w:tr>
      <w:tr w14:paraId="387B5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7E5A563A">
            <w:pPr>
              <w:adjustRightInd w:val="0"/>
              <w:snapToGrid w:val="0"/>
              <w:jc w:val="center"/>
              <w:rPr>
                <w:rFonts w:hAnsi="宋体"/>
                <w:szCs w:val="21"/>
              </w:rPr>
            </w:pPr>
          </w:p>
        </w:tc>
        <w:tc>
          <w:tcPr>
            <w:tcW w:w="1658" w:type="dxa"/>
            <w:vMerge w:val="restart"/>
            <w:vAlign w:val="center"/>
          </w:tcPr>
          <w:p w14:paraId="5B141F2D">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spacing w:val="0"/>
                <w:kern w:val="2"/>
                <w:position w:val="0"/>
                <w:sz w:val="21"/>
                <w:szCs w:val="21"/>
                <w:lang w:val="en-US" w:eastAsia="zh-CN"/>
              </w:rPr>
            </w:pPr>
            <w:r>
              <w:rPr>
                <w:rFonts w:hint="eastAsia" w:ascii="Times New Roman" w:cs="Times New Roman"/>
                <w:b w:val="0"/>
                <w:bCs w:val="0"/>
                <w:color w:val="auto"/>
                <w:spacing w:val="0"/>
                <w:kern w:val="2"/>
                <w:position w:val="0"/>
                <w:sz w:val="21"/>
                <w:szCs w:val="21"/>
                <w:lang w:val="en-US" w:eastAsia="zh-CN"/>
              </w:rPr>
              <w:t>纯水制备浓水、反冲洗废水、</w:t>
            </w:r>
            <w:r>
              <w:rPr>
                <w:rFonts w:hint="eastAsia" w:ascii="Times New Roman" w:cs="Times New Roman"/>
                <w:b w:val="0"/>
                <w:bCs/>
                <w:color w:val="auto"/>
                <w:spacing w:val="0"/>
                <w:kern w:val="2"/>
                <w:position w:val="0"/>
                <w:sz w:val="21"/>
                <w:szCs w:val="21"/>
                <w:lang w:val="en-US" w:eastAsia="zh-CN"/>
              </w:rPr>
              <w:t>循环冷却排水</w:t>
            </w:r>
          </w:p>
        </w:tc>
        <w:tc>
          <w:tcPr>
            <w:tcW w:w="1259" w:type="dxa"/>
            <w:tcBorders>
              <w:bottom w:val="single" w:color="auto" w:sz="4" w:space="0"/>
            </w:tcBorders>
            <w:vAlign w:val="center"/>
          </w:tcPr>
          <w:p w14:paraId="036C5925">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846" w:type="dxa"/>
            <w:vMerge w:val="restart"/>
            <w:vAlign w:val="center"/>
          </w:tcPr>
          <w:p w14:paraId="09CB2867">
            <w:pPr>
              <w:jc w:val="center"/>
              <w:rPr>
                <w:szCs w:val="21"/>
              </w:rPr>
            </w:pPr>
            <w:r>
              <w:rPr>
                <w:rFonts w:hint="eastAsia"/>
                <w:color w:val="auto"/>
                <w:szCs w:val="21"/>
                <w:lang w:val="en-US" w:eastAsia="zh-CN"/>
              </w:rPr>
              <w:t>/</w:t>
            </w:r>
          </w:p>
        </w:tc>
        <w:tc>
          <w:tcPr>
            <w:tcW w:w="2486" w:type="dxa"/>
            <w:vMerge w:val="continue"/>
            <w:vAlign w:val="center"/>
          </w:tcPr>
          <w:p w14:paraId="59A89C72">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snapToGrid w:val="0"/>
                <w:color w:val="auto"/>
                <w:kern w:val="0"/>
                <w:sz w:val="21"/>
                <w:szCs w:val="21"/>
              </w:rPr>
            </w:pPr>
          </w:p>
        </w:tc>
      </w:tr>
      <w:tr w14:paraId="2FAEA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5183DCE8">
            <w:pPr>
              <w:adjustRightInd w:val="0"/>
              <w:snapToGrid w:val="0"/>
              <w:jc w:val="center"/>
              <w:rPr>
                <w:rFonts w:hAnsi="宋体"/>
                <w:szCs w:val="21"/>
              </w:rPr>
            </w:pPr>
          </w:p>
        </w:tc>
        <w:tc>
          <w:tcPr>
            <w:tcW w:w="1658" w:type="dxa"/>
            <w:vAlign w:val="center"/>
          </w:tcPr>
          <w:p w14:paraId="114B8DB3">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hAnsi="宋体" w:eastAsia="宋体"/>
                <w:color w:val="auto"/>
                <w:kern w:val="0"/>
                <w:szCs w:val="21"/>
                <w:lang w:eastAsia="zh-CN"/>
              </w:rPr>
            </w:pPr>
            <w:r>
              <w:rPr>
                <w:rFonts w:hint="eastAsia" w:ascii="Times New Roman" w:cs="Times New Roman"/>
                <w:b w:val="0"/>
                <w:bCs w:val="0"/>
                <w:color w:val="auto"/>
                <w:spacing w:val="0"/>
                <w:kern w:val="2"/>
                <w:position w:val="0"/>
                <w:sz w:val="21"/>
                <w:szCs w:val="21"/>
                <w:lang w:val="en-US" w:eastAsia="zh-CN"/>
              </w:rPr>
              <w:t>酸洗废水、</w:t>
            </w:r>
            <w:r>
              <w:rPr>
                <w:rFonts w:hint="eastAsia" w:ascii="Times New Roman" w:cs="Times New Roman"/>
                <w:b w:val="0"/>
                <w:bCs/>
                <w:color w:val="auto"/>
                <w:spacing w:val="0"/>
                <w:kern w:val="2"/>
                <w:position w:val="0"/>
                <w:sz w:val="21"/>
                <w:szCs w:val="21"/>
                <w:lang w:val="en-US" w:eastAsia="zh-CN"/>
              </w:rPr>
              <w:t>喷淋废水</w:t>
            </w:r>
          </w:p>
        </w:tc>
        <w:tc>
          <w:tcPr>
            <w:tcW w:w="1259" w:type="dxa"/>
            <w:tcBorders>
              <w:bottom w:val="single" w:color="auto" w:sz="4" w:space="0"/>
            </w:tcBorders>
            <w:vAlign w:val="center"/>
          </w:tcPr>
          <w:p w14:paraId="05B0CB7A">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eastAsia="宋体"/>
                <w:bCs/>
                <w:color w:val="auto"/>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r>
              <w:rPr>
                <w:rFonts w:hint="eastAsia" w:ascii="Times New Roman" w:hAnsi="Times New Roman" w:eastAsia="宋体" w:cs="Times New Roman"/>
                <w:b w:val="0"/>
                <w:bCs w:val="0"/>
                <w:color w:val="auto"/>
                <w:spacing w:val="0"/>
                <w:kern w:val="2"/>
                <w:position w:val="0"/>
                <w:sz w:val="21"/>
                <w:szCs w:val="21"/>
                <w:lang w:val="en-US" w:eastAsia="zh-CN"/>
              </w:rPr>
              <w:t>、氯化物</w:t>
            </w:r>
          </w:p>
        </w:tc>
        <w:tc>
          <w:tcPr>
            <w:tcW w:w="1846" w:type="dxa"/>
            <w:vAlign w:val="center"/>
          </w:tcPr>
          <w:p w14:paraId="037122F6">
            <w:pPr>
              <w:jc w:val="center"/>
              <w:rPr>
                <w:rFonts w:hint="eastAsia"/>
                <w:color w:val="auto"/>
                <w:szCs w:val="21"/>
                <w:lang w:eastAsia="zh-CN"/>
              </w:rPr>
            </w:pPr>
            <w:r>
              <w:rPr>
                <w:rFonts w:hint="eastAsia"/>
                <w:b w:val="0"/>
                <w:bCs/>
                <w:color w:val="auto"/>
                <w:sz w:val="21"/>
                <w:szCs w:val="21"/>
                <w:lang w:eastAsia="zh-CN"/>
              </w:rPr>
              <w:t>采用液碱在中和罐进行中和至中性后进入调节池</w:t>
            </w:r>
          </w:p>
        </w:tc>
        <w:tc>
          <w:tcPr>
            <w:tcW w:w="2486" w:type="dxa"/>
            <w:vMerge w:val="continue"/>
            <w:vAlign w:val="center"/>
          </w:tcPr>
          <w:p w14:paraId="36D48F6E">
            <w:pPr>
              <w:pStyle w:val="55"/>
              <w:keepNext w:val="0"/>
              <w:keepLines w:val="0"/>
              <w:pageBreakBefore w:val="0"/>
              <w:kinsoku/>
              <w:wordWrap/>
              <w:overflowPunct/>
              <w:topLinePunct w:val="0"/>
              <w:autoSpaceDE/>
              <w:autoSpaceDN/>
              <w:bidi w:val="0"/>
              <w:spacing w:line="240" w:lineRule="auto"/>
              <w:ind w:left="-105" w:leftChars="-50" w:right="-105" w:rightChars="-50"/>
              <w:rPr>
                <w:rFonts w:hint="default" w:ascii="Times New Roman" w:hAnsi="Times New Roman" w:eastAsia="宋体" w:cs="Times New Roman"/>
                <w:snapToGrid w:val="0"/>
                <w:color w:val="auto"/>
                <w:kern w:val="0"/>
                <w:sz w:val="21"/>
                <w:szCs w:val="21"/>
              </w:rPr>
            </w:pPr>
          </w:p>
        </w:tc>
      </w:tr>
      <w:tr w14:paraId="4916E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vMerge w:val="continue"/>
            <w:vAlign w:val="center"/>
          </w:tcPr>
          <w:p w14:paraId="45AB1BA9">
            <w:pPr>
              <w:adjustRightInd w:val="0"/>
              <w:snapToGrid w:val="0"/>
              <w:jc w:val="center"/>
              <w:rPr>
                <w:rFonts w:hAnsi="宋体"/>
                <w:szCs w:val="21"/>
              </w:rPr>
            </w:pPr>
          </w:p>
        </w:tc>
        <w:tc>
          <w:tcPr>
            <w:tcW w:w="1658" w:type="dxa"/>
            <w:tcBorders>
              <w:bottom w:val="single" w:color="auto" w:sz="4" w:space="0"/>
            </w:tcBorders>
            <w:vAlign w:val="center"/>
          </w:tcPr>
          <w:p w14:paraId="4EF3889A">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cs="Times New Roman"/>
                <w:b w:val="0"/>
                <w:bCs/>
                <w:color w:val="auto"/>
                <w:spacing w:val="0"/>
                <w:kern w:val="2"/>
                <w:position w:val="0"/>
                <w:sz w:val="21"/>
                <w:szCs w:val="21"/>
                <w:lang w:val="en-US" w:eastAsia="zh-CN"/>
              </w:rPr>
            </w:pPr>
            <w:r>
              <w:rPr>
                <w:rFonts w:hint="eastAsia" w:ascii="Times New Roman" w:cs="Times New Roman"/>
                <w:b w:val="0"/>
                <w:bCs/>
                <w:color w:val="auto"/>
                <w:spacing w:val="0"/>
                <w:kern w:val="2"/>
                <w:position w:val="0"/>
                <w:sz w:val="21"/>
                <w:szCs w:val="21"/>
                <w:lang w:val="en-US" w:eastAsia="zh-CN"/>
              </w:rPr>
              <w:t>初期雨水</w:t>
            </w:r>
          </w:p>
        </w:tc>
        <w:tc>
          <w:tcPr>
            <w:tcW w:w="1259" w:type="dxa"/>
            <w:tcBorders>
              <w:bottom w:val="single" w:color="auto" w:sz="4" w:space="0"/>
            </w:tcBorders>
            <w:vAlign w:val="center"/>
          </w:tcPr>
          <w:p w14:paraId="53A464E2">
            <w:pPr>
              <w:pStyle w:val="31"/>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val="0"/>
                <w:bCs w:val="0"/>
                <w:color w:val="auto"/>
                <w:spacing w:val="0"/>
                <w:kern w:val="2"/>
                <w:position w:val="0"/>
                <w:sz w:val="21"/>
                <w:szCs w:val="21"/>
                <w:lang w:val="en-US" w:eastAsia="zh-CN"/>
              </w:rPr>
            </w:pPr>
            <w:r>
              <w:rPr>
                <w:rFonts w:hint="default" w:ascii="Times New Roman" w:hAnsi="Times New Roman" w:eastAsia="宋体" w:cs="Times New Roman"/>
                <w:b w:val="0"/>
                <w:bCs w:val="0"/>
                <w:color w:val="auto"/>
                <w:spacing w:val="0"/>
                <w:kern w:val="2"/>
                <w:position w:val="0"/>
                <w:sz w:val="21"/>
                <w:szCs w:val="21"/>
                <w:lang w:val="en-US" w:eastAsia="zh-CN"/>
              </w:rPr>
              <w:t>COD、SS</w:t>
            </w:r>
          </w:p>
        </w:tc>
        <w:tc>
          <w:tcPr>
            <w:tcW w:w="1846" w:type="dxa"/>
            <w:tcBorders>
              <w:bottom w:val="single" w:color="auto" w:sz="4" w:space="0"/>
            </w:tcBorders>
            <w:vAlign w:val="center"/>
          </w:tcPr>
          <w:p w14:paraId="4FB71942">
            <w:pPr>
              <w:jc w:val="center"/>
              <w:rPr>
                <w:rFonts w:hint="eastAsia"/>
                <w:color w:val="auto"/>
                <w:szCs w:val="21"/>
                <w:lang w:eastAsia="zh-CN"/>
              </w:rPr>
            </w:pPr>
            <w:r>
              <w:rPr>
                <w:rFonts w:hint="eastAsia"/>
                <w:color w:val="auto"/>
                <w:szCs w:val="21"/>
                <w:lang w:val="en-US" w:eastAsia="zh-CN"/>
              </w:rPr>
              <w:t>900m</w:t>
            </w:r>
            <w:r>
              <w:rPr>
                <w:rFonts w:hint="eastAsia"/>
                <w:color w:val="auto"/>
                <w:szCs w:val="21"/>
                <w:vertAlign w:val="superscript"/>
                <w:lang w:val="en-US" w:eastAsia="zh-CN"/>
              </w:rPr>
              <w:t>3</w:t>
            </w:r>
            <w:r>
              <w:rPr>
                <w:rFonts w:hint="eastAsia"/>
                <w:color w:val="auto"/>
                <w:szCs w:val="21"/>
                <w:lang w:eastAsia="zh-CN"/>
              </w:rPr>
              <w:t>事故应急池</w:t>
            </w:r>
          </w:p>
        </w:tc>
        <w:tc>
          <w:tcPr>
            <w:tcW w:w="2486" w:type="dxa"/>
            <w:vMerge w:val="continue"/>
            <w:vAlign w:val="center"/>
          </w:tcPr>
          <w:p w14:paraId="6AC53312">
            <w:pPr>
              <w:pStyle w:val="55"/>
              <w:keepNext w:val="0"/>
              <w:keepLines w:val="0"/>
              <w:pageBreakBefore w:val="0"/>
              <w:kinsoku/>
              <w:wordWrap/>
              <w:overflowPunct/>
              <w:topLinePunct w:val="0"/>
              <w:autoSpaceDE/>
              <w:autoSpaceDN/>
              <w:bidi w:val="0"/>
              <w:spacing w:line="240" w:lineRule="auto"/>
              <w:ind w:left="-105" w:leftChars="-50" w:right="-105" w:rightChars="-50"/>
              <w:rPr>
                <w:rFonts w:hint="eastAsia" w:cs="Times New Roman"/>
                <w:sz w:val="21"/>
                <w:szCs w:val="21"/>
                <w:lang w:eastAsia="zh-CN"/>
              </w:rPr>
            </w:pPr>
          </w:p>
        </w:tc>
      </w:tr>
      <w:tr w14:paraId="47845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552" w:type="dxa"/>
            <w:tcBorders>
              <w:bottom w:val="single" w:color="auto" w:sz="4" w:space="0"/>
            </w:tcBorders>
            <w:vAlign w:val="center"/>
          </w:tcPr>
          <w:p w14:paraId="4D32E71D">
            <w:pPr>
              <w:adjustRightInd w:val="0"/>
              <w:snapToGrid w:val="0"/>
              <w:jc w:val="center"/>
              <w:rPr>
                <w:szCs w:val="21"/>
              </w:rPr>
            </w:pPr>
            <w:r>
              <w:rPr>
                <w:rFonts w:hAnsi="宋体"/>
                <w:szCs w:val="21"/>
              </w:rPr>
              <w:t>声环境</w:t>
            </w:r>
          </w:p>
        </w:tc>
        <w:tc>
          <w:tcPr>
            <w:tcW w:w="1658" w:type="dxa"/>
            <w:tcBorders>
              <w:bottom w:val="single" w:color="auto" w:sz="4" w:space="0"/>
            </w:tcBorders>
            <w:vAlign w:val="center"/>
          </w:tcPr>
          <w:p w14:paraId="0E8291DB">
            <w:pPr>
              <w:adjustRightInd w:val="0"/>
              <w:snapToGrid w:val="0"/>
              <w:jc w:val="center"/>
              <w:rPr>
                <w:kern w:val="0"/>
                <w:szCs w:val="21"/>
              </w:rPr>
            </w:pPr>
            <w:r>
              <w:rPr>
                <w:rFonts w:hint="eastAsia"/>
                <w:kern w:val="0"/>
                <w:szCs w:val="21"/>
              </w:rPr>
              <w:t>生产设备</w:t>
            </w:r>
          </w:p>
        </w:tc>
        <w:tc>
          <w:tcPr>
            <w:tcW w:w="1259" w:type="dxa"/>
            <w:tcBorders>
              <w:bottom w:val="single" w:color="auto" w:sz="4" w:space="0"/>
            </w:tcBorders>
            <w:vAlign w:val="center"/>
          </w:tcPr>
          <w:p w14:paraId="0F137333">
            <w:pPr>
              <w:adjustRightInd w:val="0"/>
              <w:snapToGrid w:val="0"/>
              <w:jc w:val="center"/>
              <w:rPr>
                <w:kern w:val="0"/>
                <w:szCs w:val="21"/>
              </w:rPr>
            </w:pPr>
            <w:r>
              <w:rPr>
                <w:rFonts w:hint="eastAsia"/>
                <w:kern w:val="0"/>
                <w:szCs w:val="21"/>
              </w:rPr>
              <w:t>噪声</w:t>
            </w:r>
          </w:p>
        </w:tc>
        <w:tc>
          <w:tcPr>
            <w:tcW w:w="1846" w:type="dxa"/>
            <w:tcBorders>
              <w:bottom w:val="single" w:color="auto" w:sz="4" w:space="0"/>
            </w:tcBorders>
            <w:vAlign w:val="center"/>
          </w:tcPr>
          <w:p w14:paraId="6939A8E3">
            <w:pPr>
              <w:adjustRightInd w:val="0"/>
              <w:snapToGrid w:val="0"/>
              <w:jc w:val="center"/>
              <w:rPr>
                <w:kern w:val="0"/>
                <w:szCs w:val="21"/>
              </w:rPr>
            </w:pPr>
            <w:r>
              <w:rPr>
                <w:szCs w:val="21"/>
              </w:rPr>
              <w:t>选用低噪声机械设备，采取隔声、减震等措施</w:t>
            </w:r>
          </w:p>
        </w:tc>
        <w:tc>
          <w:tcPr>
            <w:tcW w:w="2486" w:type="dxa"/>
            <w:tcBorders>
              <w:bottom w:val="single" w:color="auto" w:sz="4" w:space="0"/>
            </w:tcBorders>
            <w:vAlign w:val="center"/>
          </w:tcPr>
          <w:p w14:paraId="2E252322">
            <w:pPr>
              <w:adjustRightInd w:val="0"/>
              <w:snapToGrid w:val="0"/>
              <w:jc w:val="center"/>
              <w:rPr>
                <w:kern w:val="0"/>
                <w:szCs w:val="21"/>
              </w:rPr>
            </w:pPr>
            <w:r>
              <w:rPr>
                <w:bCs/>
                <w:szCs w:val="21"/>
              </w:rPr>
              <w:t>《工业企业厂界环境噪声排放标准》（GB12348-2008）中3类标准</w:t>
            </w:r>
          </w:p>
        </w:tc>
      </w:tr>
      <w:tr w14:paraId="0403D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552" w:type="dxa"/>
            <w:vAlign w:val="center"/>
          </w:tcPr>
          <w:p w14:paraId="5AFC9194">
            <w:pPr>
              <w:adjustRightInd w:val="0"/>
              <w:snapToGrid w:val="0"/>
              <w:jc w:val="center"/>
              <w:rPr>
                <w:sz w:val="21"/>
                <w:szCs w:val="21"/>
              </w:rPr>
            </w:pPr>
            <w:r>
              <w:rPr>
                <w:rFonts w:hAnsi="宋体"/>
                <w:sz w:val="21"/>
                <w:szCs w:val="21"/>
              </w:rPr>
              <w:t>固体废物</w:t>
            </w:r>
          </w:p>
        </w:tc>
        <w:tc>
          <w:tcPr>
            <w:tcW w:w="7249" w:type="dxa"/>
            <w:gridSpan w:val="4"/>
            <w:vAlign w:val="center"/>
          </w:tcPr>
          <w:p w14:paraId="157DC3B5">
            <w:pPr>
              <w:adjustRightInd w:val="0"/>
              <w:snapToGrid w:val="0"/>
              <w:jc w:val="center"/>
              <w:rPr>
                <w:kern w:val="0"/>
                <w:sz w:val="21"/>
                <w:szCs w:val="21"/>
              </w:rPr>
            </w:pPr>
            <w:r>
              <w:rPr>
                <w:rFonts w:hAnsi="宋体"/>
                <w:kern w:val="0"/>
                <w:sz w:val="21"/>
                <w:szCs w:val="21"/>
              </w:rPr>
              <w:t>生活垃圾由环卫部门统一清运处理；</w:t>
            </w:r>
            <w:r>
              <w:rPr>
                <w:rFonts w:hint="eastAsia" w:hAnsi="宋体"/>
                <w:kern w:val="0"/>
                <w:sz w:val="21"/>
                <w:szCs w:val="21"/>
                <w:lang w:eastAsia="zh-CN"/>
              </w:rPr>
              <w:t>废铁屑、废分子筛</w:t>
            </w:r>
            <w:r>
              <w:rPr>
                <w:rFonts w:hint="eastAsia" w:hAnsi="宋体"/>
                <w:color w:val="auto"/>
                <w:kern w:val="0"/>
                <w:sz w:val="21"/>
                <w:szCs w:val="21"/>
                <w:lang w:eastAsia="zh-CN"/>
              </w:rPr>
              <w:t>和废离子交换树脂</w:t>
            </w:r>
            <w:r>
              <w:rPr>
                <w:rFonts w:hint="eastAsia"/>
                <w:bCs/>
                <w:color w:val="auto"/>
                <w:sz w:val="21"/>
                <w:szCs w:val="21"/>
                <w:lang w:val="en-US" w:eastAsia="zh-CN"/>
              </w:rPr>
              <w:t>收集后</w:t>
            </w:r>
            <w:r>
              <w:rPr>
                <w:rFonts w:hint="eastAsia"/>
                <w:bCs/>
                <w:color w:val="auto"/>
                <w:sz w:val="21"/>
                <w:szCs w:val="21"/>
                <w:lang w:eastAsia="zh-CN"/>
              </w:rPr>
              <w:t>由物资公司</w:t>
            </w:r>
            <w:r>
              <w:rPr>
                <w:rFonts w:hint="eastAsia"/>
                <w:bCs/>
                <w:color w:val="auto"/>
                <w:sz w:val="21"/>
                <w:szCs w:val="21"/>
              </w:rPr>
              <w:t>回收利用</w:t>
            </w:r>
            <w:r>
              <w:rPr>
                <w:rFonts w:hint="eastAsia"/>
                <w:bCs/>
                <w:color w:val="auto"/>
                <w:sz w:val="21"/>
                <w:szCs w:val="21"/>
                <w:lang w:eastAsia="zh-CN"/>
              </w:rPr>
              <w:t>，除尘灰收集后回用于生产</w:t>
            </w:r>
            <w:r>
              <w:rPr>
                <w:rFonts w:hint="eastAsia" w:hAnsi="宋体"/>
                <w:kern w:val="0"/>
                <w:sz w:val="21"/>
                <w:szCs w:val="21"/>
                <w:lang w:eastAsia="zh-CN"/>
              </w:rPr>
              <w:t>；废机油、废机油桶收集后</w:t>
            </w:r>
            <w:r>
              <w:rPr>
                <w:rFonts w:hint="eastAsia" w:hAnsi="宋体"/>
                <w:kern w:val="0"/>
                <w:sz w:val="21"/>
                <w:szCs w:val="21"/>
              </w:rPr>
              <w:t>暂存危废</w:t>
            </w:r>
            <w:r>
              <w:rPr>
                <w:rFonts w:hint="eastAsia" w:hAnsi="宋体"/>
                <w:kern w:val="0"/>
                <w:sz w:val="21"/>
                <w:szCs w:val="21"/>
                <w:lang w:eastAsia="zh-CN"/>
              </w:rPr>
              <w:t>暂存</w:t>
            </w:r>
            <w:r>
              <w:rPr>
                <w:rFonts w:hint="eastAsia" w:hAnsi="宋体"/>
                <w:kern w:val="0"/>
                <w:sz w:val="21"/>
                <w:szCs w:val="21"/>
              </w:rPr>
              <w:t>间，定期交由有资质公司处置</w:t>
            </w:r>
            <w:r>
              <w:rPr>
                <w:rFonts w:hAnsi="宋体"/>
                <w:kern w:val="0"/>
                <w:sz w:val="21"/>
                <w:szCs w:val="21"/>
              </w:rPr>
              <w:t>。</w:t>
            </w:r>
          </w:p>
        </w:tc>
      </w:tr>
      <w:tr w14:paraId="244A5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552" w:type="dxa"/>
            <w:vAlign w:val="center"/>
          </w:tcPr>
          <w:p w14:paraId="4C1D844F">
            <w:pPr>
              <w:adjustRightInd w:val="0"/>
              <w:snapToGrid w:val="0"/>
              <w:jc w:val="center"/>
              <w:rPr>
                <w:szCs w:val="21"/>
              </w:rPr>
            </w:pPr>
            <w:r>
              <w:rPr>
                <w:rFonts w:hAnsi="宋体"/>
                <w:szCs w:val="21"/>
              </w:rPr>
              <w:t>土壤及地下水</w:t>
            </w:r>
          </w:p>
          <w:p w14:paraId="04FDF943">
            <w:pPr>
              <w:adjustRightInd w:val="0"/>
              <w:snapToGrid w:val="0"/>
              <w:jc w:val="center"/>
              <w:rPr>
                <w:szCs w:val="21"/>
              </w:rPr>
            </w:pPr>
            <w:r>
              <w:rPr>
                <w:rFonts w:hAnsi="宋体"/>
                <w:szCs w:val="21"/>
              </w:rPr>
              <w:t>污染防治措施</w:t>
            </w:r>
          </w:p>
        </w:tc>
        <w:tc>
          <w:tcPr>
            <w:tcW w:w="7249" w:type="dxa"/>
            <w:gridSpan w:val="4"/>
            <w:vAlign w:val="center"/>
          </w:tcPr>
          <w:p w14:paraId="20D58EEE">
            <w:pPr>
              <w:pStyle w:val="6"/>
              <w:keepNext w:val="0"/>
              <w:keepLines w:val="0"/>
              <w:suppressLineNumbers w:val="0"/>
              <w:bidi w:val="0"/>
              <w:spacing w:before="0" w:beforeAutospacing="0" w:after="0" w:afterAutospacing="0" w:line="240" w:lineRule="auto"/>
              <w:ind w:right="0"/>
              <w:jc w:val="center"/>
              <w:rPr>
                <w:rFonts w:hint="eastAsia" w:eastAsia="宋体"/>
                <w:kern w:val="0"/>
                <w:szCs w:val="21"/>
                <w:lang w:eastAsia="zh-CN"/>
              </w:rPr>
            </w:pPr>
            <w:r>
              <w:rPr>
                <w:rFonts w:hint="default" w:ascii="Times New Roman" w:hAnsi="Times New Roman" w:cs="Times New Roman"/>
                <w:color w:val="auto"/>
                <w:kern w:val="21"/>
                <w:szCs w:val="21"/>
              </w:rPr>
              <w:t>按要求设置防渗区域。重点防渗区：主要为</w:t>
            </w:r>
            <w:r>
              <w:rPr>
                <w:rFonts w:ascii="Times New Roman" w:hAnsi="Times New Roman"/>
                <w:color w:val="auto"/>
                <w:sz w:val="21"/>
                <w:szCs w:val="21"/>
              </w:rPr>
              <w:t>危废暂存间</w:t>
            </w:r>
            <w:r>
              <w:rPr>
                <w:rFonts w:hint="eastAsia" w:ascii="Times New Roman" w:hAnsi="Times New Roman"/>
                <w:color w:val="auto"/>
                <w:sz w:val="21"/>
                <w:szCs w:val="21"/>
                <w:lang w:eastAsia="zh-CN"/>
              </w:rPr>
              <w:t>、盐酸储罐区、液碱储罐区、洗滤罐区、二级碱喷淋塔处、污水处理区、事故应急池</w:t>
            </w:r>
            <w:r>
              <w:rPr>
                <w:rFonts w:hint="eastAsia" w:ascii="Times New Roman" w:hAnsi="Times New Roman"/>
                <w:color w:val="000000"/>
                <w:lang w:eastAsia="zh-CN"/>
              </w:rPr>
              <w:t>，</w:t>
            </w:r>
            <w:r>
              <w:rPr>
                <w:rFonts w:hint="eastAsia"/>
                <w:color w:val="000000"/>
                <w:highlight w:val="none"/>
                <w:lang w:eastAsia="zh-CN"/>
              </w:rPr>
              <w:t>要求</w:t>
            </w:r>
            <w:r>
              <w:rPr>
                <w:rFonts w:hint="default" w:ascii="Times New Roman" w:hAnsi="Times New Roman" w:eastAsia="宋体" w:cs="Times New Roman"/>
                <w:b w:val="0"/>
                <w:bCs w:val="0"/>
                <w:color w:val="auto"/>
                <w:spacing w:val="0"/>
                <w:position w:val="0"/>
                <w:sz w:val="21"/>
                <w:szCs w:val="21"/>
                <w:highlight w:val="none"/>
              </w:rPr>
              <w:t>等效黏土防渗层Mb≥6.0m，K≤1.0×10</w:t>
            </w:r>
            <w:r>
              <w:rPr>
                <w:rFonts w:hint="default" w:ascii="Times New Roman" w:hAnsi="Times New Roman" w:eastAsia="宋体" w:cs="Times New Roman"/>
                <w:b w:val="0"/>
                <w:bCs w:val="0"/>
                <w:color w:val="auto"/>
                <w:spacing w:val="0"/>
                <w:position w:val="0"/>
                <w:sz w:val="21"/>
                <w:szCs w:val="21"/>
                <w:highlight w:val="none"/>
                <w:vertAlign w:val="superscript"/>
              </w:rPr>
              <w:t>-7</w:t>
            </w:r>
            <w:r>
              <w:rPr>
                <w:rFonts w:hint="default" w:ascii="Times New Roman" w:hAnsi="Times New Roman" w:eastAsia="宋体" w:cs="Times New Roman"/>
                <w:b w:val="0"/>
                <w:bCs w:val="0"/>
                <w:color w:val="auto"/>
                <w:spacing w:val="0"/>
                <w:position w:val="0"/>
                <w:sz w:val="21"/>
                <w:szCs w:val="21"/>
                <w:highlight w:val="none"/>
              </w:rPr>
              <w:t>cm/s</w:t>
            </w:r>
            <w:r>
              <w:rPr>
                <w:rFonts w:hint="eastAsia" w:cs="Times New Roman"/>
                <w:b w:val="0"/>
                <w:bCs w:val="0"/>
                <w:color w:val="auto"/>
                <w:spacing w:val="0"/>
                <w:position w:val="0"/>
                <w:sz w:val="21"/>
                <w:szCs w:val="21"/>
                <w:highlight w:val="none"/>
                <w:lang w:eastAsia="zh-CN"/>
              </w:rPr>
              <w:t>，</w:t>
            </w:r>
            <w:r>
              <w:rPr>
                <w:bCs/>
                <w:kern w:val="0"/>
                <w:sz w:val="21"/>
                <w:szCs w:val="21"/>
                <w:highlight w:val="none"/>
              </w:rPr>
              <w:t>或参照</w:t>
            </w:r>
            <w:r>
              <w:rPr>
                <w:rFonts w:hint="default" w:ascii="Times New Roman" w:hAnsi="Times New Roman" w:cs="Times New Roman"/>
                <w:color w:val="auto"/>
                <w:kern w:val="21"/>
                <w:szCs w:val="21"/>
                <w:highlight w:val="none"/>
              </w:rPr>
              <w:t>《危险废物填埋污染控制标准》（GB18598-20</w:t>
            </w:r>
            <w:r>
              <w:rPr>
                <w:rFonts w:hint="eastAsia" w:cs="Times New Roman"/>
                <w:color w:val="auto"/>
                <w:kern w:val="21"/>
                <w:szCs w:val="21"/>
                <w:highlight w:val="none"/>
                <w:lang w:val="en-US" w:eastAsia="zh-CN"/>
              </w:rPr>
              <w:t>19</w:t>
            </w:r>
            <w:r>
              <w:rPr>
                <w:rFonts w:hint="default" w:ascii="Times New Roman" w:hAnsi="Times New Roman" w:cs="Times New Roman"/>
                <w:color w:val="auto"/>
                <w:kern w:val="21"/>
                <w:szCs w:val="21"/>
                <w:highlight w:val="none"/>
              </w:rPr>
              <w:t>）</w:t>
            </w:r>
            <w:r>
              <w:rPr>
                <w:bCs/>
                <w:color w:val="auto"/>
                <w:kern w:val="0"/>
                <w:sz w:val="21"/>
                <w:szCs w:val="21"/>
                <w:highlight w:val="none"/>
              </w:rPr>
              <w:t>执行</w:t>
            </w:r>
            <w:r>
              <w:rPr>
                <w:rFonts w:hint="eastAsia" w:cs="Times New Roman"/>
                <w:b w:val="0"/>
                <w:bCs w:val="0"/>
                <w:color w:val="auto"/>
                <w:spacing w:val="0"/>
                <w:position w:val="0"/>
                <w:sz w:val="21"/>
                <w:szCs w:val="21"/>
                <w:lang w:eastAsia="zh-CN"/>
              </w:rPr>
              <w:t>；</w:t>
            </w:r>
            <w:r>
              <w:rPr>
                <w:rFonts w:hint="default" w:ascii="Times New Roman" w:hAnsi="Times New Roman" w:eastAsia="宋体" w:cs="Times New Roman"/>
                <w:color w:val="000000"/>
                <w:kern w:val="0"/>
                <w:sz w:val="21"/>
                <w:szCs w:val="21"/>
                <w:lang w:val="en-US" w:eastAsia="zh-CN" w:bidi="ar"/>
              </w:rPr>
              <w:t>危废暂存间防渗</w:t>
            </w:r>
            <w:r>
              <w:rPr>
                <w:rFonts w:hint="eastAsia" w:eastAsia="宋体" w:cs="Times New Roman"/>
                <w:color w:val="000000"/>
                <w:kern w:val="0"/>
                <w:sz w:val="21"/>
                <w:szCs w:val="21"/>
                <w:lang w:val="en-US" w:eastAsia="zh-CN" w:bidi="ar"/>
              </w:rPr>
              <w:t>执行</w:t>
            </w:r>
            <w:r>
              <w:rPr>
                <w:rFonts w:hint="default" w:ascii="Times New Roman" w:hAnsi="Times New Roman" w:eastAsia="宋体" w:cs="Times New Roman"/>
                <w:bCs/>
                <w:color w:val="auto"/>
                <w:sz w:val="21"/>
                <w:szCs w:val="21"/>
              </w:rPr>
              <w:t>《危险废物贮存污染控制标准》（GB18597-20</w:t>
            </w:r>
            <w:r>
              <w:rPr>
                <w:rFonts w:hint="default" w:ascii="Times New Roman" w:hAnsi="Times New Roman" w:eastAsia="宋体" w:cs="Times New Roman"/>
                <w:bCs/>
                <w:color w:val="auto"/>
                <w:sz w:val="21"/>
                <w:szCs w:val="21"/>
                <w:lang w:val="en-US" w:eastAsia="zh-CN"/>
              </w:rPr>
              <w:t>23</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000000"/>
                <w:kern w:val="0"/>
                <w:sz w:val="21"/>
                <w:szCs w:val="21"/>
                <w:lang w:val="en-US" w:eastAsia="zh-CN" w:bidi="ar"/>
              </w:rPr>
              <w:t>要求</w:t>
            </w:r>
            <w:r>
              <w:rPr>
                <w:rFonts w:hint="default" w:ascii="Times New Roman" w:hAnsi="Times New Roman" w:eastAsia="宋体" w:cs="Times New Roman"/>
                <w:b w:val="0"/>
                <w:bCs w:val="0"/>
                <w:color w:val="auto"/>
                <w:spacing w:val="0"/>
                <w:position w:val="0"/>
                <w:sz w:val="21"/>
                <w:szCs w:val="21"/>
              </w:rPr>
              <w:t>。</w:t>
            </w:r>
            <w:r>
              <w:rPr>
                <w:rFonts w:hint="default" w:ascii="Times New Roman" w:hAnsi="Times New Roman" w:cs="Times New Roman"/>
                <w:color w:val="auto"/>
                <w:kern w:val="21"/>
                <w:szCs w:val="21"/>
              </w:rPr>
              <w:t>一般防渗区：主要为</w:t>
            </w:r>
            <w:r>
              <w:rPr>
                <w:rFonts w:hint="eastAsia" w:cs="Times New Roman"/>
                <w:color w:val="auto"/>
                <w:kern w:val="21"/>
                <w:szCs w:val="21"/>
                <w:lang w:eastAsia="zh-CN"/>
              </w:rPr>
              <w:t>生产车间其他区域、隔油池、化粪池，</w:t>
            </w:r>
            <w:r>
              <w:rPr>
                <w:rFonts w:hint="default" w:ascii="Times New Roman" w:hAnsi="Times New Roman" w:cs="Times New Roman"/>
                <w:color w:val="auto"/>
                <w:kern w:val="21"/>
                <w:szCs w:val="21"/>
              </w:rPr>
              <w:t>要求等效粘土防渗Mb≥1.5m，渗透系数K≤10</w:t>
            </w:r>
            <w:r>
              <w:rPr>
                <w:rFonts w:hint="default" w:ascii="Times New Roman" w:hAnsi="Times New Roman" w:cs="Times New Roman"/>
                <w:color w:val="auto"/>
                <w:kern w:val="21"/>
                <w:szCs w:val="21"/>
                <w:vertAlign w:val="superscript"/>
              </w:rPr>
              <w:t>-7</w:t>
            </w:r>
            <w:r>
              <w:rPr>
                <w:rFonts w:hint="default" w:ascii="Times New Roman" w:hAnsi="Times New Roman" w:cs="Times New Roman"/>
                <w:color w:val="auto"/>
                <w:kern w:val="21"/>
                <w:szCs w:val="21"/>
              </w:rPr>
              <w:t>cm/s。</w:t>
            </w:r>
            <w:r>
              <w:rPr>
                <w:rFonts w:hint="eastAsia" w:cs="Times New Roman"/>
                <w:color w:val="auto"/>
                <w:kern w:val="21"/>
                <w:szCs w:val="21"/>
                <w:lang w:eastAsia="zh-CN"/>
              </w:rPr>
              <w:t>简单防渗区：主要为厂区内道路区域、办公楼、食堂宿舍等，要求一般地面硬化。</w:t>
            </w:r>
          </w:p>
        </w:tc>
      </w:tr>
      <w:tr w14:paraId="6D2B2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552" w:type="dxa"/>
            <w:vAlign w:val="center"/>
          </w:tcPr>
          <w:p w14:paraId="35C5C395">
            <w:pPr>
              <w:adjustRightInd w:val="0"/>
              <w:snapToGrid w:val="0"/>
              <w:jc w:val="center"/>
              <w:rPr>
                <w:szCs w:val="21"/>
              </w:rPr>
            </w:pPr>
            <w:r>
              <w:rPr>
                <w:rFonts w:hAnsi="宋体"/>
                <w:szCs w:val="21"/>
              </w:rPr>
              <w:t>生态保护措施</w:t>
            </w:r>
          </w:p>
        </w:tc>
        <w:tc>
          <w:tcPr>
            <w:tcW w:w="7249" w:type="dxa"/>
            <w:gridSpan w:val="4"/>
            <w:vAlign w:val="center"/>
          </w:tcPr>
          <w:p w14:paraId="74D6A22D">
            <w:pPr>
              <w:adjustRightInd w:val="0"/>
              <w:snapToGrid w:val="0"/>
              <w:jc w:val="center"/>
              <w:rPr>
                <w:rFonts w:hint="eastAsia" w:eastAsia="宋体"/>
                <w:kern w:val="0"/>
                <w:szCs w:val="21"/>
                <w:lang w:eastAsia="zh-CN"/>
              </w:rPr>
            </w:pPr>
            <w:r>
              <w:rPr>
                <w:rFonts w:hint="eastAsia" w:hAnsi="宋体"/>
                <w:kern w:val="0"/>
                <w:szCs w:val="21"/>
                <w:lang w:val="en-US" w:eastAsia="zh-CN"/>
              </w:rPr>
              <w:t>/</w:t>
            </w:r>
          </w:p>
        </w:tc>
      </w:tr>
      <w:tr w14:paraId="7034D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552" w:type="dxa"/>
            <w:vAlign w:val="center"/>
          </w:tcPr>
          <w:p w14:paraId="6B3998DA">
            <w:pPr>
              <w:adjustRightInd w:val="0"/>
              <w:snapToGrid w:val="0"/>
              <w:jc w:val="center"/>
              <w:rPr>
                <w:color w:val="auto"/>
                <w:spacing w:val="-8"/>
                <w:szCs w:val="21"/>
              </w:rPr>
            </w:pPr>
            <w:r>
              <w:rPr>
                <w:rFonts w:hAnsi="宋体"/>
                <w:color w:val="auto"/>
                <w:spacing w:val="-8"/>
                <w:szCs w:val="21"/>
              </w:rPr>
              <w:t>环境风险</w:t>
            </w:r>
          </w:p>
          <w:p w14:paraId="71C547A3">
            <w:pPr>
              <w:adjustRightInd w:val="0"/>
              <w:snapToGrid w:val="0"/>
              <w:jc w:val="center"/>
              <w:rPr>
                <w:color w:val="auto"/>
                <w:spacing w:val="-8"/>
                <w:szCs w:val="21"/>
              </w:rPr>
            </w:pPr>
            <w:r>
              <w:rPr>
                <w:rFonts w:hAnsi="宋体"/>
                <w:color w:val="auto"/>
                <w:spacing w:val="-8"/>
                <w:szCs w:val="21"/>
              </w:rPr>
              <w:t>防范措施</w:t>
            </w:r>
          </w:p>
        </w:tc>
        <w:tc>
          <w:tcPr>
            <w:tcW w:w="7249" w:type="dxa"/>
            <w:gridSpan w:val="4"/>
            <w:vAlign w:val="center"/>
          </w:tcPr>
          <w:p w14:paraId="6058D11B">
            <w:pPr>
              <w:keepNext w:val="0"/>
              <w:keepLines w:val="0"/>
              <w:widowControl/>
              <w:suppressLineNumbers w:val="0"/>
              <w:spacing w:line="240" w:lineRule="auto"/>
              <w:jc w:val="both"/>
              <w:rPr>
                <w:color w:val="auto"/>
                <w:kern w:val="0"/>
                <w:szCs w:val="21"/>
              </w:rPr>
            </w:pPr>
            <w:r>
              <w:rPr>
                <w:rFonts w:hint="eastAsia" w:ascii="Times New Roman" w:hAnsi="Times New Roman"/>
                <w:color w:val="auto"/>
                <w:sz w:val="21"/>
                <w:szCs w:val="21"/>
                <w:lang w:eastAsia="zh-CN"/>
              </w:rPr>
              <w:t>编制</w:t>
            </w:r>
            <w:r>
              <w:rPr>
                <w:rFonts w:ascii="Times New Roman" w:hAnsi="Times New Roman"/>
                <w:color w:val="auto"/>
                <w:sz w:val="21"/>
                <w:szCs w:val="21"/>
              </w:rPr>
              <w:t>应急预案</w:t>
            </w:r>
            <w:r>
              <w:rPr>
                <w:rFonts w:hint="eastAsia" w:ascii="Times New Roman" w:hAnsi="Times New Roman"/>
                <w:color w:val="auto"/>
                <w:sz w:val="21"/>
                <w:szCs w:val="21"/>
                <w:lang w:eastAsia="zh-CN"/>
              </w:rPr>
              <w:t>；</w:t>
            </w:r>
            <w:r>
              <w:rPr>
                <w:rFonts w:ascii="Times New Roman" w:hAnsi="Times New Roman"/>
                <w:color w:val="auto"/>
                <w:sz w:val="21"/>
                <w:szCs w:val="21"/>
              </w:rPr>
              <w:t>危废暂存间</w:t>
            </w:r>
            <w:r>
              <w:rPr>
                <w:rFonts w:hint="eastAsia" w:ascii="Times New Roman" w:hAnsi="Times New Roman"/>
                <w:color w:val="auto"/>
                <w:sz w:val="21"/>
                <w:szCs w:val="21"/>
                <w:lang w:eastAsia="zh-CN"/>
              </w:rPr>
              <w:t>、盐酸储罐区、液碱储罐区、洗滤罐区、二级碱喷淋塔处、污水处理区、事故应急池等</w:t>
            </w:r>
            <w:r>
              <w:rPr>
                <w:rFonts w:ascii="Times New Roman" w:hAnsi="Times New Roman"/>
                <w:color w:val="auto"/>
                <w:sz w:val="21"/>
                <w:szCs w:val="21"/>
              </w:rPr>
              <w:t>做重点防渗</w:t>
            </w:r>
            <w:r>
              <w:rPr>
                <w:rFonts w:hint="eastAsia" w:ascii="Times New Roman" w:hAnsi="Times New Roman"/>
                <w:color w:val="auto"/>
                <w:sz w:val="21"/>
                <w:szCs w:val="21"/>
                <w:lang w:eastAsia="zh-CN"/>
              </w:rPr>
              <w:t>；盐酸储罐区、液碱储罐区设置围堰；设置事故应急池；</w:t>
            </w:r>
            <w:r>
              <w:rPr>
                <w:rFonts w:ascii="Times New Roman" w:hAnsi="Times New Roman"/>
                <w:color w:val="auto"/>
                <w:sz w:val="21"/>
                <w:szCs w:val="21"/>
              </w:rPr>
              <w:t>加强员工操作管理</w:t>
            </w:r>
          </w:p>
        </w:tc>
      </w:tr>
      <w:tr w14:paraId="0F2A1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6" w:hRule="atLeast"/>
          <w:jc w:val="center"/>
        </w:trPr>
        <w:tc>
          <w:tcPr>
            <w:tcW w:w="1552" w:type="dxa"/>
            <w:vAlign w:val="center"/>
          </w:tcPr>
          <w:p w14:paraId="61747FA7">
            <w:pPr>
              <w:adjustRightInd w:val="0"/>
              <w:snapToGrid w:val="0"/>
              <w:jc w:val="center"/>
              <w:rPr>
                <w:spacing w:val="-8"/>
                <w:szCs w:val="21"/>
              </w:rPr>
            </w:pPr>
            <w:r>
              <w:rPr>
                <w:rFonts w:hAnsi="宋体"/>
                <w:spacing w:val="-8"/>
                <w:szCs w:val="21"/>
              </w:rPr>
              <w:t>其他环境</w:t>
            </w:r>
          </w:p>
          <w:p w14:paraId="58D5503A">
            <w:pPr>
              <w:adjustRightInd w:val="0"/>
              <w:snapToGrid w:val="0"/>
              <w:jc w:val="center"/>
              <w:rPr>
                <w:rFonts w:hAnsi="宋体"/>
                <w:spacing w:val="-8"/>
                <w:szCs w:val="21"/>
              </w:rPr>
            </w:pPr>
            <w:r>
              <w:rPr>
                <w:rFonts w:hAnsi="宋体"/>
                <w:spacing w:val="-8"/>
                <w:szCs w:val="21"/>
              </w:rPr>
              <w:t>管理要求</w:t>
            </w:r>
          </w:p>
        </w:tc>
        <w:tc>
          <w:tcPr>
            <w:tcW w:w="7249" w:type="dxa"/>
            <w:gridSpan w:val="4"/>
            <w:vAlign w:val="center"/>
          </w:tcPr>
          <w:p w14:paraId="31ABA8E3">
            <w:pPr>
              <w:keepNext w:val="0"/>
              <w:keepLines w:val="0"/>
              <w:pageBreakBefore w:val="0"/>
              <w:widowControl w:val="0"/>
              <w:kinsoku/>
              <w:wordWrap/>
              <w:overflowPunct/>
              <w:topLinePunct w:val="0"/>
              <w:autoSpaceDE/>
              <w:autoSpaceDN/>
              <w:bidi w:val="0"/>
              <w:snapToGrid w:val="0"/>
              <w:spacing w:line="240" w:lineRule="auto"/>
              <w:jc w:val="both"/>
              <w:textAlignment w:val="auto"/>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①要求建设单位按照《关于开展排放口规范化整治工作的通知》（环发〔1999〕24号）和《排污口规范化整治技术要求（试行）》（环监〔1996〕470号）等文件要求，进行新增排污口规范化设置工作。</w:t>
            </w:r>
          </w:p>
          <w:p w14:paraId="536F5C7D">
            <w:pPr>
              <w:adjustRightInd w:val="0"/>
              <w:snapToGrid w:val="0"/>
              <w:spacing w:line="240" w:lineRule="auto"/>
              <w:jc w:val="both"/>
              <w:rPr>
                <w:rFonts w:hint="eastAsia" w:ascii="Times New Roman" w:hAnsi="Times New Roman" w:eastAsia="宋体"/>
                <w:color w:val="FF0000"/>
                <w:sz w:val="21"/>
                <w:szCs w:val="21"/>
                <w:lang w:val="en-US" w:eastAsia="zh-CN"/>
              </w:rPr>
            </w:pPr>
            <w:r>
              <w:rPr>
                <w:rFonts w:hint="default" w:ascii="Times New Roman" w:hAnsi="Times New Roman" w:cs="Times New Roman"/>
                <w:color w:val="auto"/>
                <w:spacing w:val="-8"/>
                <w:szCs w:val="21"/>
              </w:rPr>
              <w:t>②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三同时”落实情况，编制竣工环境保护验收报告。</w:t>
            </w:r>
            <w:r>
              <w:rPr>
                <w:rFonts w:hint="eastAsia" w:cs="Times New Roman"/>
                <w:color w:val="auto"/>
                <w:spacing w:val="-8"/>
                <w:szCs w:val="21"/>
                <w:lang w:val="en-US" w:eastAsia="zh-CN"/>
              </w:rPr>
              <w:t xml:space="preserve"> </w:t>
            </w:r>
          </w:p>
        </w:tc>
      </w:tr>
    </w:tbl>
    <w:p w14:paraId="48473CB1">
      <w:pPr>
        <w:pStyle w:val="24"/>
        <w:numPr>
          <w:ilvl w:val="0"/>
          <w:numId w:val="0"/>
        </w:numPr>
        <w:jc w:val="center"/>
        <w:rPr>
          <w:rFonts w:hint="eastAsia"/>
          <w:snapToGrid w:val="0"/>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 w:name="_Toc19667"/>
    </w:p>
    <w:p w14:paraId="04567DB6">
      <w:pPr>
        <w:pStyle w:val="24"/>
        <w:numPr>
          <w:ilvl w:val="0"/>
          <w:numId w:val="0"/>
        </w:numPr>
        <w:jc w:val="center"/>
        <w:rPr>
          <w:rFonts w:hint="eastAsia"/>
          <w:snapToGrid w:val="0"/>
        </w:rPr>
      </w:pPr>
      <w:r>
        <w:rPr>
          <w:rFonts w:hint="eastAsia"/>
          <w:snapToGrid w:val="0"/>
          <w:lang w:eastAsia="zh-CN"/>
        </w:rPr>
        <w:t>六、</w:t>
      </w:r>
      <w:r>
        <w:rPr>
          <w:rFonts w:hint="eastAsia"/>
          <w:snapToGrid w:val="0"/>
        </w:rPr>
        <w:t>结论</w:t>
      </w:r>
      <w:bookmarkEnd w:id="6"/>
    </w:p>
    <w:tbl>
      <w:tblPr>
        <w:tblStyle w:val="25"/>
        <w:tblW w:w="88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54"/>
      </w:tblGrid>
      <w:tr w14:paraId="0719C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9" w:hRule="atLeast"/>
          <w:jc w:val="center"/>
        </w:trPr>
        <w:tc>
          <w:tcPr>
            <w:tcW w:w="8854" w:type="dxa"/>
          </w:tcPr>
          <w:p w14:paraId="31B582C3">
            <w:pPr>
              <w:spacing w:line="360" w:lineRule="auto"/>
              <w:ind w:firstLine="480" w:firstLineChars="200"/>
              <w:rPr>
                <w:snapToGrid w:val="0"/>
                <w:sz w:val="24"/>
              </w:rPr>
            </w:pPr>
            <w:r>
              <w:rPr>
                <w:rFonts w:hint="eastAsia" w:cs="宋体"/>
                <w:kern w:val="0"/>
                <w:sz w:val="24"/>
                <w:szCs w:val="24"/>
              </w:rPr>
              <w:t>本项目符合国家产业政策、环保政策和法规和有关技术规范的要求。本项目在采用本评价推荐的各项污染防治措施</w:t>
            </w:r>
            <w:r>
              <w:rPr>
                <w:rFonts w:hint="eastAsia" w:cs="宋体"/>
                <w:kern w:val="0"/>
                <w:sz w:val="24"/>
                <w:szCs w:val="24"/>
                <w:lang w:eastAsia="zh-CN"/>
              </w:rPr>
              <w:t>的前提下</w:t>
            </w:r>
            <w:r>
              <w:rPr>
                <w:rFonts w:hint="eastAsia" w:cs="宋体"/>
                <w:kern w:val="0"/>
                <w:sz w:val="24"/>
                <w:szCs w:val="24"/>
              </w:rPr>
              <w:t>，各项污染物均可实现达标排放，且不会降低评价区域原有环境质量功能级别。建设单位应认真贯彻落实建设项目“三同时”制度，将各项环保措施落实到位，在严格执行各项环保措施特别是做好噪声、废气、废水、固废的防治措施的前提下，从环境</w:t>
            </w:r>
            <w:r>
              <w:rPr>
                <w:rFonts w:hint="eastAsia" w:cs="宋体"/>
                <w:kern w:val="0"/>
                <w:sz w:val="24"/>
                <w:szCs w:val="24"/>
                <w:lang w:eastAsia="zh-CN"/>
              </w:rPr>
              <w:t>影响</w:t>
            </w:r>
            <w:r>
              <w:rPr>
                <w:rFonts w:hint="eastAsia" w:cs="宋体"/>
                <w:kern w:val="0"/>
                <w:sz w:val="24"/>
                <w:szCs w:val="24"/>
              </w:rPr>
              <w:t>角度而言，该项目建设可行。</w:t>
            </w:r>
          </w:p>
          <w:p w14:paraId="38E8C9DE">
            <w:pPr>
              <w:adjustRightInd w:val="0"/>
              <w:snapToGrid w:val="0"/>
              <w:ind w:firstLine="315"/>
              <w:rPr>
                <w:szCs w:val="21"/>
              </w:rPr>
            </w:pPr>
          </w:p>
        </w:tc>
      </w:tr>
    </w:tbl>
    <w:p w14:paraId="09801CD8">
      <w:pPr>
        <w:jc w:val="left"/>
        <w:rPr>
          <w:rFonts w:hint="eastAsia"/>
          <w:b/>
          <w:bCs/>
          <w:sz w:val="24"/>
          <w:szCs w:val="24"/>
        </w:rPr>
        <w:sectPr>
          <w:pgSz w:w="11906" w:h="16838"/>
          <w:pgMar w:top="1440" w:right="1800" w:bottom="1440" w:left="1800" w:header="851" w:footer="992" w:gutter="0"/>
          <w:cols w:space="425" w:num="1"/>
          <w:docGrid w:type="lines" w:linePitch="312" w:charSpace="0"/>
        </w:sectPr>
      </w:pPr>
    </w:p>
    <w:p w14:paraId="3D2B9E91">
      <w:pPr>
        <w:pStyle w:val="31"/>
        <w:keepNext w:val="0"/>
        <w:keepLines w:val="0"/>
        <w:pageBreakBefore w:val="0"/>
        <w:widowControl w:val="0"/>
        <w:kinsoku/>
        <w:wordWrap/>
        <w:overflowPunct/>
        <w:topLinePunct w:val="0"/>
        <w:bidi w:val="0"/>
        <w:snapToGrid/>
        <w:spacing w:line="240" w:lineRule="atLeast"/>
        <w:jc w:val="both"/>
        <w:textAlignment w:val="auto"/>
        <w:rPr>
          <w:rFonts w:ascii="宋体" w:hAnsi="宋体" w:cs="黑体"/>
          <w:b/>
          <w:color w:val="auto"/>
          <w:sz w:val="32"/>
          <w:szCs w:val="32"/>
        </w:rPr>
      </w:pPr>
      <w:r>
        <w:rPr>
          <w:rFonts w:ascii="宋体" w:hAnsi="宋体" w:cs="黑体"/>
          <w:b/>
          <w:color w:val="auto"/>
          <w:sz w:val="32"/>
          <w:szCs w:val="32"/>
        </w:rPr>
        <w:t>附表</w:t>
      </w:r>
    </w:p>
    <w:p w14:paraId="4721D32B">
      <w:pPr>
        <w:pStyle w:val="54"/>
        <w:keepNext w:val="0"/>
        <w:keepLines w:val="0"/>
        <w:pageBreakBefore w:val="0"/>
        <w:widowControl w:val="0"/>
        <w:kinsoku/>
        <w:wordWrap/>
        <w:overflowPunct/>
        <w:topLinePunct w:val="0"/>
        <w:autoSpaceDE/>
        <w:autoSpaceDN/>
        <w:bidi w:val="0"/>
        <w:adjustRightInd/>
        <w:snapToGrid/>
        <w:spacing w:line="240" w:lineRule="atLeast"/>
        <w:ind w:left="0"/>
        <w:textAlignment w:val="auto"/>
        <w:rPr>
          <w:rFonts w:hint="eastAsia"/>
          <w:snapToGrid w:val="0"/>
          <w:color w:val="auto"/>
          <w:sz w:val="32"/>
          <w:szCs w:val="32"/>
        </w:rPr>
      </w:pPr>
      <w:r>
        <w:rPr>
          <w:rFonts w:hint="eastAsia"/>
          <w:snapToGrid w:val="0"/>
          <w:color w:val="auto"/>
          <w:sz w:val="32"/>
          <w:szCs w:val="32"/>
        </w:rPr>
        <w:t>建设项目污染物排放量汇总表</w:t>
      </w:r>
      <w:r>
        <w:rPr>
          <w:rFonts w:hint="default" w:ascii="Times New Roman" w:hAnsi="Times New Roman" w:eastAsia="宋体" w:cs="Times New Roman"/>
          <w:b/>
          <w:bCs/>
          <w:color w:val="auto"/>
          <w:sz w:val="38"/>
          <w:szCs w:val="38"/>
          <w:lang w:val="en-US" w:eastAsia="zh-CN"/>
        </w:rPr>
        <w:t xml:space="preserve">  </w:t>
      </w:r>
      <w:r>
        <w:rPr>
          <w:rFonts w:hint="default" w:ascii="Times New Roman" w:hAnsi="Times New Roman" w:eastAsia="宋体" w:cs="Times New Roman"/>
          <w:b/>
          <w:bCs/>
          <w:color w:val="auto"/>
          <w:sz w:val="21"/>
          <w:szCs w:val="21"/>
          <w:lang w:val="en-US" w:eastAsia="zh-CN"/>
        </w:rPr>
        <w:t>单位：t/a</w:t>
      </w:r>
    </w:p>
    <w:tbl>
      <w:tblPr>
        <w:tblStyle w:val="2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939"/>
        <w:gridCol w:w="1470"/>
        <w:gridCol w:w="1230"/>
        <w:gridCol w:w="1590"/>
        <w:gridCol w:w="1425"/>
        <w:gridCol w:w="1381"/>
        <w:gridCol w:w="1950"/>
        <w:gridCol w:w="1215"/>
      </w:tblGrid>
      <w:tr w14:paraId="0885B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l2br w:val="single" w:color="auto" w:sz="4" w:space="0"/>
            </w:tcBorders>
            <w:tcMar>
              <w:left w:w="28" w:type="dxa"/>
              <w:right w:w="28" w:type="dxa"/>
            </w:tcMar>
            <w:vAlign w:val="center"/>
          </w:tcPr>
          <w:p w14:paraId="10E4D709">
            <w:pPr>
              <w:pStyle w:val="50"/>
              <w:keepNext w:val="0"/>
              <w:keepLines w:val="0"/>
              <w:pageBreakBefore w:val="0"/>
              <w:kinsoku/>
              <w:wordWrap/>
              <w:overflowPunct/>
              <w:topLinePunct w:val="0"/>
              <w:autoSpaceDE/>
              <w:autoSpaceDN/>
              <w:bidi w:val="0"/>
              <w:spacing w:line="240" w:lineRule="auto"/>
              <w:jc w:val="right"/>
              <w:rPr>
                <w:rFonts w:eastAsia="宋体"/>
                <w:snapToGrid w:val="0"/>
                <w:color w:val="auto"/>
                <w:spacing w:val="-6"/>
                <w:kern w:val="21"/>
                <w:sz w:val="21"/>
                <w:szCs w:val="21"/>
              </w:rPr>
            </w:pPr>
            <w:r>
              <w:rPr>
                <w:rFonts w:hAnsi="宋体" w:eastAsia="宋体"/>
                <w:snapToGrid w:val="0"/>
                <w:color w:val="auto"/>
                <w:spacing w:val="-6"/>
                <w:kern w:val="21"/>
                <w:sz w:val="21"/>
                <w:szCs w:val="21"/>
              </w:rPr>
              <w:t>项目</w:t>
            </w:r>
          </w:p>
          <w:p w14:paraId="7CD01207">
            <w:pPr>
              <w:pStyle w:val="50"/>
              <w:keepNext w:val="0"/>
              <w:keepLines w:val="0"/>
              <w:pageBreakBefore w:val="0"/>
              <w:kinsoku/>
              <w:wordWrap/>
              <w:overflowPunct/>
              <w:topLinePunct w:val="0"/>
              <w:autoSpaceDE/>
              <w:autoSpaceDN/>
              <w:bidi w:val="0"/>
              <w:spacing w:line="240" w:lineRule="auto"/>
              <w:jc w:val="left"/>
              <w:rPr>
                <w:rFonts w:eastAsia="宋体"/>
                <w:snapToGrid w:val="0"/>
                <w:color w:val="auto"/>
                <w:spacing w:val="-6"/>
                <w:kern w:val="21"/>
                <w:sz w:val="21"/>
                <w:szCs w:val="21"/>
              </w:rPr>
            </w:pPr>
            <w:r>
              <w:rPr>
                <w:rFonts w:hAnsi="宋体" w:eastAsia="宋体"/>
                <w:snapToGrid w:val="0"/>
                <w:color w:val="auto"/>
                <w:spacing w:val="-6"/>
                <w:kern w:val="21"/>
                <w:sz w:val="21"/>
                <w:szCs w:val="21"/>
              </w:rPr>
              <w:t>分类</w:t>
            </w:r>
          </w:p>
        </w:tc>
        <w:tc>
          <w:tcPr>
            <w:tcW w:w="1939" w:type="dxa"/>
            <w:tcMar>
              <w:left w:w="28" w:type="dxa"/>
              <w:right w:w="28" w:type="dxa"/>
            </w:tcMar>
            <w:vAlign w:val="center"/>
          </w:tcPr>
          <w:p w14:paraId="0977F470">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污染物名称</w:t>
            </w:r>
          </w:p>
        </w:tc>
        <w:tc>
          <w:tcPr>
            <w:tcW w:w="1470" w:type="dxa"/>
            <w:tcMar>
              <w:left w:w="28" w:type="dxa"/>
              <w:right w:w="28" w:type="dxa"/>
            </w:tcMar>
            <w:vAlign w:val="center"/>
          </w:tcPr>
          <w:p w14:paraId="078AA7F8">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现有工程</w:t>
            </w:r>
          </w:p>
          <w:p w14:paraId="3025500E">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排放量（固体废物产生量）</w:t>
            </w:r>
            <w:r>
              <w:rPr>
                <w:rFonts w:eastAsia="宋体"/>
                <w:snapToGrid w:val="0"/>
                <w:color w:val="auto"/>
                <w:spacing w:val="-6"/>
                <w:kern w:val="21"/>
                <w:sz w:val="21"/>
                <w:szCs w:val="21"/>
              </w:rPr>
              <w:fldChar w:fldCharType="begin"/>
            </w:r>
            <w:r>
              <w:rPr>
                <w:rFonts w:eastAsia="宋体"/>
                <w:snapToGrid w:val="0"/>
                <w:color w:val="auto"/>
                <w:spacing w:val="-6"/>
                <w:kern w:val="21"/>
                <w:sz w:val="21"/>
                <w:szCs w:val="21"/>
              </w:rPr>
              <w:instrText xml:space="preserve"> = 1 \* GB3 \* MERGEFORMAT </w:instrText>
            </w:r>
            <w:r>
              <w:rPr>
                <w:rFonts w:eastAsia="宋体"/>
                <w:snapToGrid w:val="0"/>
                <w:color w:val="auto"/>
                <w:spacing w:val="-6"/>
                <w:kern w:val="21"/>
                <w:sz w:val="21"/>
                <w:szCs w:val="21"/>
              </w:rPr>
              <w:fldChar w:fldCharType="separate"/>
            </w:r>
            <w:r>
              <w:rPr>
                <w:rFonts w:ascii="宋体" w:hAnsi="宋体" w:eastAsia="宋体"/>
                <w:color w:val="auto"/>
                <w:sz w:val="21"/>
                <w:szCs w:val="21"/>
              </w:rPr>
              <w:t>①</w:t>
            </w:r>
            <w:r>
              <w:rPr>
                <w:rFonts w:eastAsia="宋体"/>
                <w:snapToGrid w:val="0"/>
                <w:color w:val="auto"/>
                <w:spacing w:val="-6"/>
                <w:kern w:val="21"/>
                <w:sz w:val="21"/>
                <w:szCs w:val="21"/>
              </w:rPr>
              <w:fldChar w:fldCharType="end"/>
            </w:r>
          </w:p>
        </w:tc>
        <w:tc>
          <w:tcPr>
            <w:tcW w:w="1230" w:type="dxa"/>
            <w:tcMar>
              <w:left w:w="28" w:type="dxa"/>
              <w:right w:w="28" w:type="dxa"/>
            </w:tcMar>
            <w:vAlign w:val="center"/>
          </w:tcPr>
          <w:p w14:paraId="69D01C94">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现有工程</w:t>
            </w:r>
          </w:p>
          <w:p w14:paraId="4796D69D">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许可排放量</w:t>
            </w:r>
          </w:p>
          <w:p w14:paraId="50842052">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eastAsia="宋体"/>
                <w:snapToGrid w:val="0"/>
                <w:color w:val="auto"/>
                <w:spacing w:val="-6"/>
                <w:kern w:val="21"/>
                <w:sz w:val="21"/>
                <w:szCs w:val="21"/>
              </w:rPr>
              <w:fldChar w:fldCharType="begin"/>
            </w:r>
            <w:r>
              <w:rPr>
                <w:rFonts w:eastAsia="宋体"/>
                <w:snapToGrid w:val="0"/>
                <w:color w:val="auto"/>
                <w:spacing w:val="-6"/>
                <w:kern w:val="21"/>
                <w:sz w:val="21"/>
                <w:szCs w:val="21"/>
              </w:rPr>
              <w:instrText xml:space="preserve"> = 2 \* GB3 \* MERGEFORMAT </w:instrText>
            </w:r>
            <w:r>
              <w:rPr>
                <w:rFonts w:eastAsia="宋体"/>
                <w:snapToGrid w:val="0"/>
                <w:color w:val="auto"/>
                <w:spacing w:val="-6"/>
                <w:kern w:val="21"/>
                <w:sz w:val="21"/>
                <w:szCs w:val="21"/>
              </w:rPr>
              <w:fldChar w:fldCharType="separate"/>
            </w:r>
            <w:r>
              <w:rPr>
                <w:rFonts w:ascii="宋体" w:hAnsi="宋体" w:eastAsia="宋体"/>
                <w:snapToGrid w:val="0"/>
                <w:color w:val="auto"/>
                <w:spacing w:val="-6"/>
                <w:kern w:val="21"/>
                <w:sz w:val="21"/>
                <w:szCs w:val="21"/>
              </w:rPr>
              <w:t>②</w:t>
            </w:r>
            <w:r>
              <w:rPr>
                <w:rFonts w:eastAsia="宋体"/>
                <w:snapToGrid w:val="0"/>
                <w:color w:val="auto"/>
                <w:spacing w:val="-6"/>
                <w:kern w:val="21"/>
                <w:sz w:val="21"/>
                <w:szCs w:val="21"/>
              </w:rPr>
              <w:fldChar w:fldCharType="end"/>
            </w:r>
          </w:p>
        </w:tc>
        <w:tc>
          <w:tcPr>
            <w:tcW w:w="1590" w:type="dxa"/>
            <w:tcMar>
              <w:left w:w="28" w:type="dxa"/>
              <w:right w:w="28" w:type="dxa"/>
            </w:tcMar>
            <w:vAlign w:val="center"/>
          </w:tcPr>
          <w:p w14:paraId="3BCB9F6A">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在建工程</w:t>
            </w:r>
          </w:p>
          <w:p w14:paraId="2D06F5A6">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排放量（固体废物产生量）</w:t>
            </w:r>
            <w:r>
              <w:rPr>
                <w:rFonts w:eastAsia="宋体"/>
                <w:snapToGrid w:val="0"/>
                <w:color w:val="auto"/>
                <w:spacing w:val="-6"/>
                <w:kern w:val="21"/>
                <w:sz w:val="21"/>
                <w:szCs w:val="21"/>
              </w:rPr>
              <w:fldChar w:fldCharType="begin"/>
            </w:r>
            <w:r>
              <w:rPr>
                <w:rFonts w:eastAsia="宋体"/>
                <w:snapToGrid w:val="0"/>
                <w:color w:val="auto"/>
                <w:spacing w:val="-6"/>
                <w:kern w:val="21"/>
                <w:sz w:val="21"/>
                <w:szCs w:val="21"/>
              </w:rPr>
              <w:instrText xml:space="preserve"> = 3 \* GB3 \* MERGEFORMAT </w:instrText>
            </w:r>
            <w:r>
              <w:rPr>
                <w:rFonts w:eastAsia="宋体"/>
                <w:snapToGrid w:val="0"/>
                <w:color w:val="auto"/>
                <w:spacing w:val="-6"/>
                <w:kern w:val="21"/>
                <w:sz w:val="21"/>
                <w:szCs w:val="21"/>
              </w:rPr>
              <w:fldChar w:fldCharType="separate"/>
            </w:r>
            <w:r>
              <w:rPr>
                <w:rFonts w:ascii="宋体" w:hAnsi="宋体" w:eastAsia="宋体"/>
                <w:color w:val="auto"/>
                <w:sz w:val="21"/>
                <w:szCs w:val="21"/>
              </w:rPr>
              <w:t>③</w:t>
            </w:r>
            <w:r>
              <w:rPr>
                <w:rFonts w:eastAsia="宋体"/>
                <w:snapToGrid w:val="0"/>
                <w:color w:val="auto"/>
                <w:spacing w:val="-6"/>
                <w:kern w:val="21"/>
                <w:sz w:val="21"/>
                <w:szCs w:val="21"/>
              </w:rPr>
              <w:fldChar w:fldCharType="end"/>
            </w:r>
          </w:p>
        </w:tc>
        <w:tc>
          <w:tcPr>
            <w:tcW w:w="1425" w:type="dxa"/>
            <w:tcMar>
              <w:left w:w="28" w:type="dxa"/>
              <w:right w:w="28" w:type="dxa"/>
            </w:tcMar>
            <w:vAlign w:val="center"/>
          </w:tcPr>
          <w:p w14:paraId="6062BA5C">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本项目</w:t>
            </w:r>
          </w:p>
          <w:p w14:paraId="6D39A65D">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排放量（固体废物产生量）</w:t>
            </w:r>
            <w:r>
              <w:rPr>
                <w:rFonts w:eastAsia="宋体"/>
                <w:snapToGrid w:val="0"/>
                <w:color w:val="auto"/>
                <w:spacing w:val="-6"/>
                <w:kern w:val="21"/>
                <w:sz w:val="21"/>
                <w:szCs w:val="21"/>
              </w:rPr>
              <w:fldChar w:fldCharType="begin"/>
            </w:r>
            <w:r>
              <w:rPr>
                <w:rFonts w:eastAsia="宋体"/>
                <w:snapToGrid w:val="0"/>
                <w:color w:val="auto"/>
                <w:spacing w:val="-6"/>
                <w:kern w:val="21"/>
                <w:sz w:val="21"/>
                <w:szCs w:val="21"/>
              </w:rPr>
              <w:instrText xml:space="preserve"> = 4 \* GB3 \* MERGEFORMAT </w:instrText>
            </w:r>
            <w:r>
              <w:rPr>
                <w:rFonts w:eastAsia="宋体"/>
                <w:snapToGrid w:val="0"/>
                <w:color w:val="auto"/>
                <w:spacing w:val="-6"/>
                <w:kern w:val="21"/>
                <w:sz w:val="21"/>
                <w:szCs w:val="21"/>
              </w:rPr>
              <w:fldChar w:fldCharType="separate"/>
            </w:r>
            <w:r>
              <w:rPr>
                <w:rFonts w:ascii="宋体" w:hAnsi="宋体" w:eastAsia="宋体"/>
                <w:color w:val="auto"/>
                <w:sz w:val="21"/>
                <w:szCs w:val="21"/>
              </w:rPr>
              <w:t>④</w:t>
            </w:r>
            <w:r>
              <w:rPr>
                <w:rFonts w:eastAsia="宋体"/>
                <w:snapToGrid w:val="0"/>
                <w:color w:val="auto"/>
                <w:spacing w:val="-6"/>
                <w:kern w:val="21"/>
                <w:sz w:val="21"/>
                <w:szCs w:val="21"/>
              </w:rPr>
              <w:fldChar w:fldCharType="end"/>
            </w:r>
          </w:p>
        </w:tc>
        <w:tc>
          <w:tcPr>
            <w:tcW w:w="1381" w:type="dxa"/>
            <w:tcMar>
              <w:left w:w="28" w:type="dxa"/>
              <w:right w:w="28" w:type="dxa"/>
            </w:tcMar>
            <w:vAlign w:val="center"/>
          </w:tcPr>
          <w:p w14:paraId="5C816391">
            <w:pPr>
              <w:pStyle w:val="50"/>
              <w:keepNext w:val="0"/>
              <w:keepLines w:val="0"/>
              <w:pageBreakBefore w:val="0"/>
              <w:kinsoku/>
              <w:wordWrap/>
              <w:overflowPunct/>
              <w:topLinePunct w:val="0"/>
              <w:autoSpaceDE/>
              <w:autoSpaceDN/>
              <w:bidi w:val="0"/>
              <w:spacing w:line="240" w:lineRule="auto"/>
              <w:rPr>
                <w:rFonts w:eastAsia="宋体"/>
                <w:snapToGrid w:val="0"/>
                <w:color w:val="auto"/>
                <w:spacing w:val="-16"/>
                <w:kern w:val="21"/>
                <w:sz w:val="21"/>
                <w:szCs w:val="21"/>
              </w:rPr>
            </w:pPr>
            <w:r>
              <w:rPr>
                <w:rFonts w:hAnsi="宋体" w:eastAsia="宋体"/>
                <w:snapToGrid w:val="0"/>
                <w:color w:val="auto"/>
                <w:spacing w:val="-16"/>
                <w:kern w:val="21"/>
                <w:sz w:val="21"/>
                <w:szCs w:val="21"/>
              </w:rPr>
              <w:t>以新带老削减量</w:t>
            </w:r>
          </w:p>
          <w:p w14:paraId="6A9A98FC">
            <w:pPr>
              <w:pStyle w:val="50"/>
              <w:keepNext w:val="0"/>
              <w:keepLines w:val="0"/>
              <w:pageBreakBefore w:val="0"/>
              <w:kinsoku/>
              <w:wordWrap/>
              <w:overflowPunct/>
              <w:topLinePunct w:val="0"/>
              <w:autoSpaceDE/>
              <w:autoSpaceDN/>
              <w:bidi w:val="0"/>
              <w:spacing w:line="240" w:lineRule="auto"/>
              <w:rPr>
                <w:rFonts w:eastAsia="宋体"/>
                <w:snapToGrid w:val="0"/>
                <w:color w:val="auto"/>
                <w:spacing w:val="-16"/>
                <w:kern w:val="21"/>
                <w:sz w:val="21"/>
                <w:szCs w:val="21"/>
              </w:rPr>
            </w:pPr>
            <w:r>
              <w:rPr>
                <w:rFonts w:hAnsi="宋体" w:eastAsia="宋体"/>
                <w:snapToGrid w:val="0"/>
                <w:color w:val="auto"/>
                <w:spacing w:val="-16"/>
                <w:kern w:val="21"/>
                <w:sz w:val="21"/>
                <w:szCs w:val="21"/>
              </w:rPr>
              <w:t>（新建项目不填）</w:t>
            </w:r>
            <w:r>
              <w:rPr>
                <w:rFonts w:eastAsia="宋体"/>
                <w:snapToGrid w:val="0"/>
                <w:color w:val="auto"/>
                <w:spacing w:val="-16"/>
                <w:kern w:val="21"/>
                <w:sz w:val="21"/>
                <w:szCs w:val="21"/>
              </w:rPr>
              <w:fldChar w:fldCharType="begin"/>
            </w:r>
            <w:r>
              <w:rPr>
                <w:rFonts w:eastAsia="宋体"/>
                <w:snapToGrid w:val="0"/>
                <w:color w:val="auto"/>
                <w:spacing w:val="-16"/>
                <w:kern w:val="21"/>
                <w:sz w:val="21"/>
                <w:szCs w:val="21"/>
              </w:rPr>
              <w:instrText xml:space="preserve"> = 5 \* GB3 \* MERGEFORMAT </w:instrText>
            </w:r>
            <w:r>
              <w:rPr>
                <w:rFonts w:eastAsia="宋体"/>
                <w:snapToGrid w:val="0"/>
                <w:color w:val="auto"/>
                <w:spacing w:val="-16"/>
                <w:kern w:val="21"/>
                <w:sz w:val="21"/>
                <w:szCs w:val="21"/>
              </w:rPr>
              <w:fldChar w:fldCharType="separate"/>
            </w:r>
            <w:r>
              <w:rPr>
                <w:rFonts w:ascii="宋体" w:hAnsi="宋体" w:eastAsia="宋体"/>
                <w:color w:val="auto"/>
                <w:sz w:val="21"/>
                <w:szCs w:val="21"/>
              </w:rPr>
              <w:t>⑤</w:t>
            </w:r>
            <w:r>
              <w:rPr>
                <w:rFonts w:eastAsia="宋体"/>
                <w:snapToGrid w:val="0"/>
                <w:color w:val="auto"/>
                <w:spacing w:val="-16"/>
                <w:kern w:val="21"/>
                <w:sz w:val="21"/>
                <w:szCs w:val="21"/>
              </w:rPr>
              <w:fldChar w:fldCharType="end"/>
            </w:r>
          </w:p>
        </w:tc>
        <w:tc>
          <w:tcPr>
            <w:tcW w:w="1950" w:type="dxa"/>
            <w:tcMar>
              <w:left w:w="28" w:type="dxa"/>
              <w:right w:w="28" w:type="dxa"/>
            </w:tcMar>
            <w:vAlign w:val="center"/>
          </w:tcPr>
          <w:p w14:paraId="765A220F">
            <w:pPr>
              <w:pStyle w:val="50"/>
              <w:keepNext w:val="0"/>
              <w:keepLines w:val="0"/>
              <w:pageBreakBefore w:val="0"/>
              <w:kinsoku/>
              <w:wordWrap/>
              <w:overflowPunct/>
              <w:topLinePunct w:val="0"/>
              <w:autoSpaceDE/>
              <w:autoSpaceDN/>
              <w:bidi w:val="0"/>
              <w:spacing w:line="240" w:lineRule="auto"/>
              <w:rPr>
                <w:rFonts w:eastAsia="宋体"/>
                <w:snapToGrid w:val="0"/>
                <w:color w:val="auto"/>
                <w:spacing w:val="-16"/>
                <w:kern w:val="21"/>
                <w:sz w:val="21"/>
                <w:szCs w:val="21"/>
              </w:rPr>
            </w:pPr>
            <w:r>
              <w:rPr>
                <w:rFonts w:hAnsi="宋体" w:eastAsia="宋体"/>
                <w:snapToGrid w:val="0"/>
                <w:color w:val="auto"/>
                <w:spacing w:val="-16"/>
                <w:kern w:val="21"/>
                <w:sz w:val="21"/>
                <w:szCs w:val="21"/>
              </w:rPr>
              <w:t>本项目建成后</w:t>
            </w:r>
          </w:p>
          <w:p w14:paraId="6889A5EF">
            <w:pPr>
              <w:pStyle w:val="50"/>
              <w:keepNext w:val="0"/>
              <w:keepLines w:val="0"/>
              <w:pageBreakBefore w:val="0"/>
              <w:kinsoku/>
              <w:wordWrap/>
              <w:overflowPunct/>
              <w:topLinePunct w:val="0"/>
              <w:autoSpaceDE/>
              <w:autoSpaceDN/>
              <w:bidi w:val="0"/>
              <w:spacing w:line="240" w:lineRule="auto"/>
              <w:rPr>
                <w:rFonts w:eastAsia="宋体"/>
                <w:snapToGrid w:val="0"/>
                <w:color w:val="auto"/>
                <w:spacing w:val="-16"/>
                <w:kern w:val="21"/>
                <w:sz w:val="21"/>
                <w:szCs w:val="21"/>
              </w:rPr>
            </w:pPr>
            <w:r>
              <w:rPr>
                <w:rFonts w:hAnsi="宋体" w:eastAsia="宋体"/>
                <w:snapToGrid w:val="0"/>
                <w:color w:val="auto"/>
                <w:spacing w:val="-16"/>
                <w:kern w:val="21"/>
                <w:sz w:val="21"/>
                <w:szCs w:val="21"/>
              </w:rPr>
              <w:t>全厂排放量（固体废物产生量）</w:t>
            </w:r>
            <w:r>
              <w:rPr>
                <w:rFonts w:eastAsia="宋体"/>
                <w:snapToGrid w:val="0"/>
                <w:color w:val="auto"/>
                <w:spacing w:val="-16"/>
                <w:kern w:val="21"/>
                <w:sz w:val="21"/>
                <w:szCs w:val="21"/>
              </w:rPr>
              <w:fldChar w:fldCharType="begin"/>
            </w:r>
            <w:r>
              <w:rPr>
                <w:rFonts w:eastAsia="宋体"/>
                <w:snapToGrid w:val="0"/>
                <w:color w:val="auto"/>
                <w:spacing w:val="-16"/>
                <w:kern w:val="21"/>
                <w:sz w:val="21"/>
                <w:szCs w:val="21"/>
              </w:rPr>
              <w:instrText xml:space="preserve"> = 6 \* GB3 \* MERGEFORMAT </w:instrText>
            </w:r>
            <w:r>
              <w:rPr>
                <w:rFonts w:eastAsia="宋体"/>
                <w:snapToGrid w:val="0"/>
                <w:color w:val="auto"/>
                <w:spacing w:val="-16"/>
                <w:kern w:val="21"/>
                <w:sz w:val="21"/>
                <w:szCs w:val="21"/>
              </w:rPr>
              <w:fldChar w:fldCharType="separate"/>
            </w:r>
            <w:r>
              <w:rPr>
                <w:rFonts w:ascii="宋体" w:hAnsi="宋体" w:eastAsia="宋体"/>
                <w:color w:val="auto"/>
                <w:sz w:val="21"/>
                <w:szCs w:val="21"/>
              </w:rPr>
              <w:t>⑥</w:t>
            </w:r>
            <w:r>
              <w:rPr>
                <w:rFonts w:eastAsia="宋体"/>
                <w:snapToGrid w:val="0"/>
                <w:color w:val="auto"/>
                <w:spacing w:val="-16"/>
                <w:kern w:val="21"/>
                <w:sz w:val="21"/>
                <w:szCs w:val="21"/>
              </w:rPr>
              <w:fldChar w:fldCharType="end"/>
            </w:r>
          </w:p>
        </w:tc>
        <w:tc>
          <w:tcPr>
            <w:tcW w:w="1215" w:type="dxa"/>
            <w:tcMar>
              <w:left w:w="28" w:type="dxa"/>
              <w:right w:w="28" w:type="dxa"/>
            </w:tcMar>
            <w:vAlign w:val="center"/>
          </w:tcPr>
          <w:p w14:paraId="578C2432">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hAnsi="宋体" w:eastAsia="宋体"/>
                <w:snapToGrid w:val="0"/>
                <w:color w:val="auto"/>
                <w:spacing w:val="-6"/>
                <w:kern w:val="21"/>
                <w:sz w:val="21"/>
                <w:szCs w:val="21"/>
              </w:rPr>
              <w:t>变化量</w:t>
            </w:r>
          </w:p>
          <w:p w14:paraId="7F26C540">
            <w:pPr>
              <w:pStyle w:val="50"/>
              <w:keepNext w:val="0"/>
              <w:keepLines w:val="0"/>
              <w:pageBreakBefore w:val="0"/>
              <w:kinsoku/>
              <w:wordWrap/>
              <w:overflowPunct/>
              <w:topLinePunct w:val="0"/>
              <w:autoSpaceDE/>
              <w:autoSpaceDN/>
              <w:bidi w:val="0"/>
              <w:spacing w:line="240" w:lineRule="auto"/>
              <w:rPr>
                <w:rFonts w:eastAsia="宋体"/>
                <w:snapToGrid w:val="0"/>
                <w:color w:val="auto"/>
                <w:spacing w:val="-6"/>
                <w:kern w:val="21"/>
                <w:sz w:val="21"/>
                <w:szCs w:val="21"/>
              </w:rPr>
            </w:pPr>
            <w:r>
              <w:rPr>
                <w:rFonts w:eastAsia="宋体"/>
                <w:snapToGrid w:val="0"/>
                <w:color w:val="auto"/>
                <w:spacing w:val="-6"/>
                <w:kern w:val="21"/>
                <w:sz w:val="21"/>
                <w:szCs w:val="21"/>
              </w:rPr>
              <w:fldChar w:fldCharType="begin"/>
            </w:r>
            <w:r>
              <w:rPr>
                <w:rFonts w:eastAsia="宋体"/>
                <w:snapToGrid w:val="0"/>
                <w:color w:val="auto"/>
                <w:spacing w:val="-6"/>
                <w:kern w:val="21"/>
                <w:sz w:val="21"/>
                <w:szCs w:val="21"/>
              </w:rPr>
              <w:instrText xml:space="preserve"> = 7 \* GB3 \* MERGEFORMAT </w:instrText>
            </w:r>
            <w:r>
              <w:rPr>
                <w:rFonts w:eastAsia="宋体"/>
                <w:snapToGrid w:val="0"/>
                <w:color w:val="auto"/>
                <w:spacing w:val="-6"/>
                <w:kern w:val="21"/>
                <w:sz w:val="21"/>
                <w:szCs w:val="21"/>
              </w:rPr>
              <w:fldChar w:fldCharType="separate"/>
            </w:r>
            <w:r>
              <w:rPr>
                <w:rFonts w:ascii="宋体" w:hAnsi="宋体" w:eastAsia="宋体"/>
                <w:color w:val="auto"/>
                <w:sz w:val="21"/>
                <w:szCs w:val="21"/>
              </w:rPr>
              <w:t>⑦</w:t>
            </w:r>
            <w:r>
              <w:rPr>
                <w:rFonts w:eastAsia="宋体"/>
                <w:snapToGrid w:val="0"/>
                <w:color w:val="auto"/>
                <w:spacing w:val="-6"/>
                <w:kern w:val="21"/>
                <w:sz w:val="21"/>
                <w:szCs w:val="21"/>
              </w:rPr>
              <w:fldChar w:fldCharType="end"/>
            </w:r>
          </w:p>
        </w:tc>
      </w:tr>
      <w:tr w14:paraId="007C7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2B440730">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Ansi="宋体" w:eastAsia="宋体"/>
                <w:snapToGrid w:val="0"/>
                <w:color w:val="auto"/>
                <w:kern w:val="21"/>
                <w:sz w:val="21"/>
                <w:szCs w:val="21"/>
              </w:rPr>
              <w:t>废气</w:t>
            </w:r>
          </w:p>
        </w:tc>
        <w:tc>
          <w:tcPr>
            <w:tcW w:w="1939" w:type="dxa"/>
            <w:vAlign w:val="center"/>
          </w:tcPr>
          <w:p w14:paraId="60F0E3E6">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hAnsi="宋体" w:eastAsia="宋体"/>
                <w:snapToGrid w:val="0"/>
                <w:color w:val="auto"/>
                <w:kern w:val="21"/>
                <w:sz w:val="21"/>
                <w:szCs w:val="21"/>
              </w:rPr>
              <w:t>烟</w:t>
            </w:r>
            <w:r>
              <w:rPr>
                <w:rFonts w:hint="eastAsia" w:hAnsi="宋体" w:eastAsia="宋体"/>
                <w:snapToGrid w:val="0"/>
                <w:color w:val="auto"/>
                <w:kern w:val="21"/>
                <w:sz w:val="21"/>
                <w:szCs w:val="21"/>
                <w:lang w:eastAsia="zh-CN"/>
              </w:rPr>
              <w:t>粉</w:t>
            </w:r>
            <w:r>
              <w:rPr>
                <w:rFonts w:hint="eastAsia" w:hAnsi="宋体" w:eastAsia="宋体"/>
                <w:snapToGrid w:val="0"/>
                <w:color w:val="auto"/>
                <w:kern w:val="21"/>
                <w:sz w:val="21"/>
                <w:szCs w:val="21"/>
              </w:rPr>
              <w:t>尘</w:t>
            </w:r>
          </w:p>
        </w:tc>
        <w:tc>
          <w:tcPr>
            <w:tcW w:w="1470" w:type="dxa"/>
            <w:vAlign w:val="center"/>
          </w:tcPr>
          <w:p w14:paraId="4CED0A8D">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08A3AE1C">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2C6AAAC3">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413B45C4">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0.416</w:t>
            </w:r>
          </w:p>
        </w:tc>
        <w:tc>
          <w:tcPr>
            <w:tcW w:w="1381" w:type="dxa"/>
            <w:vAlign w:val="center"/>
          </w:tcPr>
          <w:p w14:paraId="544B1B9D">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22C9298B">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0.416</w:t>
            </w:r>
          </w:p>
        </w:tc>
        <w:tc>
          <w:tcPr>
            <w:tcW w:w="1215" w:type="dxa"/>
            <w:vAlign w:val="center"/>
          </w:tcPr>
          <w:p w14:paraId="33A19153">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+0.416</w:t>
            </w:r>
          </w:p>
        </w:tc>
      </w:tr>
      <w:tr w14:paraId="69D56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9DE0525">
            <w:pPr>
              <w:pStyle w:val="50"/>
              <w:keepNext w:val="0"/>
              <w:keepLines w:val="0"/>
              <w:pageBreakBefore w:val="0"/>
              <w:kinsoku/>
              <w:wordWrap/>
              <w:overflowPunct/>
              <w:topLinePunct w:val="0"/>
              <w:autoSpaceDE/>
              <w:autoSpaceDN/>
              <w:bidi w:val="0"/>
              <w:spacing w:line="240" w:lineRule="auto"/>
              <w:rPr>
                <w:rFonts w:hAnsi="宋体" w:eastAsia="宋体"/>
                <w:snapToGrid w:val="0"/>
                <w:color w:val="auto"/>
                <w:kern w:val="21"/>
                <w:sz w:val="21"/>
                <w:szCs w:val="21"/>
              </w:rPr>
            </w:pPr>
          </w:p>
        </w:tc>
        <w:tc>
          <w:tcPr>
            <w:tcW w:w="1939" w:type="dxa"/>
            <w:vAlign w:val="center"/>
          </w:tcPr>
          <w:p w14:paraId="2330E95A">
            <w:pPr>
              <w:pStyle w:val="50"/>
              <w:keepNext w:val="0"/>
              <w:keepLines w:val="0"/>
              <w:pageBreakBefore w:val="0"/>
              <w:kinsoku/>
              <w:wordWrap/>
              <w:overflowPunct/>
              <w:topLinePunct w:val="0"/>
              <w:autoSpaceDE/>
              <w:autoSpaceDN/>
              <w:bidi w:val="0"/>
              <w:spacing w:line="240" w:lineRule="auto"/>
              <w:rPr>
                <w:rFonts w:hint="default" w:hAnsi="宋体" w:eastAsia="宋体"/>
                <w:snapToGrid w:val="0"/>
                <w:color w:val="auto"/>
                <w:kern w:val="21"/>
                <w:sz w:val="21"/>
                <w:szCs w:val="21"/>
                <w:lang w:val="en-US"/>
              </w:rPr>
            </w:pPr>
            <w:r>
              <w:rPr>
                <w:rFonts w:hint="eastAsia" w:hAnsi="宋体" w:eastAsia="宋体"/>
                <w:snapToGrid w:val="0"/>
                <w:color w:val="auto"/>
                <w:kern w:val="21"/>
                <w:sz w:val="21"/>
                <w:szCs w:val="21"/>
                <w:lang w:val="en-US" w:eastAsia="zh-CN"/>
              </w:rPr>
              <w:t>HCl</w:t>
            </w:r>
          </w:p>
        </w:tc>
        <w:tc>
          <w:tcPr>
            <w:tcW w:w="1470" w:type="dxa"/>
            <w:vAlign w:val="center"/>
          </w:tcPr>
          <w:p w14:paraId="60AD17EA">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532E6D2C">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2AE003C1">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0435D981">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0.03</w:t>
            </w:r>
          </w:p>
        </w:tc>
        <w:tc>
          <w:tcPr>
            <w:tcW w:w="1381" w:type="dxa"/>
            <w:vAlign w:val="center"/>
          </w:tcPr>
          <w:p w14:paraId="75CD9BC2">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324482D2">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0.03</w:t>
            </w:r>
          </w:p>
        </w:tc>
        <w:tc>
          <w:tcPr>
            <w:tcW w:w="1215" w:type="dxa"/>
            <w:vAlign w:val="center"/>
          </w:tcPr>
          <w:p w14:paraId="205CD029">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+0.03</w:t>
            </w:r>
          </w:p>
        </w:tc>
      </w:tr>
      <w:tr w14:paraId="0D247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321AD976">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Ansi="宋体" w:eastAsia="宋体"/>
                <w:snapToGrid w:val="0"/>
                <w:color w:val="000000"/>
                <w:kern w:val="21"/>
                <w:sz w:val="21"/>
                <w:szCs w:val="21"/>
              </w:rPr>
              <w:t>废水</w:t>
            </w:r>
          </w:p>
        </w:tc>
        <w:tc>
          <w:tcPr>
            <w:tcW w:w="1939" w:type="dxa"/>
            <w:vAlign w:val="center"/>
          </w:tcPr>
          <w:p w14:paraId="00D8D067">
            <w:pPr>
              <w:keepNext w:val="0"/>
              <w:keepLines w:val="0"/>
              <w:pageBreakBefore w:val="0"/>
              <w:widowControl/>
              <w:kinsoku/>
              <w:wordWrap/>
              <w:overflowPunct/>
              <w:topLinePunct w:val="0"/>
              <w:autoSpaceDE/>
              <w:autoSpaceDN/>
              <w:bidi w:val="0"/>
              <w:adjustRightInd w:val="0"/>
              <w:snapToGrid w:val="0"/>
              <w:jc w:val="center"/>
              <w:rPr>
                <w:color w:val="auto"/>
                <w:kern w:val="0"/>
                <w:sz w:val="21"/>
                <w:szCs w:val="21"/>
              </w:rPr>
            </w:pPr>
            <w:r>
              <w:rPr>
                <w:color w:val="auto"/>
                <w:kern w:val="0"/>
                <w:sz w:val="21"/>
                <w:szCs w:val="21"/>
              </w:rPr>
              <w:t>COD</w:t>
            </w:r>
          </w:p>
        </w:tc>
        <w:tc>
          <w:tcPr>
            <w:tcW w:w="1470" w:type="dxa"/>
            <w:vAlign w:val="center"/>
          </w:tcPr>
          <w:p w14:paraId="0C0716E9">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28A109B9">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151E8F28">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75B0026E">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10.0676</w:t>
            </w:r>
          </w:p>
        </w:tc>
        <w:tc>
          <w:tcPr>
            <w:tcW w:w="1381" w:type="dxa"/>
            <w:vAlign w:val="center"/>
          </w:tcPr>
          <w:p w14:paraId="4F965C23">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654E29DC">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rPr>
            </w:pPr>
            <w:r>
              <w:rPr>
                <w:rFonts w:hint="eastAsia" w:eastAsia="宋体"/>
                <w:snapToGrid w:val="0"/>
                <w:color w:val="auto"/>
                <w:kern w:val="21"/>
                <w:sz w:val="21"/>
                <w:szCs w:val="21"/>
                <w:lang w:val="en-US" w:eastAsia="zh-CN"/>
              </w:rPr>
              <w:t>10.0676</w:t>
            </w:r>
          </w:p>
        </w:tc>
        <w:tc>
          <w:tcPr>
            <w:tcW w:w="1215" w:type="dxa"/>
            <w:vAlign w:val="center"/>
          </w:tcPr>
          <w:p w14:paraId="6E5FD90D">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rPr>
            </w:pPr>
            <w:r>
              <w:rPr>
                <w:rFonts w:hint="eastAsia" w:eastAsia="宋体"/>
                <w:snapToGrid w:val="0"/>
                <w:color w:val="auto"/>
                <w:kern w:val="21"/>
                <w:sz w:val="21"/>
                <w:szCs w:val="21"/>
                <w:lang w:val="en-US" w:eastAsia="zh-CN"/>
              </w:rPr>
              <w:t>+10.0676</w:t>
            </w:r>
          </w:p>
        </w:tc>
      </w:tr>
      <w:tr w14:paraId="1715D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2AC18D1">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5ED378C9">
            <w:pPr>
              <w:keepNext w:val="0"/>
              <w:keepLines w:val="0"/>
              <w:pageBreakBefore w:val="0"/>
              <w:widowControl/>
              <w:kinsoku/>
              <w:wordWrap/>
              <w:overflowPunct/>
              <w:topLinePunct w:val="0"/>
              <w:autoSpaceDE/>
              <w:autoSpaceDN/>
              <w:bidi w:val="0"/>
              <w:adjustRightInd w:val="0"/>
              <w:snapToGrid w:val="0"/>
              <w:jc w:val="center"/>
              <w:rPr>
                <w:color w:val="auto"/>
                <w:kern w:val="0"/>
                <w:sz w:val="21"/>
                <w:szCs w:val="21"/>
                <w:vertAlign w:val="subscript"/>
              </w:rPr>
            </w:pPr>
            <w:r>
              <w:rPr>
                <w:color w:val="auto"/>
                <w:kern w:val="0"/>
                <w:sz w:val="21"/>
                <w:szCs w:val="21"/>
              </w:rPr>
              <w:t>BOD</w:t>
            </w:r>
            <w:r>
              <w:rPr>
                <w:color w:val="auto"/>
                <w:kern w:val="0"/>
                <w:sz w:val="21"/>
                <w:szCs w:val="21"/>
                <w:vertAlign w:val="subscript"/>
              </w:rPr>
              <w:t>5</w:t>
            </w:r>
          </w:p>
        </w:tc>
        <w:tc>
          <w:tcPr>
            <w:tcW w:w="1470" w:type="dxa"/>
            <w:vAlign w:val="center"/>
          </w:tcPr>
          <w:p w14:paraId="5EBB0594">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5F8FA999">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3F8A2C32">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6EC7A78">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2.0135</w:t>
            </w:r>
          </w:p>
        </w:tc>
        <w:tc>
          <w:tcPr>
            <w:tcW w:w="1381" w:type="dxa"/>
            <w:vAlign w:val="center"/>
          </w:tcPr>
          <w:p w14:paraId="2CF4E55A">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68E86CA9">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rPr>
            </w:pPr>
            <w:r>
              <w:rPr>
                <w:rFonts w:hint="eastAsia" w:eastAsia="宋体"/>
                <w:snapToGrid w:val="0"/>
                <w:color w:val="auto"/>
                <w:kern w:val="21"/>
                <w:sz w:val="21"/>
                <w:szCs w:val="21"/>
                <w:lang w:val="en-US" w:eastAsia="zh-CN"/>
              </w:rPr>
              <w:t>2.0135</w:t>
            </w:r>
          </w:p>
        </w:tc>
        <w:tc>
          <w:tcPr>
            <w:tcW w:w="1215" w:type="dxa"/>
            <w:vAlign w:val="center"/>
          </w:tcPr>
          <w:p w14:paraId="21083719">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eastAsia="宋体"/>
                <w:snapToGrid w:val="0"/>
                <w:color w:val="auto"/>
                <w:kern w:val="21"/>
                <w:sz w:val="21"/>
                <w:szCs w:val="21"/>
                <w:lang w:val="en-US" w:eastAsia="zh-CN"/>
              </w:rPr>
              <w:t>+2.0135</w:t>
            </w:r>
          </w:p>
        </w:tc>
      </w:tr>
      <w:tr w14:paraId="741C5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F2B60A9">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0C644485">
            <w:pPr>
              <w:keepNext w:val="0"/>
              <w:keepLines w:val="0"/>
              <w:pageBreakBefore w:val="0"/>
              <w:widowControl/>
              <w:kinsoku/>
              <w:wordWrap/>
              <w:overflowPunct/>
              <w:topLinePunct w:val="0"/>
              <w:autoSpaceDE/>
              <w:autoSpaceDN/>
              <w:bidi w:val="0"/>
              <w:adjustRightInd w:val="0"/>
              <w:snapToGrid w:val="0"/>
              <w:jc w:val="center"/>
              <w:rPr>
                <w:color w:val="auto"/>
                <w:kern w:val="0"/>
                <w:sz w:val="21"/>
                <w:szCs w:val="21"/>
              </w:rPr>
            </w:pPr>
            <w:r>
              <w:rPr>
                <w:color w:val="auto"/>
                <w:kern w:val="0"/>
                <w:sz w:val="21"/>
                <w:szCs w:val="21"/>
              </w:rPr>
              <w:t>SS</w:t>
            </w:r>
          </w:p>
        </w:tc>
        <w:tc>
          <w:tcPr>
            <w:tcW w:w="1470" w:type="dxa"/>
            <w:vAlign w:val="center"/>
          </w:tcPr>
          <w:p w14:paraId="1C4FF7EC">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67BB70FA">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6B7D4993">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E3A8866">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2.0135</w:t>
            </w:r>
          </w:p>
        </w:tc>
        <w:tc>
          <w:tcPr>
            <w:tcW w:w="1381" w:type="dxa"/>
            <w:vAlign w:val="center"/>
          </w:tcPr>
          <w:p w14:paraId="151F98A6">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1FC5F67F">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eastAsia="宋体"/>
                <w:snapToGrid w:val="0"/>
                <w:color w:val="auto"/>
                <w:kern w:val="21"/>
                <w:sz w:val="21"/>
                <w:szCs w:val="21"/>
                <w:lang w:val="en-US" w:eastAsia="zh-CN"/>
              </w:rPr>
              <w:t>2.0135</w:t>
            </w:r>
          </w:p>
        </w:tc>
        <w:tc>
          <w:tcPr>
            <w:tcW w:w="1215" w:type="dxa"/>
            <w:vAlign w:val="center"/>
          </w:tcPr>
          <w:p w14:paraId="3C0DDB7E">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eastAsia="宋体"/>
                <w:snapToGrid w:val="0"/>
                <w:color w:val="auto"/>
                <w:kern w:val="21"/>
                <w:sz w:val="21"/>
                <w:szCs w:val="21"/>
                <w:lang w:val="en-US" w:eastAsia="zh-CN"/>
              </w:rPr>
              <w:t>+2.0135</w:t>
            </w:r>
          </w:p>
        </w:tc>
      </w:tr>
      <w:tr w14:paraId="28C33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9CBB078">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3D3A464D">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Ansi="宋体" w:eastAsia="宋体"/>
                <w:bCs/>
                <w:color w:val="auto"/>
                <w:kern w:val="0"/>
                <w:sz w:val="21"/>
                <w:szCs w:val="21"/>
              </w:rPr>
              <w:t>氨氮</w:t>
            </w:r>
          </w:p>
        </w:tc>
        <w:tc>
          <w:tcPr>
            <w:tcW w:w="1470" w:type="dxa"/>
            <w:vAlign w:val="center"/>
          </w:tcPr>
          <w:p w14:paraId="10EFE96B">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1079C6E5">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6BD85E10">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4F51AC5">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1.0068</w:t>
            </w:r>
          </w:p>
        </w:tc>
        <w:tc>
          <w:tcPr>
            <w:tcW w:w="1381" w:type="dxa"/>
            <w:vAlign w:val="center"/>
          </w:tcPr>
          <w:p w14:paraId="7EDD8084">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6DD4D6D5">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eastAsia="宋体"/>
                <w:snapToGrid w:val="0"/>
                <w:color w:val="auto"/>
                <w:kern w:val="21"/>
                <w:sz w:val="21"/>
                <w:szCs w:val="21"/>
                <w:lang w:val="en-US" w:eastAsia="zh-CN"/>
              </w:rPr>
              <w:t>1.0068</w:t>
            </w:r>
          </w:p>
        </w:tc>
        <w:tc>
          <w:tcPr>
            <w:tcW w:w="1215" w:type="dxa"/>
            <w:vAlign w:val="center"/>
          </w:tcPr>
          <w:p w14:paraId="2FBADC4C">
            <w:pPr>
              <w:pStyle w:val="50"/>
              <w:keepNext w:val="0"/>
              <w:keepLines w:val="0"/>
              <w:pageBreakBefore w:val="0"/>
              <w:kinsoku/>
              <w:wordWrap/>
              <w:overflowPunct/>
              <w:topLinePunct w:val="0"/>
              <w:autoSpaceDE/>
              <w:autoSpaceDN/>
              <w:bidi w:val="0"/>
              <w:spacing w:line="240" w:lineRule="auto"/>
              <w:rPr>
                <w:rFonts w:eastAsia="宋体"/>
                <w:snapToGrid w:val="0"/>
                <w:color w:val="auto"/>
                <w:kern w:val="21"/>
                <w:sz w:val="21"/>
                <w:szCs w:val="21"/>
              </w:rPr>
            </w:pPr>
            <w:r>
              <w:rPr>
                <w:rFonts w:hint="eastAsia" w:eastAsia="宋体"/>
                <w:snapToGrid w:val="0"/>
                <w:color w:val="auto"/>
                <w:kern w:val="21"/>
                <w:sz w:val="21"/>
                <w:szCs w:val="21"/>
                <w:lang w:val="en-US" w:eastAsia="zh-CN"/>
              </w:rPr>
              <w:t>+1.0068</w:t>
            </w:r>
          </w:p>
        </w:tc>
      </w:tr>
      <w:tr w14:paraId="7F340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7A4CFB50">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11164E41">
            <w:pPr>
              <w:pStyle w:val="50"/>
              <w:keepNext w:val="0"/>
              <w:keepLines w:val="0"/>
              <w:pageBreakBefore w:val="0"/>
              <w:kinsoku/>
              <w:wordWrap/>
              <w:overflowPunct/>
              <w:topLinePunct w:val="0"/>
              <w:autoSpaceDE/>
              <w:autoSpaceDN/>
              <w:bidi w:val="0"/>
              <w:spacing w:line="240" w:lineRule="auto"/>
              <w:rPr>
                <w:rFonts w:hint="eastAsia" w:hAnsi="宋体" w:eastAsia="宋体"/>
                <w:bCs/>
                <w:color w:val="auto"/>
                <w:kern w:val="0"/>
                <w:sz w:val="21"/>
                <w:szCs w:val="21"/>
                <w:lang w:eastAsia="zh-CN"/>
              </w:rPr>
            </w:pPr>
            <w:r>
              <w:rPr>
                <w:rFonts w:hint="eastAsia" w:hAnsi="宋体" w:eastAsia="宋体"/>
                <w:bCs/>
                <w:color w:val="auto"/>
                <w:kern w:val="0"/>
                <w:sz w:val="21"/>
                <w:szCs w:val="21"/>
                <w:lang w:eastAsia="zh-CN"/>
              </w:rPr>
              <w:t>动植物油</w:t>
            </w:r>
          </w:p>
        </w:tc>
        <w:tc>
          <w:tcPr>
            <w:tcW w:w="1470" w:type="dxa"/>
            <w:vAlign w:val="center"/>
          </w:tcPr>
          <w:p w14:paraId="0B2A36E6">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p>
        </w:tc>
        <w:tc>
          <w:tcPr>
            <w:tcW w:w="1230" w:type="dxa"/>
            <w:vAlign w:val="center"/>
          </w:tcPr>
          <w:p w14:paraId="50791E85">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p>
        </w:tc>
        <w:tc>
          <w:tcPr>
            <w:tcW w:w="1590" w:type="dxa"/>
            <w:vAlign w:val="center"/>
          </w:tcPr>
          <w:p w14:paraId="5F9B9651">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p>
        </w:tc>
        <w:tc>
          <w:tcPr>
            <w:tcW w:w="1425" w:type="dxa"/>
            <w:vAlign w:val="center"/>
          </w:tcPr>
          <w:p w14:paraId="3AD8B72C">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0.2014</w:t>
            </w:r>
          </w:p>
        </w:tc>
        <w:tc>
          <w:tcPr>
            <w:tcW w:w="1381" w:type="dxa"/>
            <w:vAlign w:val="center"/>
          </w:tcPr>
          <w:p w14:paraId="52E311A9">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eastAsia="宋体" w:cs="Times New Roman"/>
                <w:snapToGrid w:val="0"/>
                <w:color w:val="auto"/>
                <w:spacing w:val="0"/>
                <w:kern w:val="21"/>
                <w:position w:val="0"/>
                <w:sz w:val="21"/>
                <w:szCs w:val="21"/>
                <w:lang w:val="en-US" w:eastAsia="zh-CN"/>
              </w:rPr>
              <w:t>/</w:t>
            </w:r>
          </w:p>
        </w:tc>
        <w:tc>
          <w:tcPr>
            <w:tcW w:w="1950" w:type="dxa"/>
            <w:vAlign w:val="center"/>
          </w:tcPr>
          <w:p w14:paraId="46CFFCDE">
            <w:pPr>
              <w:pStyle w:val="50"/>
              <w:keepNext w:val="0"/>
              <w:keepLines w:val="0"/>
              <w:pageBreakBefore w:val="0"/>
              <w:kinsoku/>
              <w:wordWrap/>
              <w:overflowPunct/>
              <w:topLinePunct w:val="0"/>
              <w:autoSpaceDE/>
              <w:autoSpaceDN/>
              <w:bidi w:val="0"/>
              <w:spacing w:line="240" w:lineRule="auto"/>
              <w:rPr>
                <w:rFonts w:hint="eastAsia"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0.2014</w:t>
            </w:r>
          </w:p>
        </w:tc>
        <w:tc>
          <w:tcPr>
            <w:tcW w:w="1215" w:type="dxa"/>
            <w:vAlign w:val="center"/>
          </w:tcPr>
          <w:p w14:paraId="2EEFC169">
            <w:pPr>
              <w:pStyle w:val="50"/>
              <w:keepNext w:val="0"/>
              <w:keepLines w:val="0"/>
              <w:pageBreakBefore w:val="0"/>
              <w:kinsoku/>
              <w:wordWrap/>
              <w:overflowPunct/>
              <w:topLinePunct w:val="0"/>
              <w:autoSpaceDE/>
              <w:autoSpaceDN/>
              <w:bidi w:val="0"/>
              <w:spacing w:line="240" w:lineRule="auto"/>
              <w:rPr>
                <w:rFonts w:hint="eastAsia"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+0.2014</w:t>
            </w:r>
          </w:p>
        </w:tc>
      </w:tr>
      <w:tr w14:paraId="1A27C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09DDE6E">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5EAB779B">
            <w:pPr>
              <w:pStyle w:val="50"/>
              <w:keepNext w:val="0"/>
              <w:keepLines w:val="0"/>
              <w:pageBreakBefore w:val="0"/>
              <w:kinsoku/>
              <w:wordWrap/>
              <w:overflowPunct/>
              <w:topLinePunct w:val="0"/>
              <w:autoSpaceDE/>
              <w:autoSpaceDN/>
              <w:bidi w:val="0"/>
              <w:spacing w:line="240" w:lineRule="auto"/>
              <w:rPr>
                <w:rFonts w:hint="eastAsia" w:hAnsi="宋体" w:eastAsia="宋体"/>
                <w:bCs/>
                <w:color w:val="auto"/>
                <w:kern w:val="0"/>
                <w:sz w:val="21"/>
                <w:szCs w:val="21"/>
                <w:lang w:eastAsia="zh-CN"/>
              </w:rPr>
            </w:pPr>
            <w:r>
              <w:rPr>
                <w:rFonts w:hint="eastAsia" w:hAnsi="宋体" w:eastAsia="宋体"/>
                <w:bCs/>
                <w:color w:val="auto"/>
                <w:kern w:val="0"/>
                <w:sz w:val="21"/>
                <w:szCs w:val="21"/>
                <w:lang w:eastAsia="zh-CN"/>
              </w:rPr>
              <w:t>总磷</w:t>
            </w:r>
          </w:p>
        </w:tc>
        <w:tc>
          <w:tcPr>
            <w:tcW w:w="1470" w:type="dxa"/>
            <w:vAlign w:val="center"/>
          </w:tcPr>
          <w:p w14:paraId="0FA0A045">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7353C004">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39195097">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13FDC619">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0.1007</w:t>
            </w:r>
          </w:p>
        </w:tc>
        <w:tc>
          <w:tcPr>
            <w:tcW w:w="1381" w:type="dxa"/>
            <w:vAlign w:val="center"/>
          </w:tcPr>
          <w:p w14:paraId="536A6252">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eastAsia" w:eastAsia="宋体" w:cs="Times New Roman"/>
                <w:snapToGrid w:val="0"/>
                <w:color w:val="auto"/>
                <w:spacing w:val="0"/>
                <w:kern w:val="21"/>
                <w:position w:val="0"/>
                <w:sz w:val="21"/>
                <w:szCs w:val="21"/>
                <w:lang w:val="en-US" w:eastAsia="zh-CN"/>
              </w:rPr>
              <w:t>/</w:t>
            </w:r>
          </w:p>
        </w:tc>
        <w:tc>
          <w:tcPr>
            <w:tcW w:w="1950" w:type="dxa"/>
            <w:vAlign w:val="center"/>
          </w:tcPr>
          <w:p w14:paraId="0E6F9ECD">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0.1007</w:t>
            </w:r>
          </w:p>
        </w:tc>
        <w:tc>
          <w:tcPr>
            <w:tcW w:w="1215" w:type="dxa"/>
            <w:vAlign w:val="center"/>
          </w:tcPr>
          <w:p w14:paraId="10A9581A">
            <w:pPr>
              <w:pStyle w:val="50"/>
              <w:keepNext w:val="0"/>
              <w:keepLines w:val="0"/>
              <w:pageBreakBefore w:val="0"/>
              <w:kinsoku/>
              <w:wordWrap/>
              <w:overflowPunct/>
              <w:topLinePunct w:val="0"/>
              <w:autoSpaceDE/>
              <w:autoSpaceDN/>
              <w:bidi w:val="0"/>
              <w:spacing w:line="240" w:lineRule="auto"/>
              <w:rPr>
                <w:rFonts w:hint="default" w:eastAsia="宋体"/>
                <w:snapToGrid w:val="0"/>
                <w:color w:val="auto"/>
                <w:kern w:val="21"/>
                <w:sz w:val="21"/>
                <w:szCs w:val="21"/>
                <w:lang w:val="en-US" w:eastAsia="zh-CN"/>
              </w:rPr>
            </w:pPr>
            <w:r>
              <w:rPr>
                <w:rFonts w:hint="eastAsia" w:eastAsia="宋体"/>
                <w:snapToGrid w:val="0"/>
                <w:color w:val="auto"/>
                <w:kern w:val="21"/>
                <w:sz w:val="21"/>
                <w:szCs w:val="21"/>
                <w:lang w:val="en-US" w:eastAsia="zh-CN"/>
              </w:rPr>
              <w:t>+0.1007</w:t>
            </w:r>
          </w:p>
        </w:tc>
      </w:tr>
      <w:tr w14:paraId="2886E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ECF4E46">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p>
        </w:tc>
        <w:tc>
          <w:tcPr>
            <w:tcW w:w="1939" w:type="dxa"/>
            <w:vAlign w:val="center"/>
          </w:tcPr>
          <w:p w14:paraId="7D7CD54F">
            <w:pPr>
              <w:pStyle w:val="50"/>
              <w:keepNext w:val="0"/>
              <w:keepLines w:val="0"/>
              <w:pageBreakBefore w:val="0"/>
              <w:kinsoku/>
              <w:wordWrap/>
              <w:overflowPunct/>
              <w:topLinePunct w:val="0"/>
              <w:autoSpaceDE/>
              <w:autoSpaceDN/>
              <w:bidi w:val="0"/>
              <w:spacing w:line="240" w:lineRule="auto"/>
              <w:rPr>
                <w:rFonts w:hint="eastAsia" w:hAnsi="宋体" w:eastAsia="宋体"/>
                <w:bCs/>
                <w:color w:val="auto"/>
                <w:kern w:val="0"/>
                <w:sz w:val="21"/>
                <w:szCs w:val="21"/>
                <w:lang w:eastAsia="zh-CN"/>
              </w:rPr>
            </w:pPr>
            <w:r>
              <w:rPr>
                <w:rFonts w:hint="eastAsia" w:hAnsi="宋体" w:eastAsia="宋体"/>
                <w:bCs/>
                <w:color w:val="auto"/>
                <w:kern w:val="0"/>
                <w:sz w:val="21"/>
                <w:szCs w:val="21"/>
                <w:lang w:eastAsia="zh-CN"/>
              </w:rPr>
              <w:t>总氮</w:t>
            </w:r>
          </w:p>
        </w:tc>
        <w:tc>
          <w:tcPr>
            <w:tcW w:w="1470" w:type="dxa"/>
            <w:vAlign w:val="center"/>
          </w:tcPr>
          <w:p w14:paraId="2204896B">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25119F1B">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2A8C58BE">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5CA38DC">
            <w:pPr>
              <w:pStyle w:val="50"/>
              <w:keepNext w:val="0"/>
              <w:keepLines w:val="0"/>
              <w:pageBreakBefore w:val="0"/>
              <w:kinsoku/>
              <w:wordWrap/>
              <w:overflowPunct/>
              <w:topLinePunct w:val="0"/>
              <w:autoSpaceDE/>
              <w:autoSpaceDN/>
              <w:bidi w:val="0"/>
              <w:spacing w:line="240" w:lineRule="auto"/>
              <w:rPr>
                <w:rFonts w:hint="default" w:eastAsia="宋体" w:cs="Times New Roman"/>
                <w:snapToGrid w:val="0"/>
                <w:color w:val="auto"/>
                <w:spacing w:val="0"/>
                <w:kern w:val="21"/>
                <w:position w:val="0"/>
                <w:sz w:val="21"/>
                <w:szCs w:val="21"/>
                <w:lang w:val="en-US" w:eastAsia="zh-CN"/>
              </w:rPr>
            </w:pPr>
            <w:r>
              <w:rPr>
                <w:rFonts w:hint="eastAsia" w:eastAsia="宋体" w:cs="Times New Roman"/>
                <w:snapToGrid w:val="0"/>
                <w:color w:val="auto"/>
                <w:spacing w:val="0"/>
                <w:kern w:val="21"/>
                <w:position w:val="0"/>
                <w:sz w:val="21"/>
                <w:szCs w:val="21"/>
                <w:lang w:val="en-US" w:eastAsia="zh-CN"/>
              </w:rPr>
              <w:t>3.0203</w:t>
            </w:r>
          </w:p>
        </w:tc>
        <w:tc>
          <w:tcPr>
            <w:tcW w:w="1381" w:type="dxa"/>
            <w:vAlign w:val="center"/>
          </w:tcPr>
          <w:p w14:paraId="729C7BE3">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7014677A">
            <w:pPr>
              <w:pStyle w:val="50"/>
              <w:keepNext w:val="0"/>
              <w:keepLines w:val="0"/>
              <w:pageBreakBefore w:val="0"/>
              <w:kinsoku/>
              <w:wordWrap/>
              <w:overflowPunct/>
              <w:topLinePunct w:val="0"/>
              <w:autoSpaceDE/>
              <w:autoSpaceDN/>
              <w:bidi w:val="0"/>
              <w:spacing w:line="240" w:lineRule="auto"/>
              <w:rPr>
                <w:rFonts w:hint="eastAsia" w:eastAsia="宋体" w:cs="Times New Roman"/>
                <w:snapToGrid w:val="0"/>
                <w:color w:val="auto"/>
                <w:spacing w:val="0"/>
                <w:kern w:val="21"/>
                <w:position w:val="0"/>
                <w:sz w:val="21"/>
                <w:szCs w:val="21"/>
                <w:lang w:val="en-US" w:eastAsia="zh-CN"/>
              </w:rPr>
            </w:pPr>
            <w:r>
              <w:rPr>
                <w:rFonts w:hint="eastAsia" w:eastAsia="宋体" w:cs="Times New Roman"/>
                <w:snapToGrid w:val="0"/>
                <w:color w:val="auto"/>
                <w:spacing w:val="0"/>
                <w:kern w:val="21"/>
                <w:position w:val="0"/>
                <w:sz w:val="21"/>
                <w:szCs w:val="21"/>
                <w:lang w:val="en-US" w:eastAsia="zh-CN"/>
              </w:rPr>
              <w:t>3.0203</w:t>
            </w:r>
          </w:p>
        </w:tc>
        <w:tc>
          <w:tcPr>
            <w:tcW w:w="1215" w:type="dxa"/>
            <w:vAlign w:val="center"/>
          </w:tcPr>
          <w:p w14:paraId="71E9E96F">
            <w:pPr>
              <w:pStyle w:val="50"/>
              <w:keepNext w:val="0"/>
              <w:keepLines w:val="0"/>
              <w:pageBreakBefore w:val="0"/>
              <w:kinsoku/>
              <w:wordWrap/>
              <w:overflowPunct/>
              <w:topLinePunct w:val="0"/>
              <w:autoSpaceDE/>
              <w:autoSpaceDN/>
              <w:bidi w:val="0"/>
              <w:spacing w:line="240" w:lineRule="auto"/>
              <w:rPr>
                <w:rFonts w:hint="eastAsia" w:eastAsia="宋体" w:cs="Times New Roman"/>
                <w:snapToGrid w:val="0"/>
                <w:color w:val="auto"/>
                <w:spacing w:val="0"/>
                <w:kern w:val="21"/>
                <w:position w:val="0"/>
                <w:sz w:val="21"/>
                <w:szCs w:val="21"/>
                <w:lang w:val="en-US" w:eastAsia="zh-CN"/>
              </w:rPr>
            </w:pPr>
            <w:r>
              <w:rPr>
                <w:rFonts w:hint="eastAsia" w:eastAsia="宋体" w:cs="Times New Roman"/>
                <w:snapToGrid w:val="0"/>
                <w:color w:val="auto"/>
                <w:spacing w:val="0"/>
                <w:kern w:val="21"/>
                <w:position w:val="0"/>
                <w:sz w:val="21"/>
                <w:szCs w:val="21"/>
                <w:lang w:val="en-US" w:eastAsia="zh-CN"/>
              </w:rPr>
              <w:t>+3.0203</w:t>
            </w:r>
          </w:p>
        </w:tc>
      </w:tr>
      <w:tr w14:paraId="79951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7EBCC916">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Ansi="宋体" w:eastAsia="宋体"/>
                <w:snapToGrid w:val="0"/>
                <w:color w:val="000000"/>
                <w:kern w:val="21"/>
                <w:sz w:val="21"/>
                <w:szCs w:val="21"/>
              </w:rPr>
              <w:t>一般工业</w:t>
            </w:r>
          </w:p>
          <w:p w14:paraId="3021E3F5">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Ansi="宋体" w:eastAsia="宋体"/>
                <w:snapToGrid w:val="0"/>
                <w:color w:val="000000"/>
                <w:kern w:val="21"/>
                <w:sz w:val="21"/>
                <w:szCs w:val="21"/>
              </w:rPr>
              <w:t>固体废物</w:t>
            </w:r>
          </w:p>
        </w:tc>
        <w:tc>
          <w:tcPr>
            <w:tcW w:w="1939" w:type="dxa"/>
            <w:vAlign w:val="center"/>
          </w:tcPr>
          <w:p w14:paraId="0E5B6FA3">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snapToGrid w:val="0"/>
                <w:color w:val="auto"/>
                <w:kern w:val="21"/>
                <w:sz w:val="21"/>
                <w:szCs w:val="21"/>
                <w:lang w:eastAsia="zh-CN"/>
              </w:rPr>
            </w:pPr>
            <w:r>
              <w:rPr>
                <w:rFonts w:hint="default" w:ascii="Times New Roman" w:hAnsi="Times New Roman" w:eastAsia="宋体" w:cs="Times New Roman"/>
                <w:b w:val="0"/>
                <w:bCs w:val="0"/>
                <w:color w:val="000000" w:themeColor="text1"/>
                <w:spacing w:val="0"/>
                <w:kern w:val="2"/>
                <w:position w:val="0"/>
                <w:sz w:val="21"/>
                <w:szCs w:val="21"/>
                <w:lang w:val="en-US" w:eastAsia="zh-CN"/>
                <w14:textFill>
                  <w14:solidFill>
                    <w14:schemeClr w14:val="tx1"/>
                  </w14:solidFill>
                </w14:textFill>
              </w:rPr>
              <w:t>废</w:t>
            </w:r>
            <w:r>
              <w:rPr>
                <w:rFonts w:hint="eastAsia" w:cs="Times New Roman"/>
                <w:b w:val="0"/>
                <w:bCs w:val="0"/>
                <w:color w:val="000000" w:themeColor="text1"/>
                <w:spacing w:val="0"/>
                <w:kern w:val="2"/>
                <w:position w:val="0"/>
                <w:sz w:val="21"/>
                <w:szCs w:val="21"/>
                <w:lang w:val="en-US" w:eastAsia="zh-CN"/>
                <w14:textFill>
                  <w14:solidFill>
                    <w14:schemeClr w14:val="tx1"/>
                  </w14:solidFill>
                </w14:textFill>
              </w:rPr>
              <w:t>铁屑</w:t>
            </w:r>
          </w:p>
        </w:tc>
        <w:tc>
          <w:tcPr>
            <w:tcW w:w="1470" w:type="dxa"/>
            <w:vAlign w:val="center"/>
          </w:tcPr>
          <w:p w14:paraId="1604D386">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43E4AAA5">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12BE2B32">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ED78B4F">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kern w:val="24"/>
                <w:sz w:val="21"/>
                <w:szCs w:val="21"/>
                <w:lang w:val="en-US" w:eastAsia="zh-CN"/>
              </w:rPr>
            </w:pPr>
            <w:r>
              <w:rPr>
                <w:rFonts w:hint="eastAsia"/>
                <w:snapToGrid w:val="0"/>
                <w:color w:val="auto"/>
                <w:kern w:val="24"/>
                <w:sz w:val="21"/>
                <w:szCs w:val="21"/>
                <w:lang w:val="en-US" w:eastAsia="zh-CN"/>
              </w:rPr>
              <w:t>45</w:t>
            </w:r>
          </w:p>
        </w:tc>
        <w:tc>
          <w:tcPr>
            <w:tcW w:w="1381" w:type="dxa"/>
            <w:vAlign w:val="center"/>
          </w:tcPr>
          <w:p w14:paraId="086436D9">
            <w:pPr>
              <w:pStyle w:val="50"/>
              <w:keepNext w:val="0"/>
              <w:keepLines w:val="0"/>
              <w:pageBreakBefore w:val="0"/>
              <w:kinsoku/>
              <w:wordWrap/>
              <w:overflowPunct/>
              <w:topLinePunct w:val="0"/>
              <w:autoSpaceDE/>
              <w:autoSpaceDN/>
              <w:bidi w:val="0"/>
              <w:spacing w:line="240" w:lineRule="auto"/>
              <w:rPr>
                <w:rFonts w:eastAsia="宋体"/>
                <w:snapToGrid w:val="0"/>
                <w:color w:val="000000"/>
                <w:kern w:val="21"/>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0CF1DE82">
            <w:pPr>
              <w:keepNext w:val="0"/>
              <w:keepLines w:val="0"/>
              <w:pageBreakBefore w:val="0"/>
              <w:widowControl w:val="0"/>
              <w:kinsoku/>
              <w:wordWrap/>
              <w:overflowPunct/>
              <w:topLinePunct w:val="0"/>
              <w:bidi w:val="0"/>
              <w:snapToGrid/>
              <w:ind w:left="-105" w:leftChars="-50" w:right="-105" w:rightChars="-50"/>
              <w:jc w:val="center"/>
              <w:textAlignment w:val="auto"/>
              <w:rPr>
                <w:snapToGrid w:val="0"/>
                <w:kern w:val="24"/>
                <w:sz w:val="21"/>
                <w:szCs w:val="21"/>
              </w:rPr>
            </w:pPr>
            <w:r>
              <w:rPr>
                <w:rFonts w:hint="eastAsia"/>
                <w:snapToGrid w:val="0"/>
                <w:color w:val="auto"/>
                <w:kern w:val="24"/>
                <w:sz w:val="21"/>
                <w:szCs w:val="21"/>
                <w:lang w:val="en-US" w:eastAsia="zh-CN"/>
              </w:rPr>
              <w:t>45</w:t>
            </w:r>
          </w:p>
        </w:tc>
        <w:tc>
          <w:tcPr>
            <w:tcW w:w="1215" w:type="dxa"/>
            <w:vAlign w:val="center"/>
          </w:tcPr>
          <w:p w14:paraId="46540931">
            <w:pPr>
              <w:keepNext w:val="0"/>
              <w:keepLines w:val="0"/>
              <w:pageBreakBefore w:val="0"/>
              <w:widowControl w:val="0"/>
              <w:kinsoku/>
              <w:wordWrap/>
              <w:overflowPunct/>
              <w:topLinePunct w:val="0"/>
              <w:bidi w:val="0"/>
              <w:snapToGrid/>
              <w:ind w:left="-105" w:leftChars="-50" w:right="-105" w:rightChars="-50"/>
              <w:jc w:val="center"/>
              <w:textAlignment w:val="auto"/>
              <w:rPr>
                <w:rFonts w:hint="default" w:eastAsia="宋体"/>
                <w:snapToGrid w:val="0"/>
                <w:kern w:val="24"/>
                <w:sz w:val="21"/>
                <w:szCs w:val="21"/>
                <w:lang w:val="en-US" w:eastAsia="zh-CN"/>
              </w:rPr>
            </w:pPr>
            <w:r>
              <w:rPr>
                <w:rFonts w:hint="eastAsia"/>
                <w:snapToGrid w:val="0"/>
                <w:color w:val="auto"/>
                <w:kern w:val="24"/>
                <w:sz w:val="21"/>
                <w:szCs w:val="21"/>
                <w:lang w:val="en-US" w:eastAsia="zh-CN"/>
              </w:rPr>
              <w:t>+45</w:t>
            </w:r>
          </w:p>
        </w:tc>
      </w:tr>
      <w:tr w14:paraId="04065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61206A6C">
            <w:pPr>
              <w:pStyle w:val="50"/>
              <w:keepNext w:val="0"/>
              <w:keepLines w:val="0"/>
              <w:pageBreakBefore w:val="0"/>
              <w:kinsoku/>
              <w:wordWrap/>
              <w:overflowPunct/>
              <w:topLinePunct w:val="0"/>
              <w:autoSpaceDE/>
              <w:autoSpaceDN/>
              <w:bidi w:val="0"/>
              <w:spacing w:line="240" w:lineRule="auto"/>
              <w:rPr>
                <w:rFonts w:hAnsi="宋体" w:eastAsia="宋体"/>
                <w:snapToGrid w:val="0"/>
                <w:color w:val="000000"/>
                <w:kern w:val="21"/>
                <w:sz w:val="21"/>
                <w:szCs w:val="21"/>
              </w:rPr>
            </w:pPr>
          </w:p>
        </w:tc>
        <w:tc>
          <w:tcPr>
            <w:tcW w:w="1939" w:type="dxa"/>
            <w:vAlign w:val="center"/>
          </w:tcPr>
          <w:p w14:paraId="52E07DFB">
            <w:pPr>
              <w:pStyle w:val="37"/>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snapToGrid w:val="0"/>
                <w:color w:val="auto"/>
                <w:kern w:val="24"/>
                <w:sz w:val="21"/>
                <w:szCs w:val="21"/>
                <w:lang w:eastAsia="zh-CN"/>
              </w:rPr>
            </w:pPr>
            <w:r>
              <w:rPr>
                <w:rFonts w:hint="eastAsia" w:cs="Times New Roman"/>
                <w:color w:val="000000" w:themeColor="text1"/>
                <w:spacing w:val="0"/>
                <w:position w:val="0"/>
                <w:sz w:val="21"/>
                <w:szCs w:val="21"/>
                <w:lang w:val="en-US" w:eastAsia="zh-CN"/>
                <w14:textFill>
                  <w14:solidFill>
                    <w14:schemeClr w14:val="tx1"/>
                  </w14:solidFill>
                </w14:textFill>
              </w:rPr>
              <w:t>废分子筛</w:t>
            </w:r>
          </w:p>
        </w:tc>
        <w:tc>
          <w:tcPr>
            <w:tcW w:w="1470" w:type="dxa"/>
            <w:vAlign w:val="center"/>
          </w:tcPr>
          <w:p w14:paraId="6DBA7225">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0182B82B">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54C0EC83">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14AC2673">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kern w:val="24"/>
                <w:sz w:val="21"/>
                <w:szCs w:val="21"/>
                <w:lang w:val="en-US" w:eastAsia="zh-CN"/>
              </w:rPr>
            </w:pPr>
            <w:r>
              <w:rPr>
                <w:rFonts w:hint="eastAsia"/>
                <w:snapToGrid w:val="0"/>
                <w:color w:val="auto"/>
                <w:kern w:val="24"/>
                <w:sz w:val="21"/>
                <w:szCs w:val="21"/>
                <w:lang w:val="en-US" w:eastAsia="zh-CN"/>
              </w:rPr>
              <w:t>0.2</w:t>
            </w:r>
          </w:p>
        </w:tc>
        <w:tc>
          <w:tcPr>
            <w:tcW w:w="1381" w:type="dxa"/>
            <w:vAlign w:val="center"/>
          </w:tcPr>
          <w:p w14:paraId="11708F98">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4404E37F">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 w:val="21"/>
                <w:szCs w:val="21"/>
                <w:lang w:val="en-US" w:eastAsia="zh-CN"/>
              </w:rPr>
            </w:pPr>
            <w:r>
              <w:rPr>
                <w:rFonts w:hint="eastAsia"/>
                <w:snapToGrid w:val="0"/>
                <w:color w:val="auto"/>
                <w:kern w:val="24"/>
                <w:sz w:val="21"/>
                <w:szCs w:val="21"/>
                <w:lang w:val="en-US" w:eastAsia="zh-CN"/>
              </w:rPr>
              <w:t>0.2</w:t>
            </w:r>
          </w:p>
        </w:tc>
        <w:tc>
          <w:tcPr>
            <w:tcW w:w="1215" w:type="dxa"/>
            <w:vAlign w:val="center"/>
          </w:tcPr>
          <w:p w14:paraId="6A8801D1">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kern w:val="24"/>
                <w:sz w:val="21"/>
                <w:szCs w:val="21"/>
                <w:lang w:val="en-US" w:eastAsia="zh-CN"/>
              </w:rPr>
            </w:pPr>
            <w:r>
              <w:rPr>
                <w:rFonts w:hint="eastAsia"/>
                <w:snapToGrid w:val="0"/>
                <w:color w:val="auto"/>
                <w:kern w:val="24"/>
                <w:sz w:val="21"/>
                <w:szCs w:val="21"/>
                <w:lang w:val="en-US" w:eastAsia="zh-CN"/>
              </w:rPr>
              <w:t>+0.2</w:t>
            </w:r>
          </w:p>
        </w:tc>
      </w:tr>
      <w:tr w14:paraId="5144D7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0B179213">
            <w:pPr>
              <w:pStyle w:val="50"/>
              <w:keepNext w:val="0"/>
              <w:keepLines w:val="0"/>
              <w:pageBreakBefore w:val="0"/>
              <w:kinsoku/>
              <w:wordWrap/>
              <w:overflowPunct/>
              <w:topLinePunct w:val="0"/>
              <w:autoSpaceDE/>
              <w:autoSpaceDN/>
              <w:bidi w:val="0"/>
              <w:spacing w:line="240" w:lineRule="auto"/>
              <w:rPr>
                <w:rFonts w:hAnsi="宋体" w:eastAsia="宋体"/>
                <w:snapToGrid w:val="0"/>
                <w:color w:val="000000"/>
                <w:kern w:val="21"/>
                <w:sz w:val="21"/>
                <w:szCs w:val="21"/>
              </w:rPr>
            </w:pPr>
          </w:p>
        </w:tc>
        <w:tc>
          <w:tcPr>
            <w:tcW w:w="1939" w:type="dxa"/>
            <w:vAlign w:val="center"/>
          </w:tcPr>
          <w:p w14:paraId="21FE2154">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snapToGrid w:val="0"/>
                <w:kern w:val="24"/>
                <w:szCs w:val="21"/>
                <w:lang w:eastAsia="zh-CN"/>
              </w:rPr>
              <w:t>废离子交换树脂</w:t>
            </w:r>
          </w:p>
        </w:tc>
        <w:tc>
          <w:tcPr>
            <w:tcW w:w="1470" w:type="dxa"/>
            <w:vAlign w:val="center"/>
          </w:tcPr>
          <w:p w14:paraId="3270C4DF">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132CE698">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587F88B9">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2490A33D">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 w:val="21"/>
                <w:szCs w:val="21"/>
                <w:lang w:val="en-US" w:eastAsia="zh-CN"/>
              </w:rPr>
            </w:pPr>
            <w:r>
              <w:rPr>
                <w:rFonts w:hint="eastAsia"/>
                <w:snapToGrid w:val="0"/>
                <w:color w:val="auto"/>
                <w:kern w:val="24"/>
                <w:szCs w:val="21"/>
                <w:lang w:val="en-US" w:eastAsia="zh-CN"/>
              </w:rPr>
              <w:t>0.1</w:t>
            </w:r>
          </w:p>
        </w:tc>
        <w:tc>
          <w:tcPr>
            <w:tcW w:w="1381" w:type="dxa"/>
            <w:vAlign w:val="center"/>
          </w:tcPr>
          <w:p w14:paraId="2E46979E">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3ABF7A66">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 w:val="21"/>
                <w:szCs w:val="21"/>
                <w:lang w:val="en-US" w:eastAsia="zh-CN"/>
              </w:rPr>
            </w:pPr>
            <w:r>
              <w:rPr>
                <w:rFonts w:hint="eastAsia"/>
                <w:snapToGrid w:val="0"/>
                <w:color w:val="auto"/>
                <w:kern w:val="24"/>
                <w:szCs w:val="21"/>
                <w:lang w:val="en-US" w:eastAsia="zh-CN"/>
              </w:rPr>
              <w:t>0.1</w:t>
            </w:r>
          </w:p>
        </w:tc>
        <w:tc>
          <w:tcPr>
            <w:tcW w:w="1215" w:type="dxa"/>
            <w:vAlign w:val="center"/>
          </w:tcPr>
          <w:p w14:paraId="788D28FA">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 w:val="21"/>
                <w:szCs w:val="21"/>
                <w:lang w:val="en-US" w:eastAsia="zh-CN"/>
              </w:rPr>
            </w:pPr>
            <w:r>
              <w:rPr>
                <w:rFonts w:hint="eastAsia"/>
                <w:snapToGrid w:val="0"/>
                <w:color w:val="auto"/>
                <w:kern w:val="24"/>
                <w:szCs w:val="21"/>
                <w:lang w:val="en-US" w:eastAsia="zh-CN"/>
              </w:rPr>
              <w:t>+0.1</w:t>
            </w:r>
          </w:p>
        </w:tc>
      </w:tr>
      <w:tr w14:paraId="4649C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36609ED3">
            <w:pPr>
              <w:pStyle w:val="50"/>
              <w:keepNext w:val="0"/>
              <w:keepLines w:val="0"/>
              <w:pageBreakBefore w:val="0"/>
              <w:kinsoku/>
              <w:wordWrap/>
              <w:overflowPunct/>
              <w:topLinePunct w:val="0"/>
              <w:autoSpaceDE/>
              <w:autoSpaceDN/>
              <w:bidi w:val="0"/>
              <w:spacing w:line="240" w:lineRule="auto"/>
              <w:rPr>
                <w:rFonts w:hAnsi="宋体" w:eastAsia="宋体"/>
                <w:snapToGrid w:val="0"/>
                <w:color w:val="000000"/>
                <w:kern w:val="21"/>
                <w:sz w:val="21"/>
                <w:szCs w:val="21"/>
              </w:rPr>
            </w:pPr>
          </w:p>
        </w:tc>
        <w:tc>
          <w:tcPr>
            <w:tcW w:w="1939" w:type="dxa"/>
            <w:vAlign w:val="center"/>
          </w:tcPr>
          <w:p w14:paraId="1E915042">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snapToGrid w:val="0"/>
                <w:kern w:val="24"/>
                <w:szCs w:val="21"/>
                <w:lang w:eastAsia="zh-CN"/>
              </w:rPr>
              <w:t>除尘灰</w:t>
            </w:r>
          </w:p>
        </w:tc>
        <w:tc>
          <w:tcPr>
            <w:tcW w:w="1470" w:type="dxa"/>
            <w:vAlign w:val="center"/>
          </w:tcPr>
          <w:p w14:paraId="271D60F2">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1A296C20">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7B2B278B">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61E8EC14">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 w:val="21"/>
                <w:szCs w:val="21"/>
                <w:lang w:val="en-US" w:eastAsia="zh-CN"/>
              </w:rPr>
            </w:pPr>
            <w:r>
              <w:rPr>
                <w:rFonts w:hint="eastAsia"/>
                <w:snapToGrid w:val="0"/>
                <w:color w:val="auto"/>
                <w:kern w:val="24"/>
                <w:szCs w:val="21"/>
                <w:lang w:val="en-US" w:eastAsia="zh-CN"/>
              </w:rPr>
              <w:t>10.6</w:t>
            </w:r>
          </w:p>
        </w:tc>
        <w:tc>
          <w:tcPr>
            <w:tcW w:w="1381" w:type="dxa"/>
            <w:vAlign w:val="center"/>
          </w:tcPr>
          <w:p w14:paraId="1B7C2C38">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1BC2232F">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 w:val="21"/>
                <w:szCs w:val="21"/>
                <w:lang w:val="en-US" w:eastAsia="zh-CN"/>
              </w:rPr>
            </w:pPr>
            <w:r>
              <w:rPr>
                <w:rFonts w:hint="eastAsia"/>
                <w:snapToGrid w:val="0"/>
                <w:color w:val="auto"/>
                <w:kern w:val="24"/>
                <w:szCs w:val="21"/>
                <w:lang w:val="en-US" w:eastAsia="zh-CN"/>
              </w:rPr>
              <w:t>10.6</w:t>
            </w:r>
          </w:p>
        </w:tc>
        <w:tc>
          <w:tcPr>
            <w:tcW w:w="1215" w:type="dxa"/>
            <w:vAlign w:val="center"/>
          </w:tcPr>
          <w:p w14:paraId="544D1DA1">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 w:val="21"/>
                <w:szCs w:val="21"/>
                <w:lang w:val="en-US" w:eastAsia="zh-CN"/>
              </w:rPr>
            </w:pPr>
            <w:r>
              <w:rPr>
                <w:rFonts w:hint="eastAsia"/>
                <w:snapToGrid w:val="0"/>
                <w:color w:val="auto"/>
                <w:kern w:val="24"/>
                <w:szCs w:val="21"/>
                <w:lang w:val="en-US" w:eastAsia="zh-CN"/>
              </w:rPr>
              <w:t>+10.6</w:t>
            </w:r>
          </w:p>
        </w:tc>
      </w:tr>
      <w:tr w14:paraId="4CE97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vAlign w:val="center"/>
          </w:tcPr>
          <w:p w14:paraId="390AF27E">
            <w:pPr>
              <w:pStyle w:val="50"/>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pacing w:val="0"/>
                <w:position w:val="0"/>
                <w:sz w:val="21"/>
                <w:szCs w:val="21"/>
                <w:lang w:eastAsia="zh-CN"/>
              </w:rPr>
            </w:pPr>
            <w:r>
              <w:rPr>
                <w:rFonts w:hint="eastAsia" w:eastAsia="宋体" w:cs="Times New Roman"/>
                <w:color w:val="auto"/>
                <w:spacing w:val="0"/>
                <w:position w:val="0"/>
                <w:sz w:val="21"/>
                <w:szCs w:val="21"/>
                <w:lang w:eastAsia="zh-CN"/>
              </w:rPr>
              <w:t>危险废物</w:t>
            </w:r>
          </w:p>
        </w:tc>
        <w:tc>
          <w:tcPr>
            <w:tcW w:w="1939" w:type="dxa"/>
            <w:vAlign w:val="center"/>
          </w:tcPr>
          <w:p w14:paraId="0147B5BD">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Times New Roman"/>
                <w:color w:val="auto"/>
                <w:spacing w:val="0"/>
                <w:position w:val="0"/>
                <w:sz w:val="21"/>
                <w:szCs w:val="21"/>
                <w:lang w:eastAsia="zh-CN"/>
              </w:rPr>
            </w:pPr>
            <w:r>
              <w:rPr>
                <w:rFonts w:hint="eastAsia"/>
                <w:snapToGrid w:val="0"/>
                <w:kern w:val="24"/>
                <w:szCs w:val="21"/>
                <w:lang w:eastAsia="zh-CN"/>
              </w:rPr>
              <w:t>废机油</w:t>
            </w:r>
          </w:p>
        </w:tc>
        <w:tc>
          <w:tcPr>
            <w:tcW w:w="1470" w:type="dxa"/>
            <w:vAlign w:val="center"/>
          </w:tcPr>
          <w:p w14:paraId="5F5AA84D">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419D7B64">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06E84BA7">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47ABE6FA">
            <w:pPr>
              <w:keepNext w:val="0"/>
              <w:keepLines w:val="0"/>
              <w:pageBreakBefore w:val="0"/>
              <w:widowControl w:val="0"/>
              <w:kinsoku/>
              <w:wordWrap/>
              <w:overflowPunct/>
              <w:topLinePunct w:val="0"/>
              <w:bidi w:val="0"/>
              <w:snapToGrid/>
              <w:ind w:left="-105" w:leftChars="-50" w:right="-105" w:rightChars="-50"/>
              <w:jc w:val="center"/>
              <w:textAlignment w:val="auto"/>
              <w:rPr>
                <w:rFonts w:hint="default" w:cs="Times New Roman"/>
                <w:color w:val="auto"/>
                <w:spacing w:val="0"/>
                <w:position w:val="0"/>
                <w:sz w:val="21"/>
                <w:szCs w:val="21"/>
                <w:lang w:val="en-US" w:eastAsia="zh-CN"/>
              </w:rPr>
            </w:pPr>
            <w:r>
              <w:rPr>
                <w:rFonts w:hint="eastAsia"/>
                <w:snapToGrid w:val="0"/>
                <w:color w:val="auto"/>
                <w:kern w:val="24"/>
                <w:szCs w:val="21"/>
                <w:lang w:val="en-US" w:eastAsia="zh-CN"/>
              </w:rPr>
              <w:t>0.2</w:t>
            </w:r>
          </w:p>
        </w:tc>
        <w:tc>
          <w:tcPr>
            <w:tcW w:w="1381" w:type="dxa"/>
            <w:vAlign w:val="center"/>
          </w:tcPr>
          <w:p w14:paraId="5BB55334">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2705E103">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snapToGrid w:val="0"/>
                <w:color w:val="auto"/>
                <w:kern w:val="24"/>
                <w:szCs w:val="21"/>
                <w:lang w:val="en-US" w:eastAsia="zh-CN"/>
              </w:rPr>
              <w:t>0.2</w:t>
            </w:r>
          </w:p>
        </w:tc>
        <w:tc>
          <w:tcPr>
            <w:tcW w:w="1215" w:type="dxa"/>
            <w:vAlign w:val="center"/>
          </w:tcPr>
          <w:p w14:paraId="525B801F">
            <w:pPr>
              <w:keepNext w:val="0"/>
              <w:keepLines w:val="0"/>
              <w:pageBreakBefore w:val="0"/>
              <w:widowControl w:val="0"/>
              <w:kinsoku/>
              <w:wordWrap/>
              <w:overflowPunct/>
              <w:topLinePunct w:val="0"/>
              <w:bidi w:val="0"/>
              <w:snapToGrid/>
              <w:ind w:left="-105" w:leftChars="-50" w:right="-105" w:rightChars="-5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snapToGrid w:val="0"/>
                <w:color w:val="auto"/>
                <w:kern w:val="24"/>
                <w:szCs w:val="21"/>
                <w:lang w:val="en-US" w:eastAsia="zh-CN"/>
              </w:rPr>
              <w:t>+0.2</w:t>
            </w:r>
          </w:p>
        </w:tc>
      </w:tr>
      <w:tr w14:paraId="672C7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vAlign w:val="center"/>
          </w:tcPr>
          <w:p w14:paraId="249E7617">
            <w:pPr>
              <w:pStyle w:val="50"/>
              <w:keepNext w:val="0"/>
              <w:keepLines w:val="0"/>
              <w:pageBreakBefore w:val="0"/>
              <w:kinsoku/>
              <w:wordWrap/>
              <w:overflowPunct/>
              <w:topLinePunct w:val="0"/>
              <w:autoSpaceDE/>
              <w:autoSpaceDN/>
              <w:bidi w:val="0"/>
              <w:spacing w:line="240" w:lineRule="auto"/>
              <w:rPr>
                <w:rFonts w:hint="eastAsia" w:eastAsia="宋体" w:cs="Times New Roman"/>
                <w:color w:val="auto"/>
                <w:spacing w:val="0"/>
                <w:position w:val="0"/>
                <w:sz w:val="21"/>
                <w:szCs w:val="21"/>
                <w:lang w:eastAsia="zh-CN"/>
              </w:rPr>
            </w:pPr>
          </w:p>
        </w:tc>
        <w:tc>
          <w:tcPr>
            <w:tcW w:w="1939" w:type="dxa"/>
            <w:vAlign w:val="center"/>
          </w:tcPr>
          <w:p w14:paraId="1343660F">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Times New Roman"/>
                <w:color w:val="000000" w:themeColor="text1"/>
                <w:spacing w:val="0"/>
                <w:kern w:val="2"/>
                <w:position w:val="0"/>
                <w:sz w:val="21"/>
                <w:szCs w:val="21"/>
                <w:lang w:val="en-US" w:eastAsia="zh-CN" w:bidi="ar-SA"/>
                <w14:textFill>
                  <w14:solidFill>
                    <w14:schemeClr w14:val="tx1"/>
                  </w14:solidFill>
                </w14:textFill>
              </w:rPr>
            </w:pPr>
            <w:r>
              <w:rPr>
                <w:rFonts w:hint="eastAsia"/>
                <w:snapToGrid w:val="0"/>
                <w:kern w:val="24"/>
                <w:szCs w:val="21"/>
                <w:lang w:eastAsia="zh-CN"/>
              </w:rPr>
              <w:t>废机油桶</w:t>
            </w:r>
          </w:p>
        </w:tc>
        <w:tc>
          <w:tcPr>
            <w:tcW w:w="1470" w:type="dxa"/>
            <w:vAlign w:val="center"/>
          </w:tcPr>
          <w:p w14:paraId="0061FC3D">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198D0F91">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4D6B7ADA">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3BC8889A">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color w:val="auto"/>
                <w:kern w:val="24"/>
                <w:sz w:val="21"/>
                <w:szCs w:val="21"/>
                <w:lang w:val="en-US" w:eastAsia="zh-CN"/>
              </w:rPr>
            </w:pPr>
            <w:r>
              <w:rPr>
                <w:rFonts w:hint="eastAsia"/>
                <w:snapToGrid w:val="0"/>
                <w:color w:val="auto"/>
                <w:kern w:val="24"/>
                <w:szCs w:val="21"/>
                <w:lang w:val="en-US" w:eastAsia="zh-CN"/>
              </w:rPr>
              <w:t>0.02</w:t>
            </w:r>
          </w:p>
        </w:tc>
        <w:tc>
          <w:tcPr>
            <w:tcW w:w="1381" w:type="dxa"/>
            <w:vAlign w:val="center"/>
          </w:tcPr>
          <w:p w14:paraId="4E90CD8F">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lang w:val="en-US" w:eastAsia="zh-CN"/>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4C612E8E">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 w:val="21"/>
                <w:szCs w:val="21"/>
                <w:lang w:val="en-US" w:eastAsia="zh-CN"/>
              </w:rPr>
            </w:pPr>
            <w:r>
              <w:rPr>
                <w:rFonts w:hint="eastAsia"/>
                <w:snapToGrid w:val="0"/>
                <w:color w:val="auto"/>
                <w:kern w:val="24"/>
                <w:szCs w:val="21"/>
                <w:lang w:val="en-US" w:eastAsia="zh-CN"/>
              </w:rPr>
              <w:t>0.02</w:t>
            </w:r>
          </w:p>
        </w:tc>
        <w:tc>
          <w:tcPr>
            <w:tcW w:w="1215" w:type="dxa"/>
            <w:vAlign w:val="center"/>
          </w:tcPr>
          <w:p w14:paraId="0F5FCD73">
            <w:pPr>
              <w:keepNext w:val="0"/>
              <w:keepLines w:val="0"/>
              <w:pageBreakBefore w:val="0"/>
              <w:widowControl w:val="0"/>
              <w:kinsoku/>
              <w:wordWrap/>
              <w:overflowPunct/>
              <w:topLinePunct w:val="0"/>
              <w:bidi w:val="0"/>
              <w:snapToGrid/>
              <w:ind w:left="-105" w:leftChars="-50" w:right="-105" w:rightChars="-50"/>
              <w:jc w:val="center"/>
              <w:textAlignment w:val="auto"/>
              <w:rPr>
                <w:rFonts w:hint="eastAsia"/>
                <w:snapToGrid w:val="0"/>
                <w:color w:val="auto"/>
                <w:kern w:val="24"/>
                <w:sz w:val="21"/>
                <w:szCs w:val="21"/>
                <w:lang w:val="en-US" w:eastAsia="zh-CN"/>
              </w:rPr>
            </w:pPr>
            <w:r>
              <w:rPr>
                <w:rFonts w:hint="eastAsia"/>
                <w:snapToGrid w:val="0"/>
                <w:color w:val="auto"/>
                <w:kern w:val="24"/>
                <w:szCs w:val="21"/>
                <w:lang w:val="en-US" w:eastAsia="zh-CN"/>
              </w:rPr>
              <w:t>+0.02</w:t>
            </w:r>
          </w:p>
        </w:tc>
      </w:tr>
      <w:tr w14:paraId="77D25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Align w:val="center"/>
          </w:tcPr>
          <w:p w14:paraId="2FF9168D">
            <w:pPr>
              <w:pStyle w:val="50"/>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pacing w:val="0"/>
                <w:position w:val="0"/>
                <w:sz w:val="21"/>
                <w:szCs w:val="21"/>
                <w:lang w:eastAsia="zh-CN"/>
              </w:rPr>
            </w:pPr>
            <w:r>
              <w:rPr>
                <w:rFonts w:hint="eastAsia" w:eastAsia="宋体" w:cs="Times New Roman"/>
                <w:color w:val="auto"/>
                <w:spacing w:val="0"/>
                <w:position w:val="0"/>
                <w:sz w:val="21"/>
                <w:szCs w:val="21"/>
                <w:lang w:eastAsia="zh-CN"/>
              </w:rPr>
              <w:t>生活垃圾</w:t>
            </w:r>
          </w:p>
        </w:tc>
        <w:tc>
          <w:tcPr>
            <w:tcW w:w="1939" w:type="dxa"/>
            <w:vAlign w:val="center"/>
          </w:tcPr>
          <w:p w14:paraId="10E75F59">
            <w:pPr>
              <w:pStyle w:val="6"/>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c>
          <w:tcPr>
            <w:tcW w:w="1470" w:type="dxa"/>
            <w:vAlign w:val="center"/>
          </w:tcPr>
          <w:p w14:paraId="3042B647">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230" w:type="dxa"/>
            <w:vAlign w:val="center"/>
          </w:tcPr>
          <w:p w14:paraId="6B60B512">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590" w:type="dxa"/>
            <w:vAlign w:val="center"/>
          </w:tcPr>
          <w:p w14:paraId="547030DA">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425" w:type="dxa"/>
            <w:vAlign w:val="center"/>
          </w:tcPr>
          <w:p w14:paraId="56D97730">
            <w:pPr>
              <w:keepNext w:val="0"/>
              <w:keepLines w:val="0"/>
              <w:pageBreakBefore w:val="0"/>
              <w:widowControl w:val="0"/>
              <w:kinsoku/>
              <w:wordWrap/>
              <w:overflowPunct/>
              <w:topLinePunct w:val="0"/>
              <w:bidi w:val="0"/>
              <w:snapToGrid/>
              <w:ind w:left="-105" w:leftChars="-50" w:right="-105" w:rightChars="-50"/>
              <w:jc w:val="center"/>
              <w:textAlignment w:val="auto"/>
              <w:rPr>
                <w:rFonts w:hint="default"/>
                <w:snapToGrid w:val="0"/>
                <w:kern w:val="24"/>
                <w:sz w:val="21"/>
                <w:szCs w:val="21"/>
                <w:lang w:val="en-US" w:eastAsia="zh-CN"/>
              </w:rPr>
            </w:pPr>
            <w:r>
              <w:rPr>
                <w:rFonts w:hint="eastAsia"/>
                <w:snapToGrid w:val="0"/>
                <w:kern w:val="24"/>
                <w:sz w:val="21"/>
                <w:szCs w:val="21"/>
                <w:lang w:val="en-US" w:eastAsia="zh-CN"/>
              </w:rPr>
              <w:t>12</w:t>
            </w:r>
          </w:p>
        </w:tc>
        <w:tc>
          <w:tcPr>
            <w:tcW w:w="1381" w:type="dxa"/>
            <w:vAlign w:val="center"/>
          </w:tcPr>
          <w:p w14:paraId="67213136">
            <w:pPr>
              <w:pStyle w:val="50"/>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snapToGrid w:val="0"/>
                <w:color w:val="auto"/>
                <w:spacing w:val="0"/>
                <w:kern w:val="21"/>
                <w:position w:val="0"/>
                <w:sz w:val="21"/>
                <w:szCs w:val="21"/>
              </w:rPr>
            </w:pPr>
            <w:r>
              <w:rPr>
                <w:rFonts w:hint="default" w:ascii="Times New Roman" w:hAnsi="Times New Roman" w:eastAsia="宋体" w:cs="Times New Roman"/>
                <w:snapToGrid w:val="0"/>
                <w:color w:val="auto"/>
                <w:spacing w:val="0"/>
                <w:kern w:val="21"/>
                <w:position w:val="0"/>
                <w:sz w:val="21"/>
                <w:szCs w:val="21"/>
                <w:lang w:val="en-US" w:eastAsia="zh-CN"/>
              </w:rPr>
              <w:t>/</w:t>
            </w:r>
          </w:p>
        </w:tc>
        <w:tc>
          <w:tcPr>
            <w:tcW w:w="1950" w:type="dxa"/>
            <w:vAlign w:val="center"/>
          </w:tcPr>
          <w:p w14:paraId="02D9B065">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snapToGrid w:val="0"/>
                <w:kern w:val="24"/>
                <w:sz w:val="21"/>
                <w:szCs w:val="21"/>
                <w:lang w:val="en-US" w:eastAsia="zh-CN"/>
              </w:rPr>
              <w:t>12</w:t>
            </w:r>
          </w:p>
        </w:tc>
        <w:tc>
          <w:tcPr>
            <w:tcW w:w="1215" w:type="dxa"/>
            <w:vAlign w:val="center"/>
          </w:tcPr>
          <w:p w14:paraId="43A0D65E">
            <w:pPr>
              <w:keepNext w:val="0"/>
              <w:keepLines w:val="0"/>
              <w:pageBreakBefore w:val="0"/>
              <w:widowControl w:val="0"/>
              <w:kinsoku/>
              <w:wordWrap/>
              <w:overflowPunct/>
              <w:topLinePunct w:val="0"/>
              <w:bidi w:val="0"/>
              <w:snapToGrid/>
              <w:ind w:left="-105" w:leftChars="-50" w:right="-105" w:rightChars="-50"/>
              <w:jc w:val="center"/>
              <w:textAlignment w:val="auto"/>
              <w:rPr>
                <w:rFonts w:hint="eastAsia" w:cs="Times New Roman"/>
                <w:color w:val="auto"/>
                <w:spacing w:val="0"/>
                <w:position w:val="0"/>
                <w:sz w:val="21"/>
                <w:szCs w:val="21"/>
                <w:lang w:val="en-US" w:eastAsia="zh-CN"/>
              </w:rPr>
            </w:pPr>
            <w:r>
              <w:rPr>
                <w:rFonts w:hint="eastAsia"/>
                <w:snapToGrid w:val="0"/>
                <w:kern w:val="24"/>
                <w:sz w:val="21"/>
                <w:szCs w:val="21"/>
                <w:lang w:val="en-US" w:eastAsia="zh-CN"/>
              </w:rPr>
              <w:t>+12</w:t>
            </w:r>
          </w:p>
        </w:tc>
      </w:tr>
    </w:tbl>
    <w:p w14:paraId="58D587EB">
      <w:pPr>
        <w:pStyle w:val="13"/>
        <w:ind w:left="0" w:leftChars="0" w:firstLine="0" w:firstLineChars="0"/>
      </w:pPr>
      <w:r>
        <w:t>注：</w:t>
      </w:r>
      <w:r>
        <w:rPr>
          <w:rFonts w:hAnsi="宋体"/>
          <w:spacing w:val="-3"/>
        </w:rPr>
        <w:t>⑥</w:t>
      </w:r>
      <w:r>
        <w:rPr>
          <w:rFonts w:eastAsia="Times New Roman"/>
          <w:spacing w:val="-16"/>
        </w:rPr>
        <w:t>=</w:t>
      </w:r>
      <w:r>
        <w:rPr>
          <w:rFonts w:hAnsi="宋体"/>
        </w:rPr>
        <w:t>①</w:t>
      </w:r>
      <w:r>
        <w:rPr>
          <w:rFonts w:eastAsia="Times New Roman"/>
          <w:spacing w:val="-9"/>
        </w:rPr>
        <w:t>+</w:t>
      </w:r>
      <w:r>
        <w:rPr>
          <w:rFonts w:hAnsi="宋体"/>
        </w:rPr>
        <w:t>③</w:t>
      </w:r>
      <w:r>
        <w:rPr>
          <w:rFonts w:eastAsia="Times New Roman"/>
          <w:spacing w:val="-9"/>
        </w:rPr>
        <w:t>+</w:t>
      </w:r>
      <w:r>
        <w:rPr>
          <w:rFonts w:hAnsi="宋体"/>
        </w:rPr>
        <w:t>④</w:t>
      </w:r>
      <w:r>
        <w:rPr>
          <w:rFonts w:eastAsia="Times New Roman"/>
          <w:spacing w:val="-8"/>
        </w:rPr>
        <w:t>-</w:t>
      </w:r>
      <w:r>
        <w:rPr>
          <w:rFonts w:hAnsi="宋体"/>
        </w:rPr>
        <w:t>⑤</w:t>
      </w:r>
      <w:r>
        <w:rPr>
          <w:spacing w:val="-34"/>
        </w:rPr>
        <w:t>；</w:t>
      </w:r>
      <w:r>
        <w:rPr>
          <w:rFonts w:hAnsi="宋体"/>
        </w:rPr>
        <w:t>⑦</w:t>
      </w:r>
      <w:r>
        <w:rPr>
          <w:rFonts w:eastAsia="Times New Roman"/>
          <w:spacing w:val="-9"/>
        </w:rPr>
        <w:t>=</w:t>
      </w:r>
      <w:r>
        <w:rPr>
          <w:rFonts w:hAnsi="宋体"/>
        </w:rPr>
        <w:t>⑥</w:t>
      </w:r>
      <w:r>
        <w:rPr>
          <w:rFonts w:eastAsia="Times New Roman"/>
          <w:spacing w:val="-18"/>
        </w:rPr>
        <w:t>-</w:t>
      </w:r>
      <w:r>
        <w:rPr>
          <w:rFonts w:hAnsi="宋体"/>
        </w:rPr>
        <w:t>①</w:t>
      </w:r>
    </w:p>
    <w:p w14:paraId="37DC746C">
      <w:pPr>
        <w:spacing w:line="480" w:lineRule="auto"/>
        <w:jc w:val="both"/>
        <w:outlineLvl w:val="0"/>
        <w:rPr>
          <w:rFonts w:hint="eastAsia" w:eastAsia="宋体"/>
          <w:lang w:eastAsia="zh-CN"/>
        </w:rPr>
        <w:sectPr>
          <w:pgSz w:w="16838" w:h="11906" w:orient="landscape"/>
          <w:pgMar w:top="1800" w:right="1440" w:bottom="1800" w:left="1440" w:header="851" w:footer="992" w:gutter="0"/>
          <w:cols w:space="425" w:num="1"/>
          <w:docGrid w:type="lines" w:linePitch="312" w:charSpace="0"/>
        </w:sectPr>
      </w:pPr>
    </w:p>
    <w:p w14:paraId="41CB9EA9">
      <w:pPr>
        <w:spacing w:line="240" w:lineRule="auto"/>
        <w:jc w:val="left"/>
        <w:outlineLvl w:val="0"/>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MingLiU">
    <w:panose1 w:val="02020509000000000000"/>
    <w:charset w:val="88"/>
    <w:family w:val="moder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C5BFB">
    <w:pPr>
      <w:pStyle w:val="18"/>
      <w:jc w:val="center"/>
    </w:pPr>
  </w:p>
  <w:p w14:paraId="3BB57091">
    <w:pPr>
      <w:pStyle w:val="1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453E7">
    <w:pPr>
      <w:pStyle w:val="18"/>
      <w:jc w:val="center"/>
    </w:pPr>
  </w:p>
  <w:p w14:paraId="12E0ABC0">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09BA9">
    <w:pPr>
      <w:pStyle w:val="1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462F4">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AF462F4">
                    <w:pPr>
                      <w:pStyle w:val="18"/>
                    </w:pPr>
                    <w:r>
                      <w:fldChar w:fldCharType="begin"/>
                    </w:r>
                    <w:r>
                      <w:instrText xml:space="preserve"> PAGE  \* MERGEFORMAT </w:instrText>
                    </w:r>
                    <w:r>
                      <w:fldChar w:fldCharType="separate"/>
                    </w:r>
                    <w:r>
                      <w:t>1</w:t>
                    </w:r>
                    <w:r>
                      <w:fldChar w:fldCharType="end"/>
                    </w:r>
                  </w:p>
                </w:txbxContent>
              </v:textbox>
            </v:shape>
          </w:pict>
        </mc:Fallback>
      </mc:AlternateContent>
    </w:r>
  </w:p>
  <w:p w14:paraId="1F3ECA09">
    <w:pPr>
      <w:pStyle w:val="1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FF144"/>
    <w:multiLevelType w:val="singleLevel"/>
    <w:tmpl w:val="8E7FF144"/>
    <w:lvl w:ilvl="0" w:tentative="0">
      <w:start w:val="4"/>
      <w:numFmt w:val="chineseCounting"/>
      <w:suff w:val="nothing"/>
      <w:lvlText w:val="（%1）"/>
      <w:lvlJc w:val="left"/>
      <w:rPr>
        <w:rFonts w:hint="eastAsia"/>
      </w:rPr>
    </w:lvl>
  </w:abstractNum>
  <w:abstractNum w:abstractNumId="1">
    <w:nsid w:val="562C0DC8"/>
    <w:multiLevelType w:val="singleLevel"/>
    <w:tmpl w:val="562C0DC8"/>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xNjMyNTViYmRjZjc4YTg0NGUyZGMzZGMyNzI4MzIifQ=="/>
  </w:docVars>
  <w:rsids>
    <w:rsidRoot w:val="00172A27"/>
    <w:rsid w:val="00016698"/>
    <w:rsid w:val="00076791"/>
    <w:rsid w:val="000943C8"/>
    <w:rsid w:val="00133387"/>
    <w:rsid w:val="001A3A69"/>
    <w:rsid w:val="00220C44"/>
    <w:rsid w:val="002304F4"/>
    <w:rsid w:val="00367C7C"/>
    <w:rsid w:val="003840BE"/>
    <w:rsid w:val="004D5131"/>
    <w:rsid w:val="00515DDF"/>
    <w:rsid w:val="00621C19"/>
    <w:rsid w:val="00675481"/>
    <w:rsid w:val="00683A8F"/>
    <w:rsid w:val="006A5E20"/>
    <w:rsid w:val="006F6E22"/>
    <w:rsid w:val="007A3406"/>
    <w:rsid w:val="007C717F"/>
    <w:rsid w:val="00937640"/>
    <w:rsid w:val="00C00E64"/>
    <w:rsid w:val="00CB5A10"/>
    <w:rsid w:val="00CE635F"/>
    <w:rsid w:val="00CF6FBB"/>
    <w:rsid w:val="00D21CAA"/>
    <w:rsid w:val="00D94C1C"/>
    <w:rsid w:val="00DA5C53"/>
    <w:rsid w:val="00EB4E03"/>
    <w:rsid w:val="00F55E33"/>
    <w:rsid w:val="010A29DC"/>
    <w:rsid w:val="010F3B4F"/>
    <w:rsid w:val="01277E1F"/>
    <w:rsid w:val="012D0479"/>
    <w:rsid w:val="012E34F5"/>
    <w:rsid w:val="01317F69"/>
    <w:rsid w:val="013435B5"/>
    <w:rsid w:val="014C6B51"/>
    <w:rsid w:val="014D0B1B"/>
    <w:rsid w:val="01503938"/>
    <w:rsid w:val="01561A81"/>
    <w:rsid w:val="015E5D03"/>
    <w:rsid w:val="015F40C2"/>
    <w:rsid w:val="01727E58"/>
    <w:rsid w:val="017B11E4"/>
    <w:rsid w:val="01814D85"/>
    <w:rsid w:val="0184657F"/>
    <w:rsid w:val="01883901"/>
    <w:rsid w:val="018A1427"/>
    <w:rsid w:val="018A1607"/>
    <w:rsid w:val="018B7317"/>
    <w:rsid w:val="018D0F17"/>
    <w:rsid w:val="019B6940"/>
    <w:rsid w:val="019D55FE"/>
    <w:rsid w:val="01A15DCF"/>
    <w:rsid w:val="01A26771"/>
    <w:rsid w:val="01AF70E0"/>
    <w:rsid w:val="01BC1CFB"/>
    <w:rsid w:val="01C34939"/>
    <w:rsid w:val="01C74429"/>
    <w:rsid w:val="01CA3538"/>
    <w:rsid w:val="01D20C73"/>
    <w:rsid w:val="01D6494A"/>
    <w:rsid w:val="01D66BDF"/>
    <w:rsid w:val="01DB23E9"/>
    <w:rsid w:val="01EF3980"/>
    <w:rsid w:val="01F1249D"/>
    <w:rsid w:val="01F510ED"/>
    <w:rsid w:val="020147F5"/>
    <w:rsid w:val="020339F1"/>
    <w:rsid w:val="02105DD0"/>
    <w:rsid w:val="022655F4"/>
    <w:rsid w:val="023A109F"/>
    <w:rsid w:val="023A60BA"/>
    <w:rsid w:val="02427F54"/>
    <w:rsid w:val="02467A44"/>
    <w:rsid w:val="024806E1"/>
    <w:rsid w:val="024912E2"/>
    <w:rsid w:val="025008C3"/>
    <w:rsid w:val="0256755B"/>
    <w:rsid w:val="02591C86"/>
    <w:rsid w:val="026B74AB"/>
    <w:rsid w:val="026C6D7F"/>
    <w:rsid w:val="027E058D"/>
    <w:rsid w:val="028400BA"/>
    <w:rsid w:val="02880B7A"/>
    <w:rsid w:val="02983DEE"/>
    <w:rsid w:val="02A35AD5"/>
    <w:rsid w:val="02AF1BCE"/>
    <w:rsid w:val="02BE39F3"/>
    <w:rsid w:val="02D154F8"/>
    <w:rsid w:val="02D71885"/>
    <w:rsid w:val="02D7523F"/>
    <w:rsid w:val="02DC76FD"/>
    <w:rsid w:val="02E01C47"/>
    <w:rsid w:val="02E244CB"/>
    <w:rsid w:val="02ED1C6E"/>
    <w:rsid w:val="03140DA8"/>
    <w:rsid w:val="03250913"/>
    <w:rsid w:val="032F2286"/>
    <w:rsid w:val="03304250"/>
    <w:rsid w:val="033C49A3"/>
    <w:rsid w:val="033C722B"/>
    <w:rsid w:val="034976C7"/>
    <w:rsid w:val="034F4BFC"/>
    <w:rsid w:val="03547EE0"/>
    <w:rsid w:val="035C508B"/>
    <w:rsid w:val="037405E1"/>
    <w:rsid w:val="037751CA"/>
    <w:rsid w:val="037D6FD0"/>
    <w:rsid w:val="03914CEF"/>
    <w:rsid w:val="03920A67"/>
    <w:rsid w:val="039667A9"/>
    <w:rsid w:val="03A04F32"/>
    <w:rsid w:val="03A16222"/>
    <w:rsid w:val="03AC0546"/>
    <w:rsid w:val="03C672EC"/>
    <w:rsid w:val="03EC192C"/>
    <w:rsid w:val="03F637F9"/>
    <w:rsid w:val="03F70128"/>
    <w:rsid w:val="03F82FC0"/>
    <w:rsid w:val="03FA2B26"/>
    <w:rsid w:val="040E6340"/>
    <w:rsid w:val="04105E54"/>
    <w:rsid w:val="04154130"/>
    <w:rsid w:val="041A2636"/>
    <w:rsid w:val="04242D8F"/>
    <w:rsid w:val="04267B2D"/>
    <w:rsid w:val="042F62B6"/>
    <w:rsid w:val="04310280"/>
    <w:rsid w:val="0433593E"/>
    <w:rsid w:val="043B416D"/>
    <w:rsid w:val="043E061A"/>
    <w:rsid w:val="04452B3A"/>
    <w:rsid w:val="0445629D"/>
    <w:rsid w:val="045A1585"/>
    <w:rsid w:val="045F340D"/>
    <w:rsid w:val="04714B20"/>
    <w:rsid w:val="0475016D"/>
    <w:rsid w:val="04893C18"/>
    <w:rsid w:val="04A44EF6"/>
    <w:rsid w:val="04AC5B58"/>
    <w:rsid w:val="04B748FF"/>
    <w:rsid w:val="04BE4CA1"/>
    <w:rsid w:val="04C42EA2"/>
    <w:rsid w:val="04C93849"/>
    <w:rsid w:val="04D1736D"/>
    <w:rsid w:val="04D31337"/>
    <w:rsid w:val="04DD619A"/>
    <w:rsid w:val="04FA1B9E"/>
    <w:rsid w:val="04FA68C4"/>
    <w:rsid w:val="050125B3"/>
    <w:rsid w:val="05195009"/>
    <w:rsid w:val="051A2E33"/>
    <w:rsid w:val="051A51B8"/>
    <w:rsid w:val="05277AB9"/>
    <w:rsid w:val="053C6EDC"/>
    <w:rsid w:val="053D35EE"/>
    <w:rsid w:val="05453FE3"/>
    <w:rsid w:val="0550067E"/>
    <w:rsid w:val="055B706D"/>
    <w:rsid w:val="056106F1"/>
    <w:rsid w:val="05656433"/>
    <w:rsid w:val="056A1C9B"/>
    <w:rsid w:val="058954CE"/>
    <w:rsid w:val="05940AC6"/>
    <w:rsid w:val="059C0C88"/>
    <w:rsid w:val="05A54A82"/>
    <w:rsid w:val="05AC4062"/>
    <w:rsid w:val="05B15E5D"/>
    <w:rsid w:val="05B44CC5"/>
    <w:rsid w:val="05B86E6A"/>
    <w:rsid w:val="05BC001D"/>
    <w:rsid w:val="05C23886"/>
    <w:rsid w:val="05C56ED2"/>
    <w:rsid w:val="05D9472B"/>
    <w:rsid w:val="05E355AA"/>
    <w:rsid w:val="05ED2BE6"/>
    <w:rsid w:val="05EF03F3"/>
    <w:rsid w:val="05F27D99"/>
    <w:rsid w:val="05F461E5"/>
    <w:rsid w:val="05F72E03"/>
    <w:rsid w:val="05FD496D"/>
    <w:rsid w:val="06112117"/>
    <w:rsid w:val="0611588E"/>
    <w:rsid w:val="061F2A86"/>
    <w:rsid w:val="062C7870"/>
    <w:rsid w:val="063E4AA0"/>
    <w:rsid w:val="064031B8"/>
    <w:rsid w:val="06450047"/>
    <w:rsid w:val="064B44C8"/>
    <w:rsid w:val="06587D46"/>
    <w:rsid w:val="066606B5"/>
    <w:rsid w:val="066761DB"/>
    <w:rsid w:val="066F0F41"/>
    <w:rsid w:val="068448FD"/>
    <w:rsid w:val="06862B05"/>
    <w:rsid w:val="06AA5FE0"/>
    <w:rsid w:val="06BF2F4B"/>
    <w:rsid w:val="06C21663"/>
    <w:rsid w:val="06C947A0"/>
    <w:rsid w:val="06D373CC"/>
    <w:rsid w:val="06D53145"/>
    <w:rsid w:val="06D66EBD"/>
    <w:rsid w:val="06FF6413"/>
    <w:rsid w:val="07036F3E"/>
    <w:rsid w:val="07057767"/>
    <w:rsid w:val="070C63F7"/>
    <w:rsid w:val="070E6657"/>
    <w:rsid w:val="071A6FCB"/>
    <w:rsid w:val="071C5B49"/>
    <w:rsid w:val="072916E2"/>
    <w:rsid w:val="072C7195"/>
    <w:rsid w:val="07305F29"/>
    <w:rsid w:val="07373DFF"/>
    <w:rsid w:val="07392174"/>
    <w:rsid w:val="074F4623"/>
    <w:rsid w:val="07546F90"/>
    <w:rsid w:val="075E1037"/>
    <w:rsid w:val="07672A07"/>
    <w:rsid w:val="0772426A"/>
    <w:rsid w:val="07746E01"/>
    <w:rsid w:val="077C69D1"/>
    <w:rsid w:val="07852DBD"/>
    <w:rsid w:val="07A80859"/>
    <w:rsid w:val="07AA637F"/>
    <w:rsid w:val="07AB0349"/>
    <w:rsid w:val="07B436A2"/>
    <w:rsid w:val="07C11432"/>
    <w:rsid w:val="07D75231"/>
    <w:rsid w:val="07DE3552"/>
    <w:rsid w:val="07E37F48"/>
    <w:rsid w:val="07E4290F"/>
    <w:rsid w:val="07E531DF"/>
    <w:rsid w:val="07ED4E2A"/>
    <w:rsid w:val="08064057"/>
    <w:rsid w:val="080A32C2"/>
    <w:rsid w:val="080E0ED3"/>
    <w:rsid w:val="08256325"/>
    <w:rsid w:val="082F4AD6"/>
    <w:rsid w:val="08343985"/>
    <w:rsid w:val="08346748"/>
    <w:rsid w:val="084A5DB4"/>
    <w:rsid w:val="084B6148"/>
    <w:rsid w:val="08514A4D"/>
    <w:rsid w:val="085D5AE7"/>
    <w:rsid w:val="086230FE"/>
    <w:rsid w:val="08624EAC"/>
    <w:rsid w:val="08732C15"/>
    <w:rsid w:val="0878105A"/>
    <w:rsid w:val="087D3A94"/>
    <w:rsid w:val="087F5A5E"/>
    <w:rsid w:val="08940DDD"/>
    <w:rsid w:val="08A70B11"/>
    <w:rsid w:val="08A90AB9"/>
    <w:rsid w:val="08AB6853"/>
    <w:rsid w:val="08AE6343"/>
    <w:rsid w:val="08B51480"/>
    <w:rsid w:val="08B767EB"/>
    <w:rsid w:val="08CF1BA3"/>
    <w:rsid w:val="08E857F4"/>
    <w:rsid w:val="08FA7353"/>
    <w:rsid w:val="09063A89"/>
    <w:rsid w:val="09093579"/>
    <w:rsid w:val="09095327"/>
    <w:rsid w:val="0911242E"/>
    <w:rsid w:val="091645F9"/>
    <w:rsid w:val="091E6AF0"/>
    <w:rsid w:val="093C56FD"/>
    <w:rsid w:val="093E21E5"/>
    <w:rsid w:val="09452F50"/>
    <w:rsid w:val="0946583B"/>
    <w:rsid w:val="095F06BB"/>
    <w:rsid w:val="096609CC"/>
    <w:rsid w:val="096663F0"/>
    <w:rsid w:val="09732DA3"/>
    <w:rsid w:val="0983332C"/>
    <w:rsid w:val="098D6D69"/>
    <w:rsid w:val="099472E7"/>
    <w:rsid w:val="09976548"/>
    <w:rsid w:val="099F7A3A"/>
    <w:rsid w:val="09A42ECC"/>
    <w:rsid w:val="09AD3DB5"/>
    <w:rsid w:val="09B16EAB"/>
    <w:rsid w:val="09C13E54"/>
    <w:rsid w:val="09CE5FB9"/>
    <w:rsid w:val="09D002D8"/>
    <w:rsid w:val="09DB4F16"/>
    <w:rsid w:val="09DC0C8E"/>
    <w:rsid w:val="09DE4A07"/>
    <w:rsid w:val="09DE7C9B"/>
    <w:rsid w:val="09E35423"/>
    <w:rsid w:val="09F2265C"/>
    <w:rsid w:val="09F77876"/>
    <w:rsid w:val="09FF2FCE"/>
    <w:rsid w:val="0A03572A"/>
    <w:rsid w:val="0A165CFB"/>
    <w:rsid w:val="0A195A3E"/>
    <w:rsid w:val="0A1A6D61"/>
    <w:rsid w:val="0A2F75F7"/>
    <w:rsid w:val="0A3D6784"/>
    <w:rsid w:val="0A516F86"/>
    <w:rsid w:val="0A5A7E1E"/>
    <w:rsid w:val="0A73514E"/>
    <w:rsid w:val="0A7809B7"/>
    <w:rsid w:val="0A7D421F"/>
    <w:rsid w:val="0A84735B"/>
    <w:rsid w:val="0A8B6BDA"/>
    <w:rsid w:val="0A9F4195"/>
    <w:rsid w:val="0ABD286D"/>
    <w:rsid w:val="0ABD2ABB"/>
    <w:rsid w:val="0AC21634"/>
    <w:rsid w:val="0AD43A34"/>
    <w:rsid w:val="0ADD4CBE"/>
    <w:rsid w:val="0AE147AE"/>
    <w:rsid w:val="0AE448AF"/>
    <w:rsid w:val="0AE947F7"/>
    <w:rsid w:val="0AFB7EB0"/>
    <w:rsid w:val="0AFF4706"/>
    <w:rsid w:val="0B0C7351"/>
    <w:rsid w:val="0B105BE2"/>
    <w:rsid w:val="0B1D49EA"/>
    <w:rsid w:val="0B2011CB"/>
    <w:rsid w:val="0B310B66"/>
    <w:rsid w:val="0B362885"/>
    <w:rsid w:val="0B3643CE"/>
    <w:rsid w:val="0B3A5C6C"/>
    <w:rsid w:val="0B5036E2"/>
    <w:rsid w:val="0B5F3D2C"/>
    <w:rsid w:val="0B61144B"/>
    <w:rsid w:val="0B63734C"/>
    <w:rsid w:val="0B642CE9"/>
    <w:rsid w:val="0B73117E"/>
    <w:rsid w:val="0B8213C1"/>
    <w:rsid w:val="0B8A36AB"/>
    <w:rsid w:val="0B8B2FC0"/>
    <w:rsid w:val="0B8B64C8"/>
    <w:rsid w:val="0B996710"/>
    <w:rsid w:val="0B9B3CF5"/>
    <w:rsid w:val="0BA37C5D"/>
    <w:rsid w:val="0BA678F1"/>
    <w:rsid w:val="0BAA54A0"/>
    <w:rsid w:val="0BAB0918"/>
    <w:rsid w:val="0BAB4DCA"/>
    <w:rsid w:val="0BB302F8"/>
    <w:rsid w:val="0BCB720C"/>
    <w:rsid w:val="0BDE0CED"/>
    <w:rsid w:val="0BF202F5"/>
    <w:rsid w:val="0BF74031"/>
    <w:rsid w:val="0C001ED3"/>
    <w:rsid w:val="0C0369A6"/>
    <w:rsid w:val="0C193AD3"/>
    <w:rsid w:val="0C30706F"/>
    <w:rsid w:val="0C37664F"/>
    <w:rsid w:val="0C525237"/>
    <w:rsid w:val="0C526FE5"/>
    <w:rsid w:val="0C590977"/>
    <w:rsid w:val="0C7A5A87"/>
    <w:rsid w:val="0C7A769B"/>
    <w:rsid w:val="0C7B39F0"/>
    <w:rsid w:val="0C83338F"/>
    <w:rsid w:val="0C8353F1"/>
    <w:rsid w:val="0C874EE1"/>
    <w:rsid w:val="0C937D2A"/>
    <w:rsid w:val="0C980C60"/>
    <w:rsid w:val="0C985340"/>
    <w:rsid w:val="0C9A2ECD"/>
    <w:rsid w:val="0C9E22C5"/>
    <w:rsid w:val="0CA5332B"/>
    <w:rsid w:val="0CA737D5"/>
    <w:rsid w:val="0CB047C5"/>
    <w:rsid w:val="0CD21ED4"/>
    <w:rsid w:val="0CD34E7E"/>
    <w:rsid w:val="0CE1722F"/>
    <w:rsid w:val="0CE57E5A"/>
    <w:rsid w:val="0CF63E15"/>
    <w:rsid w:val="0CF85DDF"/>
    <w:rsid w:val="0CF87B8D"/>
    <w:rsid w:val="0D0B5B12"/>
    <w:rsid w:val="0D0E73B0"/>
    <w:rsid w:val="0D17494B"/>
    <w:rsid w:val="0D186481"/>
    <w:rsid w:val="0D4A2254"/>
    <w:rsid w:val="0D4C612B"/>
    <w:rsid w:val="0D5C56ED"/>
    <w:rsid w:val="0D676AC1"/>
    <w:rsid w:val="0D6945E7"/>
    <w:rsid w:val="0D772860"/>
    <w:rsid w:val="0D784215"/>
    <w:rsid w:val="0D7F3A1E"/>
    <w:rsid w:val="0D8B76E1"/>
    <w:rsid w:val="0D93239D"/>
    <w:rsid w:val="0D933D59"/>
    <w:rsid w:val="0D9A6E96"/>
    <w:rsid w:val="0DB25F8E"/>
    <w:rsid w:val="0DBA3094"/>
    <w:rsid w:val="0DDC74AE"/>
    <w:rsid w:val="0DE6032D"/>
    <w:rsid w:val="0DEB14A0"/>
    <w:rsid w:val="0DED5218"/>
    <w:rsid w:val="0E061A5A"/>
    <w:rsid w:val="0E0E518E"/>
    <w:rsid w:val="0E103FD3"/>
    <w:rsid w:val="0E124C7E"/>
    <w:rsid w:val="0E1F739B"/>
    <w:rsid w:val="0E243758"/>
    <w:rsid w:val="0E3307E9"/>
    <w:rsid w:val="0E3F0800"/>
    <w:rsid w:val="0E401CB6"/>
    <w:rsid w:val="0E4868F2"/>
    <w:rsid w:val="0E4A5E15"/>
    <w:rsid w:val="0E4D5CB6"/>
    <w:rsid w:val="0E4F0893"/>
    <w:rsid w:val="0E5B4877"/>
    <w:rsid w:val="0E6059EA"/>
    <w:rsid w:val="0E6179B4"/>
    <w:rsid w:val="0E6F20D1"/>
    <w:rsid w:val="0E747469"/>
    <w:rsid w:val="0E7E6F87"/>
    <w:rsid w:val="0E7F23BF"/>
    <w:rsid w:val="0E8933E8"/>
    <w:rsid w:val="0E8C0841"/>
    <w:rsid w:val="0E912047"/>
    <w:rsid w:val="0E963B01"/>
    <w:rsid w:val="0E9953A0"/>
    <w:rsid w:val="0EA4331A"/>
    <w:rsid w:val="0EA646CE"/>
    <w:rsid w:val="0EAB2800"/>
    <w:rsid w:val="0EAE203B"/>
    <w:rsid w:val="0EAF6BDB"/>
    <w:rsid w:val="0EB57F28"/>
    <w:rsid w:val="0ED5487A"/>
    <w:rsid w:val="0EF160CD"/>
    <w:rsid w:val="0EF27B89"/>
    <w:rsid w:val="0EF44332"/>
    <w:rsid w:val="0EFB5376"/>
    <w:rsid w:val="0EFD148A"/>
    <w:rsid w:val="0F03241F"/>
    <w:rsid w:val="0F032819"/>
    <w:rsid w:val="0F0547E3"/>
    <w:rsid w:val="0F082282"/>
    <w:rsid w:val="0F0942D3"/>
    <w:rsid w:val="0F0C791F"/>
    <w:rsid w:val="0F0E0F6E"/>
    <w:rsid w:val="0F1D7F5B"/>
    <w:rsid w:val="0F264E85"/>
    <w:rsid w:val="0F2C698C"/>
    <w:rsid w:val="0F3063CE"/>
    <w:rsid w:val="0F386966"/>
    <w:rsid w:val="0F3F30AF"/>
    <w:rsid w:val="0F4277E5"/>
    <w:rsid w:val="0F4457B2"/>
    <w:rsid w:val="0F5F0397"/>
    <w:rsid w:val="0F6E4136"/>
    <w:rsid w:val="0F713C26"/>
    <w:rsid w:val="0F73174D"/>
    <w:rsid w:val="0F776CB7"/>
    <w:rsid w:val="0F7B4AA5"/>
    <w:rsid w:val="0F895E9B"/>
    <w:rsid w:val="0FAC0E16"/>
    <w:rsid w:val="0FB41DBD"/>
    <w:rsid w:val="0FB51D65"/>
    <w:rsid w:val="0FB568C1"/>
    <w:rsid w:val="0FBF4DAB"/>
    <w:rsid w:val="0FC0634A"/>
    <w:rsid w:val="0FD11502"/>
    <w:rsid w:val="0FE32658"/>
    <w:rsid w:val="0FEC465E"/>
    <w:rsid w:val="0FFD0FD3"/>
    <w:rsid w:val="0FFD1ADE"/>
    <w:rsid w:val="101822F4"/>
    <w:rsid w:val="101A2510"/>
    <w:rsid w:val="101E3DAE"/>
    <w:rsid w:val="10246EEB"/>
    <w:rsid w:val="10257C7F"/>
    <w:rsid w:val="102D3FF1"/>
    <w:rsid w:val="102E66B6"/>
    <w:rsid w:val="102E76EB"/>
    <w:rsid w:val="10321608"/>
    <w:rsid w:val="10362BFB"/>
    <w:rsid w:val="10390BE8"/>
    <w:rsid w:val="10391350"/>
    <w:rsid w:val="103C5FE2"/>
    <w:rsid w:val="1046124C"/>
    <w:rsid w:val="10467BD4"/>
    <w:rsid w:val="10505922"/>
    <w:rsid w:val="106644F8"/>
    <w:rsid w:val="106B4B1A"/>
    <w:rsid w:val="10704411"/>
    <w:rsid w:val="108160EB"/>
    <w:rsid w:val="108A4FA0"/>
    <w:rsid w:val="108C51BC"/>
    <w:rsid w:val="108F60A9"/>
    <w:rsid w:val="109E4EEF"/>
    <w:rsid w:val="10AB02C6"/>
    <w:rsid w:val="10AD0C8E"/>
    <w:rsid w:val="10CA5CE4"/>
    <w:rsid w:val="10CD30DE"/>
    <w:rsid w:val="10D4446D"/>
    <w:rsid w:val="10DF0AEE"/>
    <w:rsid w:val="10E979DD"/>
    <w:rsid w:val="1101791C"/>
    <w:rsid w:val="110A1967"/>
    <w:rsid w:val="111637D2"/>
    <w:rsid w:val="111A02B4"/>
    <w:rsid w:val="112154E4"/>
    <w:rsid w:val="1122167C"/>
    <w:rsid w:val="11254CC9"/>
    <w:rsid w:val="11477335"/>
    <w:rsid w:val="114A310B"/>
    <w:rsid w:val="115346C8"/>
    <w:rsid w:val="11641C72"/>
    <w:rsid w:val="116A7687"/>
    <w:rsid w:val="117855F0"/>
    <w:rsid w:val="118374E3"/>
    <w:rsid w:val="118E03B4"/>
    <w:rsid w:val="1192733C"/>
    <w:rsid w:val="11AE540E"/>
    <w:rsid w:val="11AE5779"/>
    <w:rsid w:val="11BA7B07"/>
    <w:rsid w:val="11CB3AC2"/>
    <w:rsid w:val="11F36B75"/>
    <w:rsid w:val="12103BCB"/>
    <w:rsid w:val="1212636B"/>
    <w:rsid w:val="121865DB"/>
    <w:rsid w:val="122431D2"/>
    <w:rsid w:val="12333415"/>
    <w:rsid w:val="123C676E"/>
    <w:rsid w:val="12502219"/>
    <w:rsid w:val="12525F80"/>
    <w:rsid w:val="125E4936"/>
    <w:rsid w:val="12686540"/>
    <w:rsid w:val="126C254B"/>
    <w:rsid w:val="127557DC"/>
    <w:rsid w:val="127B54E8"/>
    <w:rsid w:val="1288550F"/>
    <w:rsid w:val="128F4AEF"/>
    <w:rsid w:val="1299596E"/>
    <w:rsid w:val="12A444E8"/>
    <w:rsid w:val="12AC5875"/>
    <w:rsid w:val="12B96010"/>
    <w:rsid w:val="12BB0768"/>
    <w:rsid w:val="12BC631D"/>
    <w:rsid w:val="12BF34AC"/>
    <w:rsid w:val="12BF47EB"/>
    <w:rsid w:val="12C47AD5"/>
    <w:rsid w:val="12C50D7D"/>
    <w:rsid w:val="12CB2B47"/>
    <w:rsid w:val="12D11331"/>
    <w:rsid w:val="12E12E71"/>
    <w:rsid w:val="12E7492B"/>
    <w:rsid w:val="12E86732"/>
    <w:rsid w:val="12F2507E"/>
    <w:rsid w:val="130061D6"/>
    <w:rsid w:val="13010F42"/>
    <w:rsid w:val="13117BFA"/>
    <w:rsid w:val="13166FBF"/>
    <w:rsid w:val="13174AE5"/>
    <w:rsid w:val="13187C81"/>
    <w:rsid w:val="131B6383"/>
    <w:rsid w:val="13235525"/>
    <w:rsid w:val="133B3709"/>
    <w:rsid w:val="13433B2C"/>
    <w:rsid w:val="134411F9"/>
    <w:rsid w:val="1347361C"/>
    <w:rsid w:val="134850E0"/>
    <w:rsid w:val="13517FF7"/>
    <w:rsid w:val="135D4BEE"/>
    <w:rsid w:val="1399374C"/>
    <w:rsid w:val="139D499C"/>
    <w:rsid w:val="13A16CBF"/>
    <w:rsid w:val="13AF2F6F"/>
    <w:rsid w:val="13B3480E"/>
    <w:rsid w:val="13D33102"/>
    <w:rsid w:val="13DB5B12"/>
    <w:rsid w:val="13E175CD"/>
    <w:rsid w:val="13EE5846"/>
    <w:rsid w:val="14051F81"/>
    <w:rsid w:val="14074B59"/>
    <w:rsid w:val="14172FEE"/>
    <w:rsid w:val="141D612B"/>
    <w:rsid w:val="14223741"/>
    <w:rsid w:val="142676D5"/>
    <w:rsid w:val="142764E5"/>
    <w:rsid w:val="142B6A9A"/>
    <w:rsid w:val="14321BD6"/>
    <w:rsid w:val="143F2545"/>
    <w:rsid w:val="14401E8B"/>
    <w:rsid w:val="1443345F"/>
    <w:rsid w:val="14521453"/>
    <w:rsid w:val="1459605D"/>
    <w:rsid w:val="14605849"/>
    <w:rsid w:val="14636234"/>
    <w:rsid w:val="146E1FB8"/>
    <w:rsid w:val="14757A62"/>
    <w:rsid w:val="147710D6"/>
    <w:rsid w:val="147D23CE"/>
    <w:rsid w:val="147F2EA9"/>
    <w:rsid w:val="148A7C64"/>
    <w:rsid w:val="149C34F4"/>
    <w:rsid w:val="14A10B0A"/>
    <w:rsid w:val="14B06F9F"/>
    <w:rsid w:val="14B12B8F"/>
    <w:rsid w:val="14BA1BCC"/>
    <w:rsid w:val="14CF5677"/>
    <w:rsid w:val="14DB6E89"/>
    <w:rsid w:val="14E425E7"/>
    <w:rsid w:val="14EF3F6B"/>
    <w:rsid w:val="150115A9"/>
    <w:rsid w:val="15035321"/>
    <w:rsid w:val="15046EF8"/>
    <w:rsid w:val="15072F1C"/>
    <w:rsid w:val="151237B6"/>
    <w:rsid w:val="151412DC"/>
    <w:rsid w:val="152448FE"/>
    <w:rsid w:val="152710DE"/>
    <w:rsid w:val="153030CC"/>
    <w:rsid w:val="153B0F5F"/>
    <w:rsid w:val="153D4CD7"/>
    <w:rsid w:val="153E7F03"/>
    <w:rsid w:val="15507EB4"/>
    <w:rsid w:val="15545B7C"/>
    <w:rsid w:val="157E0E4B"/>
    <w:rsid w:val="158E7089"/>
    <w:rsid w:val="158F12AA"/>
    <w:rsid w:val="158F3058"/>
    <w:rsid w:val="15A61B3B"/>
    <w:rsid w:val="15B30AF5"/>
    <w:rsid w:val="15B946B5"/>
    <w:rsid w:val="15B94922"/>
    <w:rsid w:val="15C26F8A"/>
    <w:rsid w:val="15CA1157"/>
    <w:rsid w:val="15D05B4B"/>
    <w:rsid w:val="15EC4007"/>
    <w:rsid w:val="15F221E6"/>
    <w:rsid w:val="15F5110D"/>
    <w:rsid w:val="15FD448C"/>
    <w:rsid w:val="160550C9"/>
    <w:rsid w:val="16166774"/>
    <w:rsid w:val="16204A74"/>
    <w:rsid w:val="163035FF"/>
    <w:rsid w:val="16354792"/>
    <w:rsid w:val="164A7771"/>
    <w:rsid w:val="164B51D1"/>
    <w:rsid w:val="164E1693"/>
    <w:rsid w:val="1655348E"/>
    <w:rsid w:val="165572DE"/>
    <w:rsid w:val="165A3666"/>
    <w:rsid w:val="167570BE"/>
    <w:rsid w:val="1682323F"/>
    <w:rsid w:val="169C77DB"/>
    <w:rsid w:val="16A56DF3"/>
    <w:rsid w:val="16AD5235"/>
    <w:rsid w:val="16AF39B2"/>
    <w:rsid w:val="16B07F1A"/>
    <w:rsid w:val="16B25250"/>
    <w:rsid w:val="16B33B0F"/>
    <w:rsid w:val="16B46741"/>
    <w:rsid w:val="16C520D5"/>
    <w:rsid w:val="16CD5BE6"/>
    <w:rsid w:val="16D9538A"/>
    <w:rsid w:val="16E80C72"/>
    <w:rsid w:val="16EF2001"/>
    <w:rsid w:val="16FB7D77"/>
    <w:rsid w:val="16FE5DB8"/>
    <w:rsid w:val="16FF02BE"/>
    <w:rsid w:val="17077F2B"/>
    <w:rsid w:val="17125526"/>
    <w:rsid w:val="17165682"/>
    <w:rsid w:val="171952CF"/>
    <w:rsid w:val="171C7831"/>
    <w:rsid w:val="171E28E6"/>
    <w:rsid w:val="172115BA"/>
    <w:rsid w:val="173178CA"/>
    <w:rsid w:val="173576CD"/>
    <w:rsid w:val="17390349"/>
    <w:rsid w:val="173D5F8E"/>
    <w:rsid w:val="174B5407"/>
    <w:rsid w:val="174F484D"/>
    <w:rsid w:val="175865D3"/>
    <w:rsid w:val="175D340E"/>
    <w:rsid w:val="176C3651"/>
    <w:rsid w:val="176D18F5"/>
    <w:rsid w:val="176D73C9"/>
    <w:rsid w:val="177C13BA"/>
    <w:rsid w:val="177C3D7E"/>
    <w:rsid w:val="178F7340"/>
    <w:rsid w:val="17914E66"/>
    <w:rsid w:val="17976D89"/>
    <w:rsid w:val="179E7583"/>
    <w:rsid w:val="17A855CC"/>
    <w:rsid w:val="17A93E97"/>
    <w:rsid w:val="17B32419"/>
    <w:rsid w:val="17B40B54"/>
    <w:rsid w:val="17B85C1D"/>
    <w:rsid w:val="17BA0EE4"/>
    <w:rsid w:val="17BB1EE3"/>
    <w:rsid w:val="17C0574B"/>
    <w:rsid w:val="17D82143"/>
    <w:rsid w:val="17DB1212"/>
    <w:rsid w:val="17E14C8B"/>
    <w:rsid w:val="17F11DA8"/>
    <w:rsid w:val="180E64B6"/>
    <w:rsid w:val="18137F71"/>
    <w:rsid w:val="181B0BD3"/>
    <w:rsid w:val="181C560B"/>
    <w:rsid w:val="182061EA"/>
    <w:rsid w:val="182860D2"/>
    <w:rsid w:val="18371EB1"/>
    <w:rsid w:val="1843203B"/>
    <w:rsid w:val="185365BF"/>
    <w:rsid w:val="18581E27"/>
    <w:rsid w:val="186407CC"/>
    <w:rsid w:val="18843CB8"/>
    <w:rsid w:val="18860A31"/>
    <w:rsid w:val="18940A5D"/>
    <w:rsid w:val="18954E2A"/>
    <w:rsid w:val="189B3AC2"/>
    <w:rsid w:val="18AF6EC4"/>
    <w:rsid w:val="18B52DD6"/>
    <w:rsid w:val="18CA1ECE"/>
    <w:rsid w:val="18CE1736"/>
    <w:rsid w:val="18CE3E98"/>
    <w:rsid w:val="18DC52D3"/>
    <w:rsid w:val="18F27B86"/>
    <w:rsid w:val="18F36B04"/>
    <w:rsid w:val="18F714EB"/>
    <w:rsid w:val="18FF2C51"/>
    <w:rsid w:val="19277C1E"/>
    <w:rsid w:val="193C72BA"/>
    <w:rsid w:val="194673F0"/>
    <w:rsid w:val="194A3E63"/>
    <w:rsid w:val="194C3210"/>
    <w:rsid w:val="19702350"/>
    <w:rsid w:val="19766A09"/>
    <w:rsid w:val="19832B7B"/>
    <w:rsid w:val="19934EEF"/>
    <w:rsid w:val="199B6470"/>
    <w:rsid w:val="19A277FE"/>
    <w:rsid w:val="19B17A41"/>
    <w:rsid w:val="19B226DE"/>
    <w:rsid w:val="19C57049"/>
    <w:rsid w:val="19D03922"/>
    <w:rsid w:val="19E9304F"/>
    <w:rsid w:val="19F02D3B"/>
    <w:rsid w:val="1A0A70AB"/>
    <w:rsid w:val="1A1E49AB"/>
    <w:rsid w:val="1A200723"/>
    <w:rsid w:val="1A206975"/>
    <w:rsid w:val="1A3507AD"/>
    <w:rsid w:val="1A364C38"/>
    <w:rsid w:val="1A3B37AF"/>
    <w:rsid w:val="1A3E19F8"/>
    <w:rsid w:val="1A450189"/>
    <w:rsid w:val="1A5D3725"/>
    <w:rsid w:val="1A5F56EF"/>
    <w:rsid w:val="1A6920CA"/>
    <w:rsid w:val="1A786EBB"/>
    <w:rsid w:val="1A7D2B87"/>
    <w:rsid w:val="1A8011C2"/>
    <w:rsid w:val="1A92521A"/>
    <w:rsid w:val="1A9371B4"/>
    <w:rsid w:val="1A98315E"/>
    <w:rsid w:val="1AA26A88"/>
    <w:rsid w:val="1AA41354"/>
    <w:rsid w:val="1AAE5F25"/>
    <w:rsid w:val="1AB23A71"/>
    <w:rsid w:val="1ABD486E"/>
    <w:rsid w:val="1AC00F46"/>
    <w:rsid w:val="1AC45552"/>
    <w:rsid w:val="1ACD2659"/>
    <w:rsid w:val="1AD25EC1"/>
    <w:rsid w:val="1AD80FFE"/>
    <w:rsid w:val="1AE300CE"/>
    <w:rsid w:val="1AE91574"/>
    <w:rsid w:val="1AF851FC"/>
    <w:rsid w:val="1AFE73A3"/>
    <w:rsid w:val="1B040045"/>
    <w:rsid w:val="1B04691C"/>
    <w:rsid w:val="1B0A4705"/>
    <w:rsid w:val="1B302BE8"/>
    <w:rsid w:val="1B3F2E2B"/>
    <w:rsid w:val="1B416BA3"/>
    <w:rsid w:val="1B4B7A22"/>
    <w:rsid w:val="1B515531"/>
    <w:rsid w:val="1B522B5E"/>
    <w:rsid w:val="1B6D6B14"/>
    <w:rsid w:val="1B6F0841"/>
    <w:rsid w:val="1B772F21"/>
    <w:rsid w:val="1B7C6E73"/>
    <w:rsid w:val="1B7F1479"/>
    <w:rsid w:val="1B813443"/>
    <w:rsid w:val="1B8371BB"/>
    <w:rsid w:val="1BB36DD2"/>
    <w:rsid w:val="1BB61021"/>
    <w:rsid w:val="1BC9697F"/>
    <w:rsid w:val="1BCD48DA"/>
    <w:rsid w:val="1BDA048E"/>
    <w:rsid w:val="1BDA7425"/>
    <w:rsid w:val="1BE7774A"/>
    <w:rsid w:val="1C073948"/>
    <w:rsid w:val="1C120E90"/>
    <w:rsid w:val="1C3034D1"/>
    <w:rsid w:val="1C337FE9"/>
    <w:rsid w:val="1C3676CD"/>
    <w:rsid w:val="1C394706"/>
    <w:rsid w:val="1C3A0397"/>
    <w:rsid w:val="1C3B12AB"/>
    <w:rsid w:val="1C3B74B3"/>
    <w:rsid w:val="1C3D736A"/>
    <w:rsid w:val="1C400DEE"/>
    <w:rsid w:val="1C477EAC"/>
    <w:rsid w:val="1C4A043D"/>
    <w:rsid w:val="1C4E1577"/>
    <w:rsid w:val="1C5B22AB"/>
    <w:rsid w:val="1C5E29F1"/>
    <w:rsid w:val="1C662D65"/>
    <w:rsid w:val="1C6963B1"/>
    <w:rsid w:val="1C6A3ED7"/>
    <w:rsid w:val="1C8651B5"/>
    <w:rsid w:val="1C8C6544"/>
    <w:rsid w:val="1C9378D2"/>
    <w:rsid w:val="1CA2418D"/>
    <w:rsid w:val="1CB05D8E"/>
    <w:rsid w:val="1CB56699"/>
    <w:rsid w:val="1CB8554D"/>
    <w:rsid w:val="1CBF49A9"/>
    <w:rsid w:val="1CC2281A"/>
    <w:rsid w:val="1CD04682"/>
    <w:rsid w:val="1CF33ECD"/>
    <w:rsid w:val="1CF50D21"/>
    <w:rsid w:val="1CF719D8"/>
    <w:rsid w:val="1CF77E61"/>
    <w:rsid w:val="1D022362"/>
    <w:rsid w:val="1D0779BE"/>
    <w:rsid w:val="1D0B56BA"/>
    <w:rsid w:val="1D1207F7"/>
    <w:rsid w:val="1D175E0D"/>
    <w:rsid w:val="1D187DD7"/>
    <w:rsid w:val="1D41732E"/>
    <w:rsid w:val="1D5F0955"/>
    <w:rsid w:val="1D604BB3"/>
    <w:rsid w:val="1D6510BC"/>
    <w:rsid w:val="1D660B43"/>
    <w:rsid w:val="1D691375"/>
    <w:rsid w:val="1D6D0123"/>
    <w:rsid w:val="1D6E0FDD"/>
    <w:rsid w:val="1D6F55A4"/>
    <w:rsid w:val="1D7E62C1"/>
    <w:rsid w:val="1D7F39CE"/>
    <w:rsid w:val="1D836D10"/>
    <w:rsid w:val="1D862F93"/>
    <w:rsid w:val="1D880AB9"/>
    <w:rsid w:val="1D90724A"/>
    <w:rsid w:val="1D9B1E75"/>
    <w:rsid w:val="1D9C2947"/>
    <w:rsid w:val="1DA8115B"/>
    <w:rsid w:val="1DB60737"/>
    <w:rsid w:val="1DCB4E4A"/>
    <w:rsid w:val="1DD106B2"/>
    <w:rsid w:val="1DE55F0B"/>
    <w:rsid w:val="1DEC54EC"/>
    <w:rsid w:val="1DEE6A54"/>
    <w:rsid w:val="1DF05734"/>
    <w:rsid w:val="1DF61EC7"/>
    <w:rsid w:val="1E032872"/>
    <w:rsid w:val="1E0770F8"/>
    <w:rsid w:val="1E0B1A73"/>
    <w:rsid w:val="1E18008F"/>
    <w:rsid w:val="1E272003"/>
    <w:rsid w:val="1E2F27D7"/>
    <w:rsid w:val="1E391DB3"/>
    <w:rsid w:val="1E3F74F0"/>
    <w:rsid w:val="1E4C7488"/>
    <w:rsid w:val="1E525249"/>
    <w:rsid w:val="1E55209D"/>
    <w:rsid w:val="1E673ED5"/>
    <w:rsid w:val="1E696B3C"/>
    <w:rsid w:val="1E6A01BF"/>
    <w:rsid w:val="1E731769"/>
    <w:rsid w:val="1E804F82"/>
    <w:rsid w:val="1E9F1900"/>
    <w:rsid w:val="1EAF28FE"/>
    <w:rsid w:val="1EBC2FC3"/>
    <w:rsid w:val="1EC65D3D"/>
    <w:rsid w:val="1ECC70CB"/>
    <w:rsid w:val="1EE241F9"/>
    <w:rsid w:val="1EE6094F"/>
    <w:rsid w:val="1EEA06CD"/>
    <w:rsid w:val="1EEA4C21"/>
    <w:rsid w:val="1EF41CFE"/>
    <w:rsid w:val="1EFB38DF"/>
    <w:rsid w:val="1F002DBB"/>
    <w:rsid w:val="1F040613"/>
    <w:rsid w:val="1F180379"/>
    <w:rsid w:val="1F291D4B"/>
    <w:rsid w:val="1F2A3EE6"/>
    <w:rsid w:val="1F2E743E"/>
    <w:rsid w:val="1F334A54"/>
    <w:rsid w:val="1F3507CD"/>
    <w:rsid w:val="1F3625C8"/>
    <w:rsid w:val="1F466758"/>
    <w:rsid w:val="1F494278"/>
    <w:rsid w:val="1F536EA5"/>
    <w:rsid w:val="1F65786D"/>
    <w:rsid w:val="1F70484B"/>
    <w:rsid w:val="1F78690B"/>
    <w:rsid w:val="1F972E5B"/>
    <w:rsid w:val="1FA12306"/>
    <w:rsid w:val="1FA87ADA"/>
    <w:rsid w:val="1FB56CE9"/>
    <w:rsid w:val="1FD70F22"/>
    <w:rsid w:val="1FDA2689"/>
    <w:rsid w:val="1FDE2C12"/>
    <w:rsid w:val="1FF22625"/>
    <w:rsid w:val="1FF50E64"/>
    <w:rsid w:val="1FF64400"/>
    <w:rsid w:val="1FFD7B32"/>
    <w:rsid w:val="20012DA5"/>
    <w:rsid w:val="20043C15"/>
    <w:rsid w:val="20253A35"/>
    <w:rsid w:val="202F65FE"/>
    <w:rsid w:val="203A7297"/>
    <w:rsid w:val="2043516B"/>
    <w:rsid w:val="20445493"/>
    <w:rsid w:val="204A7F1B"/>
    <w:rsid w:val="204D781E"/>
    <w:rsid w:val="205151C3"/>
    <w:rsid w:val="20530C45"/>
    <w:rsid w:val="20541126"/>
    <w:rsid w:val="20642787"/>
    <w:rsid w:val="20770BA3"/>
    <w:rsid w:val="207C4C1E"/>
    <w:rsid w:val="20803CC9"/>
    <w:rsid w:val="20823EE5"/>
    <w:rsid w:val="208B3024"/>
    <w:rsid w:val="208D2349"/>
    <w:rsid w:val="20947775"/>
    <w:rsid w:val="20A228BF"/>
    <w:rsid w:val="20A420AE"/>
    <w:rsid w:val="20A51982"/>
    <w:rsid w:val="20A73672"/>
    <w:rsid w:val="20AC0F62"/>
    <w:rsid w:val="20B816B5"/>
    <w:rsid w:val="20B9268B"/>
    <w:rsid w:val="20B971DB"/>
    <w:rsid w:val="20C0645F"/>
    <w:rsid w:val="20C53DD2"/>
    <w:rsid w:val="20CE2C87"/>
    <w:rsid w:val="20D44015"/>
    <w:rsid w:val="20DB4589"/>
    <w:rsid w:val="20DD2ECA"/>
    <w:rsid w:val="20E344FA"/>
    <w:rsid w:val="20EC75B1"/>
    <w:rsid w:val="21022930"/>
    <w:rsid w:val="211E6605"/>
    <w:rsid w:val="212203A9"/>
    <w:rsid w:val="21262AC3"/>
    <w:rsid w:val="21303941"/>
    <w:rsid w:val="21364BF7"/>
    <w:rsid w:val="21515666"/>
    <w:rsid w:val="215C4736"/>
    <w:rsid w:val="215C66D7"/>
    <w:rsid w:val="21606EA4"/>
    <w:rsid w:val="217A23B8"/>
    <w:rsid w:val="21843C8D"/>
    <w:rsid w:val="21935C7E"/>
    <w:rsid w:val="21B14902"/>
    <w:rsid w:val="21B20007"/>
    <w:rsid w:val="21C45419"/>
    <w:rsid w:val="21C80E29"/>
    <w:rsid w:val="21DF7D4E"/>
    <w:rsid w:val="21E30AD4"/>
    <w:rsid w:val="21F5013F"/>
    <w:rsid w:val="21FE759C"/>
    <w:rsid w:val="220047EB"/>
    <w:rsid w:val="220C2F88"/>
    <w:rsid w:val="22121299"/>
    <w:rsid w:val="221806E4"/>
    <w:rsid w:val="221D6C29"/>
    <w:rsid w:val="222114DC"/>
    <w:rsid w:val="22286511"/>
    <w:rsid w:val="223E3E3C"/>
    <w:rsid w:val="224A458F"/>
    <w:rsid w:val="22510DDD"/>
    <w:rsid w:val="226A22F7"/>
    <w:rsid w:val="22745AB0"/>
    <w:rsid w:val="22761828"/>
    <w:rsid w:val="22764D9B"/>
    <w:rsid w:val="227710FC"/>
    <w:rsid w:val="22782166"/>
    <w:rsid w:val="22837288"/>
    <w:rsid w:val="228C2DF9"/>
    <w:rsid w:val="229677D4"/>
    <w:rsid w:val="22995C29"/>
    <w:rsid w:val="229B4DEB"/>
    <w:rsid w:val="229B653A"/>
    <w:rsid w:val="229C32FD"/>
    <w:rsid w:val="229C4BB4"/>
    <w:rsid w:val="229E0D7F"/>
    <w:rsid w:val="229E691C"/>
    <w:rsid w:val="22A719E1"/>
    <w:rsid w:val="22B42416"/>
    <w:rsid w:val="22BF31CF"/>
    <w:rsid w:val="22C571C7"/>
    <w:rsid w:val="22D13310"/>
    <w:rsid w:val="22E24152"/>
    <w:rsid w:val="22E345E0"/>
    <w:rsid w:val="22E569AE"/>
    <w:rsid w:val="22E83DA8"/>
    <w:rsid w:val="22F422C8"/>
    <w:rsid w:val="22FD68F6"/>
    <w:rsid w:val="231352C9"/>
    <w:rsid w:val="2318468D"/>
    <w:rsid w:val="231B0D31"/>
    <w:rsid w:val="231D524A"/>
    <w:rsid w:val="232119B6"/>
    <w:rsid w:val="23270D74"/>
    <w:rsid w:val="232A01BB"/>
    <w:rsid w:val="233012E3"/>
    <w:rsid w:val="23424069"/>
    <w:rsid w:val="235D02F2"/>
    <w:rsid w:val="236E0751"/>
    <w:rsid w:val="237812D8"/>
    <w:rsid w:val="237C4C1C"/>
    <w:rsid w:val="23983A20"/>
    <w:rsid w:val="23A91789"/>
    <w:rsid w:val="23B92B80"/>
    <w:rsid w:val="23BE1D4F"/>
    <w:rsid w:val="23C037F6"/>
    <w:rsid w:val="23C30A9D"/>
    <w:rsid w:val="23CD5689"/>
    <w:rsid w:val="23D22A8E"/>
    <w:rsid w:val="23D5257E"/>
    <w:rsid w:val="23E32EED"/>
    <w:rsid w:val="23E75074"/>
    <w:rsid w:val="24060E83"/>
    <w:rsid w:val="24155FDF"/>
    <w:rsid w:val="24174D49"/>
    <w:rsid w:val="241A53B7"/>
    <w:rsid w:val="242C7CBC"/>
    <w:rsid w:val="24307C31"/>
    <w:rsid w:val="2431506E"/>
    <w:rsid w:val="2443399D"/>
    <w:rsid w:val="2446522A"/>
    <w:rsid w:val="244D7F08"/>
    <w:rsid w:val="244E0A5A"/>
    <w:rsid w:val="244E1C1C"/>
    <w:rsid w:val="24515BA0"/>
    <w:rsid w:val="245B6F27"/>
    <w:rsid w:val="247C0C4C"/>
    <w:rsid w:val="247F6528"/>
    <w:rsid w:val="248F2A6F"/>
    <w:rsid w:val="24A44D47"/>
    <w:rsid w:val="24A75516"/>
    <w:rsid w:val="24B403E6"/>
    <w:rsid w:val="24B46637"/>
    <w:rsid w:val="24C745BD"/>
    <w:rsid w:val="24CC71DD"/>
    <w:rsid w:val="24D46B69"/>
    <w:rsid w:val="24D64800"/>
    <w:rsid w:val="24D76B19"/>
    <w:rsid w:val="24EA0089"/>
    <w:rsid w:val="24EC7B7F"/>
    <w:rsid w:val="24EE7D9B"/>
    <w:rsid w:val="24EF7670"/>
    <w:rsid w:val="250076E0"/>
    <w:rsid w:val="250273A3"/>
    <w:rsid w:val="250F3A8F"/>
    <w:rsid w:val="251A2A07"/>
    <w:rsid w:val="251E305D"/>
    <w:rsid w:val="252A06A8"/>
    <w:rsid w:val="253018C9"/>
    <w:rsid w:val="253A3592"/>
    <w:rsid w:val="253F4153"/>
    <w:rsid w:val="254A45C9"/>
    <w:rsid w:val="25512E1E"/>
    <w:rsid w:val="255243EF"/>
    <w:rsid w:val="2558495E"/>
    <w:rsid w:val="255E2E00"/>
    <w:rsid w:val="25637F0D"/>
    <w:rsid w:val="256911D0"/>
    <w:rsid w:val="257D01AB"/>
    <w:rsid w:val="257F51DF"/>
    <w:rsid w:val="25825C7E"/>
    <w:rsid w:val="25835BD3"/>
    <w:rsid w:val="25875AFA"/>
    <w:rsid w:val="25900E53"/>
    <w:rsid w:val="25965D3D"/>
    <w:rsid w:val="259D3570"/>
    <w:rsid w:val="25A21468"/>
    <w:rsid w:val="25A641D2"/>
    <w:rsid w:val="25B05051"/>
    <w:rsid w:val="25B6018D"/>
    <w:rsid w:val="25BA5DFD"/>
    <w:rsid w:val="25BF4D4F"/>
    <w:rsid w:val="25C05C9B"/>
    <w:rsid w:val="25D56765"/>
    <w:rsid w:val="25D82405"/>
    <w:rsid w:val="25E968C2"/>
    <w:rsid w:val="25F43C20"/>
    <w:rsid w:val="25F52A64"/>
    <w:rsid w:val="25F7199C"/>
    <w:rsid w:val="25FA2770"/>
    <w:rsid w:val="25FD0F72"/>
    <w:rsid w:val="26003E8A"/>
    <w:rsid w:val="26026312"/>
    <w:rsid w:val="26031625"/>
    <w:rsid w:val="260D24A3"/>
    <w:rsid w:val="2613349B"/>
    <w:rsid w:val="261455E0"/>
    <w:rsid w:val="262477ED"/>
    <w:rsid w:val="26312B63"/>
    <w:rsid w:val="26344ABE"/>
    <w:rsid w:val="26345C82"/>
    <w:rsid w:val="2637307C"/>
    <w:rsid w:val="263A0DBE"/>
    <w:rsid w:val="263D1327"/>
    <w:rsid w:val="26432F9D"/>
    <w:rsid w:val="26492DAF"/>
    <w:rsid w:val="264F1512"/>
    <w:rsid w:val="264F6618"/>
    <w:rsid w:val="265E4211"/>
    <w:rsid w:val="26655E3B"/>
    <w:rsid w:val="267B0E16"/>
    <w:rsid w:val="26814A95"/>
    <w:rsid w:val="268902A4"/>
    <w:rsid w:val="268B33C8"/>
    <w:rsid w:val="26960ADE"/>
    <w:rsid w:val="26961CC1"/>
    <w:rsid w:val="26A47B7F"/>
    <w:rsid w:val="26A7418D"/>
    <w:rsid w:val="26A744B1"/>
    <w:rsid w:val="26B23417"/>
    <w:rsid w:val="26B26BA7"/>
    <w:rsid w:val="26BE72FA"/>
    <w:rsid w:val="26BF01F7"/>
    <w:rsid w:val="26CB1A16"/>
    <w:rsid w:val="26D233BC"/>
    <w:rsid w:val="26D60EAB"/>
    <w:rsid w:val="26DC7675"/>
    <w:rsid w:val="26E36ECC"/>
    <w:rsid w:val="26EB753F"/>
    <w:rsid w:val="26FE003E"/>
    <w:rsid w:val="2704340F"/>
    <w:rsid w:val="270C62B7"/>
    <w:rsid w:val="270E5DB3"/>
    <w:rsid w:val="271B0BF0"/>
    <w:rsid w:val="271E5FEA"/>
    <w:rsid w:val="272B4003"/>
    <w:rsid w:val="272E08EC"/>
    <w:rsid w:val="27306F9C"/>
    <w:rsid w:val="273A3961"/>
    <w:rsid w:val="273E6B9B"/>
    <w:rsid w:val="27582651"/>
    <w:rsid w:val="275A6ED1"/>
    <w:rsid w:val="275D4D64"/>
    <w:rsid w:val="27606603"/>
    <w:rsid w:val="276460F3"/>
    <w:rsid w:val="27653C19"/>
    <w:rsid w:val="276854B7"/>
    <w:rsid w:val="276A122F"/>
    <w:rsid w:val="27736336"/>
    <w:rsid w:val="27787DF0"/>
    <w:rsid w:val="277B343D"/>
    <w:rsid w:val="27822A1D"/>
    <w:rsid w:val="27846795"/>
    <w:rsid w:val="278B0919"/>
    <w:rsid w:val="278E2A94"/>
    <w:rsid w:val="2791110F"/>
    <w:rsid w:val="27927B85"/>
    <w:rsid w:val="27936448"/>
    <w:rsid w:val="27A0443F"/>
    <w:rsid w:val="27A11A00"/>
    <w:rsid w:val="27A75C31"/>
    <w:rsid w:val="27A961FC"/>
    <w:rsid w:val="27AC1848"/>
    <w:rsid w:val="27B626C7"/>
    <w:rsid w:val="27BC5F2F"/>
    <w:rsid w:val="27C13E2F"/>
    <w:rsid w:val="27CE17BE"/>
    <w:rsid w:val="27CF5DC4"/>
    <w:rsid w:val="27DD05DF"/>
    <w:rsid w:val="27EE4BBD"/>
    <w:rsid w:val="27F3545B"/>
    <w:rsid w:val="27FE6547"/>
    <w:rsid w:val="2802590C"/>
    <w:rsid w:val="28090A48"/>
    <w:rsid w:val="280B2A12"/>
    <w:rsid w:val="280B656E"/>
    <w:rsid w:val="280E42B1"/>
    <w:rsid w:val="281875F6"/>
    <w:rsid w:val="281F026C"/>
    <w:rsid w:val="28201487"/>
    <w:rsid w:val="282D2989"/>
    <w:rsid w:val="28327F9F"/>
    <w:rsid w:val="28345A5E"/>
    <w:rsid w:val="28373D56"/>
    <w:rsid w:val="283755B5"/>
    <w:rsid w:val="283C7844"/>
    <w:rsid w:val="283E2364"/>
    <w:rsid w:val="285C0CB0"/>
    <w:rsid w:val="285E6FE6"/>
    <w:rsid w:val="28616AD6"/>
    <w:rsid w:val="286453B4"/>
    <w:rsid w:val="28665E9B"/>
    <w:rsid w:val="28771E56"/>
    <w:rsid w:val="287C121A"/>
    <w:rsid w:val="288E24DB"/>
    <w:rsid w:val="28933FD5"/>
    <w:rsid w:val="28AD3ACA"/>
    <w:rsid w:val="28C01A4F"/>
    <w:rsid w:val="28D92B11"/>
    <w:rsid w:val="28F13416"/>
    <w:rsid w:val="28F9610A"/>
    <w:rsid w:val="29003DC2"/>
    <w:rsid w:val="29031D59"/>
    <w:rsid w:val="290A2CCA"/>
    <w:rsid w:val="29137CB9"/>
    <w:rsid w:val="2927239E"/>
    <w:rsid w:val="29361A0F"/>
    <w:rsid w:val="29451F54"/>
    <w:rsid w:val="29606D8E"/>
    <w:rsid w:val="296072FA"/>
    <w:rsid w:val="2971189C"/>
    <w:rsid w:val="297947D0"/>
    <w:rsid w:val="29915199"/>
    <w:rsid w:val="29935EC6"/>
    <w:rsid w:val="29A30A29"/>
    <w:rsid w:val="29AC1FD3"/>
    <w:rsid w:val="29C0715D"/>
    <w:rsid w:val="29C516C1"/>
    <w:rsid w:val="29C9048F"/>
    <w:rsid w:val="29CC61D1"/>
    <w:rsid w:val="29D15596"/>
    <w:rsid w:val="29EE7EF6"/>
    <w:rsid w:val="29FB2613"/>
    <w:rsid w:val="2A094D30"/>
    <w:rsid w:val="2A0B6CFA"/>
    <w:rsid w:val="2A0C2A72"/>
    <w:rsid w:val="2A273408"/>
    <w:rsid w:val="2A293624"/>
    <w:rsid w:val="2A297180"/>
    <w:rsid w:val="2A383867"/>
    <w:rsid w:val="2A3C5105"/>
    <w:rsid w:val="2A3E70CF"/>
    <w:rsid w:val="2A462DFF"/>
    <w:rsid w:val="2A56451E"/>
    <w:rsid w:val="2A5A1A2F"/>
    <w:rsid w:val="2A5B7D43"/>
    <w:rsid w:val="2A6428AE"/>
    <w:rsid w:val="2A79171F"/>
    <w:rsid w:val="2A7E0EF0"/>
    <w:rsid w:val="2A7E4AC8"/>
    <w:rsid w:val="2A7F4FF2"/>
    <w:rsid w:val="2A8D6519"/>
    <w:rsid w:val="2A9220F0"/>
    <w:rsid w:val="2A930A9D"/>
    <w:rsid w:val="2A937512"/>
    <w:rsid w:val="2A971437"/>
    <w:rsid w:val="2A9767DF"/>
    <w:rsid w:val="2A992557"/>
    <w:rsid w:val="2AAB4039"/>
    <w:rsid w:val="2AD50A35"/>
    <w:rsid w:val="2AF2316A"/>
    <w:rsid w:val="2AF95FAD"/>
    <w:rsid w:val="2AFC6642"/>
    <w:rsid w:val="2B0025D7"/>
    <w:rsid w:val="2B09741E"/>
    <w:rsid w:val="2B222EB7"/>
    <w:rsid w:val="2B253DEB"/>
    <w:rsid w:val="2B275DB5"/>
    <w:rsid w:val="2B357971"/>
    <w:rsid w:val="2B434271"/>
    <w:rsid w:val="2B451DF6"/>
    <w:rsid w:val="2B4C2B63"/>
    <w:rsid w:val="2B4F2D00"/>
    <w:rsid w:val="2B525A09"/>
    <w:rsid w:val="2B553F84"/>
    <w:rsid w:val="2B5C7975"/>
    <w:rsid w:val="2B677BFF"/>
    <w:rsid w:val="2B757007"/>
    <w:rsid w:val="2B7841A6"/>
    <w:rsid w:val="2B8054C5"/>
    <w:rsid w:val="2B8A6344"/>
    <w:rsid w:val="2B8D373E"/>
    <w:rsid w:val="2B9176D3"/>
    <w:rsid w:val="2B925B89"/>
    <w:rsid w:val="2B9B5249"/>
    <w:rsid w:val="2B9B5E5B"/>
    <w:rsid w:val="2B9B72F9"/>
    <w:rsid w:val="2BA707AB"/>
    <w:rsid w:val="2BAA609E"/>
    <w:rsid w:val="2BB1567F"/>
    <w:rsid w:val="2BB34AE2"/>
    <w:rsid w:val="2BB4395C"/>
    <w:rsid w:val="2BBB31A5"/>
    <w:rsid w:val="2BC3604E"/>
    <w:rsid w:val="2BC96E6C"/>
    <w:rsid w:val="2BD01A9C"/>
    <w:rsid w:val="2BD36576"/>
    <w:rsid w:val="2BDC3A2E"/>
    <w:rsid w:val="2BDE3F9A"/>
    <w:rsid w:val="2BF35EF6"/>
    <w:rsid w:val="2BF5155C"/>
    <w:rsid w:val="2BF56C4B"/>
    <w:rsid w:val="2BF67536"/>
    <w:rsid w:val="2C002162"/>
    <w:rsid w:val="2C042437"/>
    <w:rsid w:val="2C11436F"/>
    <w:rsid w:val="2C1764C2"/>
    <w:rsid w:val="2C1A76C8"/>
    <w:rsid w:val="2C285599"/>
    <w:rsid w:val="2C351E0C"/>
    <w:rsid w:val="2C5030EA"/>
    <w:rsid w:val="2C6B3A80"/>
    <w:rsid w:val="2C730B86"/>
    <w:rsid w:val="2C7F7D3F"/>
    <w:rsid w:val="2C892A75"/>
    <w:rsid w:val="2C916448"/>
    <w:rsid w:val="2C9C04B7"/>
    <w:rsid w:val="2C9E48FE"/>
    <w:rsid w:val="2CB10399"/>
    <w:rsid w:val="2CB74F17"/>
    <w:rsid w:val="2CC55886"/>
    <w:rsid w:val="2CC969F8"/>
    <w:rsid w:val="2CD8628F"/>
    <w:rsid w:val="2CE05E48"/>
    <w:rsid w:val="2CE850D0"/>
    <w:rsid w:val="2CF56AF6"/>
    <w:rsid w:val="2D022235"/>
    <w:rsid w:val="2D0440C7"/>
    <w:rsid w:val="2D086A9F"/>
    <w:rsid w:val="2D090F4C"/>
    <w:rsid w:val="2D173C07"/>
    <w:rsid w:val="2D1813F5"/>
    <w:rsid w:val="2D205A01"/>
    <w:rsid w:val="2D223109"/>
    <w:rsid w:val="2D4310B3"/>
    <w:rsid w:val="2D4B565F"/>
    <w:rsid w:val="2D4D7629"/>
    <w:rsid w:val="2D5B1D46"/>
    <w:rsid w:val="2D686211"/>
    <w:rsid w:val="2D7022BF"/>
    <w:rsid w:val="2D83129D"/>
    <w:rsid w:val="2D8F379E"/>
    <w:rsid w:val="2D9C6103"/>
    <w:rsid w:val="2DA059AB"/>
    <w:rsid w:val="2DA20350"/>
    <w:rsid w:val="2DB11966"/>
    <w:rsid w:val="2DB256DE"/>
    <w:rsid w:val="2DBB0A37"/>
    <w:rsid w:val="2DC21DC5"/>
    <w:rsid w:val="2DCF1999"/>
    <w:rsid w:val="2DCF1F8A"/>
    <w:rsid w:val="2DD51823"/>
    <w:rsid w:val="2DD65CCF"/>
    <w:rsid w:val="2DE05DD0"/>
    <w:rsid w:val="2DE735DA"/>
    <w:rsid w:val="2DEA4EB8"/>
    <w:rsid w:val="2DEB6A75"/>
    <w:rsid w:val="2DF61C61"/>
    <w:rsid w:val="2E0233ED"/>
    <w:rsid w:val="2E114AFB"/>
    <w:rsid w:val="2E121E9C"/>
    <w:rsid w:val="2E180404"/>
    <w:rsid w:val="2E190FA2"/>
    <w:rsid w:val="2E1E0F13"/>
    <w:rsid w:val="2E206AEC"/>
    <w:rsid w:val="2E24038A"/>
    <w:rsid w:val="2E2A30FD"/>
    <w:rsid w:val="2E320624"/>
    <w:rsid w:val="2E494294"/>
    <w:rsid w:val="2E532A1D"/>
    <w:rsid w:val="2E552C39"/>
    <w:rsid w:val="2E622742"/>
    <w:rsid w:val="2E6B5FB9"/>
    <w:rsid w:val="2E707520"/>
    <w:rsid w:val="2E894691"/>
    <w:rsid w:val="2E8B1436"/>
    <w:rsid w:val="2EA36A42"/>
    <w:rsid w:val="2EB4027F"/>
    <w:rsid w:val="2EBA0733"/>
    <w:rsid w:val="2EC83BBA"/>
    <w:rsid w:val="2ECE6548"/>
    <w:rsid w:val="2ED2796A"/>
    <w:rsid w:val="2EDA4EED"/>
    <w:rsid w:val="2EDA6C9B"/>
    <w:rsid w:val="2EE31FF3"/>
    <w:rsid w:val="2EE45D81"/>
    <w:rsid w:val="2EF81EC8"/>
    <w:rsid w:val="2EF835C5"/>
    <w:rsid w:val="2EFA10EB"/>
    <w:rsid w:val="2EFC30B5"/>
    <w:rsid w:val="2F0024E4"/>
    <w:rsid w:val="2F01691D"/>
    <w:rsid w:val="2F103B63"/>
    <w:rsid w:val="2F1531D0"/>
    <w:rsid w:val="2F286F5A"/>
    <w:rsid w:val="2F2B74F6"/>
    <w:rsid w:val="2F49754B"/>
    <w:rsid w:val="2F4F49C8"/>
    <w:rsid w:val="2F544C9F"/>
    <w:rsid w:val="2F572D0F"/>
    <w:rsid w:val="2F657B66"/>
    <w:rsid w:val="2F6F1AD9"/>
    <w:rsid w:val="2F753DEB"/>
    <w:rsid w:val="2F754677"/>
    <w:rsid w:val="2F792957"/>
    <w:rsid w:val="2F8310E0"/>
    <w:rsid w:val="2F8A06C1"/>
    <w:rsid w:val="2F923A19"/>
    <w:rsid w:val="2F927575"/>
    <w:rsid w:val="2FA6462F"/>
    <w:rsid w:val="2FA71273"/>
    <w:rsid w:val="2FAB079C"/>
    <w:rsid w:val="2FD139A0"/>
    <w:rsid w:val="2FD23E16"/>
    <w:rsid w:val="2FD70CED"/>
    <w:rsid w:val="2FDB0F1C"/>
    <w:rsid w:val="2FE34275"/>
    <w:rsid w:val="2FE34C79"/>
    <w:rsid w:val="2FE6209B"/>
    <w:rsid w:val="2FF21187"/>
    <w:rsid w:val="2FF67B04"/>
    <w:rsid w:val="2FF975F4"/>
    <w:rsid w:val="2FFD5337"/>
    <w:rsid w:val="3002294D"/>
    <w:rsid w:val="300F506A"/>
    <w:rsid w:val="30202DD3"/>
    <w:rsid w:val="302E54F0"/>
    <w:rsid w:val="30542BDD"/>
    <w:rsid w:val="305667F5"/>
    <w:rsid w:val="3058165E"/>
    <w:rsid w:val="30711881"/>
    <w:rsid w:val="30744ECD"/>
    <w:rsid w:val="30830005"/>
    <w:rsid w:val="3096416E"/>
    <w:rsid w:val="309D4424"/>
    <w:rsid w:val="30A12166"/>
    <w:rsid w:val="30A13F14"/>
    <w:rsid w:val="30B05F05"/>
    <w:rsid w:val="30B654E5"/>
    <w:rsid w:val="30C23E8A"/>
    <w:rsid w:val="30C338F1"/>
    <w:rsid w:val="30C839CF"/>
    <w:rsid w:val="30C96685"/>
    <w:rsid w:val="30D20571"/>
    <w:rsid w:val="30D81900"/>
    <w:rsid w:val="30E97669"/>
    <w:rsid w:val="30EA318F"/>
    <w:rsid w:val="30EE1123"/>
    <w:rsid w:val="30F537B2"/>
    <w:rsid w:val="30F54260"/>
    <w:rsid w:val="30F744B4"/>
    <w:rsid w:val="30F77FD8"/>
    <w:rsid w:val="30FA3624"/>
    <w:rsid w:val="30FA39C5"/>
    <w:rsid w:val="31085D41"/>
    <w:rsid w:val="311E37B6"/>
    <w:rsid w:val="312406A1"/>
    <w:rsid w:val="312B3EEB"/>
    <w:rsid w:val="312B4898"/>
    <w:rsid w:val="31437511"/>
    <w:rsid w:val="31452479"/>
    <w:rsid w:val="31456F95"/>
    <w:rsid w:val="31575F6A"/>
    <w:rsid w:val="315C7E3B"/>
    <w:rsid w:val="31633AA7"/>
    <w:rsid w:val="31837ABD"/>
    <w:rsid w:val="3186310A"/>
    <w:rsid w:val="31917CE2"/>
    <w:rsid w:val="31947CE4"/>
    <w:rsid w:val="319504C3"/>
    <w:rsid w:val="31A76F7C"/>
    <w:rsid w:val="31B82C24"/>
    <w:rsid w:val="31BB0E7C"/>
    <w:rsid w:val="31C11945"/>
    <w:rsid w:val="31D46742"/>
    <w:rsid w:val="31D67CC5"/>
    <w:rsid w:val="31DD5420"/>
    <w:rsid w:val="31EF6F01"/>
    <w:rsid w:val="31F43120"/>
    <w:rsid w:val="31F75DB5"/>
    <w:rsid w:val="31FE2359"/>
    <w:rsid w:val="321425C5"/>
    <w:rsid w:val="321A0F82"/>
    <w:rsid w:val="322D09E9"/>
    <w:rsid w:val="322D19F7"/>
    <w:rsid w:val="322F554F"/>
    <w:rsid w:val="324765DE"/>
    <w:rsid w:val="32476D3D"/>
    <w:rsid w:val="324A3315"/>
    <w:rsid w:val="324F3ED9"/>
    <w:rsid w:val="326371A9"/>
    <w:rsid w:val="326E42CA"/>
    <w:rsid w:val="327C5D2B"/>
    <w:rsid w:val="327F2033"/>
    <w:rsid w:val="3281224F"/>
    <w:rsid w:val="3299209E"/>
    <w:rsid w:val="32A64AD9"/>
    <w:rsid w:val="32A97E05"/>
    <w:rsid w:val="32B0173D"/>
    <w:rsid w:val="32B7761C"/>
    <w:rsid w:val="32B83797"/>
    <w:rsid w:val="32B842A0"/>
    <w:rsid w:val="32BB6DE3"/>
    <w:rsid w:val="32C20171"/>
    <w:rsid w:val="32D14858"/>
    <w:rsid w:val="32E26A66"/>
    <w:rsid w:val="32E70585"/>
    <w:rsid w:val="3302726F"/>
    <w:rsid w:val="33235CD0"/>
    <w:rsid w:val="33242BDA"/>
    <w:rsid w:val="3327321E"/>
    <w:rsid w:val="33323549"/>
    <w:rsid w:val="33415B8B"/>
    <w:rsid w:val="33560103"/>
    <w:rsid w:val="33591E46"/>
    <w:rsid w:val="335D7E9A"/>
    <w:rsid w:val="335F1E64"/>
    <w:rsid w:val="33805FE9"/>
    <w:rsid w:val="33A26119"/>
    <w:rsid w:val="33A4038C"/>
    <w:rsid w:val="33A8380B"/>
    <w:rsid w:val="33A86870"/>
    <w:rsid w:val="33B2468A"/>
    <w:rsid w:val="33D03D2A"/>
    <w:rsid w:val="33D930D8"/>
    <w:rsid w:val="33DE6776"/>
    <w:rsid w:val="33E47038"/>
    <w:rsid w:val="33EB22BD"/>
    <w:rsid w:val="33EC194A"/>
    <w:rsid w:val="33F46A50"/>
    <w:rsid w:val="33F95E15"/>
    <w:rsid w:val="33FB1B8D"/>
    <w:rsid w:val="340547BA"/>
    <w:rsid w:val="340842AA"/>
    <w:rsid w:val="34207846"/>
    <w:rsid w:val="342310E4"/>
    <w:rsid w:val="34272982"/>
    <w:rsid w:val="342876D1"/>
    <w:rsid w:val="34346885"/>
    <w:rsid w:val="34367371"/>
    <w:rsid w:val="34412FFD"/>
    <w:rsid w:val="344C23E9"/>
    <w:rsid w:val="344E43B3"/>
    <w:rsid w:val="344F3C87"/>
    <w:rsid w:val="34515C51"/>
    <w:rsid w:val="345319C9"/>
    <w:rsid w:val="34592D57"/>
    <w:rsid w:val="34594B05"/>
    <w:rsid w:val="34621C0C"/>
    <w:rsid w:val="34652DEE"/>
    <w:rsid w:val="346C2A8B"/>
    <w:rsid w:val="347B0F20"/>
    <w:rsid w:val="348025C6"/>
    <w:rsid w:val="348576A9"/>
    <w:rsid w:val="34913BBC"/>
    <w:rsid w:val="3491429F"/>
    <w:rsid w:val="349E1E18"/>
    <w:rsid w:val="34CE72A2"/>
    <w:rsid w:val="34D83C7C"/>
    <w:rsid w:val="34D90CD0"/>
    <w:rsid w:val="34DD1188"/>
    <w:rsid w:val="34E02B31"/>
    <w:rsid w:val="34F14D3E"/>
    <w:rsid w:val="350318F6"/>
    <w:rsid w:val="350C2516"/>
    <w:rsid w:val="35100387"/>
    <w:rsid w:val="35123632"/>
    <w:rsid w:val="351A225F"/>
    <w:rsid w:val="35234E2B"/>
    <w:rsid w:val="352959DB"/>
    <w:rsid w:val="352E7D40"/>
    <w:rsid w:val="35337105"/>
    <w:rsid w:val="35374E47"/>
    <w:rsid w:val="3537548D"/>
    <w:rsid w:val="353A1D60"/>
    <w:rsid w:val="35496D6E"/>
    <w:rsid w:val="35521C81"/>
    <w:rsid w:val="356A2E86"/>
    <w:rsid w:val="35700359"/>
    <w:rsid w:val="357C7FEC"/>
    <w:rsid w:val="35865F9F"/>
    <w:rsid w:val="359009FB"/>
    <w:rsid w:val="35BF175E"/>
    <w:rsid w:val="35CF1523"/>
    <w:rsid w:val="35D07049"/>
    <w:rsid w:val="35DF103A"/>
    <w:rsid w:val="35E75811"/>
    <w:rsid w:val="35EC2712"/>
    <w:rsid w:val="35EF4FD0"/>
    <w:rsid w:val="35F3628D"/>
    <w:rsid w:val="35FE51D4"/>
    <w:rsid w:val="36080591"/>
    <w:rsid w:val="362A675A"/>
    <w:rsid w:val="362F13A5"/>
    <w:rsid w:val="363113DE"/>
    <w:rsid w:val="36484E32"/>
    <w:rsid w:val="36570F25"/>
    <w:rsid w:val="365778DF"/>
    <w:rsid w:val="365B422C"/>
    <w:rsid w:val="365D0718"/>
    <w:rsid w:val="366251BA"/>
    <w:rsid w:val="366317D0"/>
    <w:rsid w:val="36653C36"/>
    <w:rsid w:val="3674667A"/>
    <w:rsid w:val="367D0F7F"/>
    <w:rsid w:val="36820344"/>
    <w:rsid w:val="36877708"/>
    <w:rsid w:val="368857DA"/>
    <w:rsid w:val="368B625D"/>
    <w:rsid w:val="368E1087"/>
    <w:rsid w:val="369E45D6"/>
    <w:rsid w:val="36A54032"/>
    <w:rsid w:val="36AA5AEC"/>
    <w:rsid w:val="36B424C7"/>
    <w:rsid w:val="36BB3856"/>
    <w:rsid w:val="36BF3346"/>
    <w:rsid w:val="36C97D20"/>
    <w:rsid w:val="36CB6E86"/>
    <w:rsid w:val="36CF165B"/>
    <w:rsid w:val="36D93CDC"/>
    <w:rsid w:val="36E52680"/>
    <w:rsid w:val="36F154C9"/>
    <w:rsid w:val="36F50E34"/>
    <w:rsid w:val="36F82B6E"/>
    <w:rsid w:val="36F96A94"/>
    <w:rsid w:val="370230D7"/>
    <w:rsid w:val="370B658B"/>
    <w:rsid w:val="371511B8"/>
    <w:rsid w:val="37193D2F"/>
    <w:rsid w:val="37211DCC"/>
    <w:rsid w:val="372A7794"/>
    <w:rsid w:val="373C4D8B"/>
    <w:rsid w:val="373D3165"/>
    <w:rsid w:val="37405B09"/>
    <w:rsid w:val="374B2F4F"/>
    <w:rsid w:val="374C0952"/>
    <w:rsid w:val="374C4B96"/>
    <w:rsid w:val="374C59AF"/>
    <w:rsid w:val="37503F9E"/>
    <w:rsid w:val="37554FD1"/>
    <w:rsid w:val="375810A4"/>
    <w:rsid w:val="375A02D5"/>
    <w:rsid w:val="376477E4"/>
    <w:rsid w:val="376A17D3"/>
    <w:rsid w:val="376C4AB6"/>
    <w:rsid w:val="37840664"/>
    <w:rsid w:val="37955E55"/>
    <w:rsid w:val="37970BC0"/>
    <w:rsid w:val="379F0ABD"/>
    <w:rsid w:val="379F2985"/>
    <w:rsid w:val="37AC319E"/>
    <w:rsid w:val="37B92FAD"/>
    <w:rsid w:val="37C87FD8"/>
    <w:rsid w:val="37D746BF"/>
    <w:rsid w:val="37E077D5"/>
    <w:rsid w:val="37E172EC"/>
    <w:rsid w:val="37E64902"/>
    <w:rsid w:val="37E86CB2"/>
    <w:rsid w:val="37F920DA"/>
    <w:rsid w:val="380D6333"/>
    <w:rsid w:val="38276C57"/>
    <w:rsid w:val="38285A56"/>
    <w:rsid w:val="382A2A41"/>
    <w:rsid w:val="382C3356"/>
    <w:rsid w:val="38305B3C"/>
    <w:rsid w:val="38414FE9"/>
    <w:rsid w:val="38470D96"/>
    <w:rsid w:val="3851592F"/>
    <w:rsid w:val="385555E4"/>
    <w:rsid w:val="3862651D"/>
    <w:rsid w:val="38735C60"/>
    <w:rsid w:val="38740160"/>
    <w:rsid w:val="38763ED8"/>
    <w:rsid w:val="387B504A"/>
    <w:rsid w:val="38821536"/>
    <w:rsid w:val="38877E93"/>
    <w:rsid w:val="38A24CCD"/>
    <w:rsid w:val="38A345A1"/>
    <w:rsid w:val="38BD29A1"/>
    <w:rsid w:val="38C20ECB"/>
    <w:rsid w:val="38C76FD4"/>
    <w:rsid w:val="38D330D8"/>
    <w:rsid w:val="38D54720"/>
    <w:rsid w:val="38DB01DF"/>
    <w:rsid w:val="38E250CA"/>
    <w:rsid w:val="38F97C5B"/>
    <w:rsid w:val="391159AF"/>
    <w:rsid w:val="391B682D"/>
    <w:rsid w:val="391E1E7A"/>
    <w:rsid w:val="39237123"/>
    <w:rsid w:val="392F4087"/>
    <w:rsid w:val="39405540"/>
    <w:rsid w:val="39461AFC"/>
    <w:rsid w:val="39470146"/>
    <w:rsid w:val="39477622"/>
    <w:rsid w:val="394D60DE"/>
    <w:rsid w:val="3956622F"/>
    <w:rsid w:val="396B7EAC"/>
    <w:rsid w:val="396C0E37"/>
    <w:rsid w:val="39810D86"/>
    <w:rsid w:val="3986014B"/>
    <w:rsid w:val="39860B3F"/>
    <w:rsid w:val="39875765"/>
    <w:rsid w:val="399772F3"/>
    <w:rsid w:val="399C0723"/>
    <w:rsid w:val="39A24859"/>
    <w:rsid w:val="39AB7BB1"/>
    <w:rsid w:val="39B60304"/>
    <w:rsid w:val="39BF0A72"/>
    <w:rsid w:val="39C12F31"/>
    <w:rsid w:val="39C173D5"/>
    <w:rsid w:val="39C24EFB"/>
    <w:rsid w:val="39D013C6"/>
    <w:rsid w:val="39F42657"/>
    <w:rsid w:val="3A0056AE"/>
    <w:rsid w:val="3A055E7A"/>
    <w:rsid w:val="3A231490"/>
    <w:rsid w:val="3A371C54"/>
    <w:rsid w:val="3A433D6D"/>
    <w:rsid w:val="3A4407FC"/>
    <w:rsid w:val="3A4B4EF0"/>
    <w:rsid w:val="3A4E0551"/>
    <w:rsid w:val="3A557485"/>
    <w:rsid w:val="3A5A51DD"/>
    <w:rsid w:val="3A5C3925"/>
    <w:rsid w:val="3A5C4F1E"/>
    <w:rsid w:val="3A614714"/>
    <w:rsid w:val="3A6C39BB"/>
    <w:rsid w:val="3A6D711D"/>
    <w:rsid w:val="3A712BA9"/>
    <w:rsid w:val="3A720AA3"/>
    <w:rsid w:val="3A7B223D"/>
    <w:rsid w:val="3A8723CC"/>
    <w:rsid w:val="3A976388"/>
    <w:rsid w:val="3AA27206"/>
    <w:rsid w:val="3AA60379"/>
    <w:rsid w:val="3AAA1C17"/>
    <w:rsid w:val="3AAC1E33"/>
    <w:rsid w:val="3AB3173C"/>
    <w:rsid w:val="3ABB3E24"/>
    <w:rsid w:val="3ABC0A2C"/>
    <w:rsid w:val="3AC16F61"/>
    <w:rsid w:val="3AC4344A"/>
    <w:rsid w:val="3ACC4283"/>
    <w:rsid w:val="3ADB6274"/>
    <w:rsid w:val="3AF630AE"/>
    <w:rsid w:val="3B133C60"/>
    <w:rsid w:val="3B181276"/>
    <w:rsid w:val="3B186779"/>
    <w:rsid w:val="3B23087F"/>
    <w:rsid w:val="3B3379AB"/>
    <w:rsid w:val="3B3A43F7"/>
    <w:rsid w:val="3B462B12"/>
    <w:rsid w:val="3B4C168B"/>
    <w:rsid w:val="3B594FAB"/>
    <w:rsid w:val="3B5A363D"/>
    <w:rsid w:val="3B5D4EDB"/>
    <w:rsid w:val="3B6074C4"/>
    <w:rsid w:val="3B6874B1"/>
    <w:rsid w:val="3B6F4C0F"/>
    <w:rsid w:val="3B80097F"/>
    <w:rsid w:val="3B895CD0"/>
    <w:rsid w:val="3B8B1A48"/>
    <w:rsid w:val="3B912DD7"/>
    <w:rsid w:val="3B954675"/>
    <w:rsid w:val="3BA26D92"/>
    <w:rsid w:val="3BA71C83"/>
    <w:rsid w:val="3BAA13E4"/>
    <w:rsid w:val="3BC14218"/>
    <w:rsid w:val="3BC25393"/>
    <w:rsid w:val="3BC767F9"/>
    <w:rsid w:val="3BCF77BE"/>
    <w:rsid w:val="3BD50D31"/>
    <w:rsid w:val="3BE91AED"/>
    <w:rsid w:val="3BEA5C31"/>
    <w:rsid w:val="3BF05D4F"/>
    <w:rsid w:val="3BFB79B8"/>
    <w:rsid w:val="3BFF0A2D"/>
    <w:rsid w:val="3C02567B"/>
    <w:rsid w:val="3C0637C5"/>
    <w:rsid w:val="3C096E11"/>
    <w:rsid w:val="3C236125"/>
    <w:rsid w:val="3C2479A4"/>
    <w:rsid w:val="3C275315"/>
    <w:rsid w:val="3C3519B4"/>
    <w:rsid w:val="3C384C09"/>
    <w:rsid w:val="3C3919B2"/>
    <w:rsid w:val="3C4165AB"/>
    <w:rsid w:val="3C4560BD"/>
    <w:rsid w:val="3C4B67BD"/>
    <w:rsid w:val="3C5E0F0B"/>
    <w:rsid w:val="3C84649C"/>
    <w:rsid w:val="3C850B8E"/>
    <w:rsid w:val="3C8A6140"/>
    <w:rsid w:val="3C8C1F1C"/>
    <w:rsid w:val="3CA27F74"/>
    <w:rsid w:val="3CAA0661"/>
    <w:rsid w:val="3CAF1767"/>
    <w:rsid w:val="3CB60D47"/>
    <w:rsid w:val="3CCB2319"/>
    <w:rsid w:val="3CD967E3"/>
    <w:rsid w:val="3D0221DE"/>
    <w:rsid w:val="3D0A2E41"/>
    <w:rsid w:val="3D0D16EF"/>
    <w:rsid w:val="3D114B43"/>
    <w:rsid w:val="3D127F47"/>
    <w:rsid w:val="3D232155"/>
    <w:rsid w:val="3D3D3216"/>
    <w:rsid w:val="3D3D6D72"/>
    <w:rsid w:val="3D4445A5"/>
    <w:rsid w:val="3D446D65"/>
    <w:rsid w:val="3D681032"/>
    <w:rsid w:val="3D695DB9"/>
    <w:rsid w:val="3D7D7AB7"/>
    <w:rsid w:val="3D803103"/>
    <w:rsid w:val="3D89645B"/>
    <w:rsid w:val="3D931088"/>
    <w:rsid w:val="3D995F73"/>
    <w:rsid w:val="3D9C6035"/>
    <w:rsid w:val="3DB20C94"/>
    <w:rsid w:val="3DB42DAD"/>
    <w:rsid w:val="3DB46BC0"/>
    <w:rsid w:val="3DB55618"/>
    <w:rsid w:val="3DBB1B0E"/>
    <w:rsid w:val="3DC11699"/>
    <w:rsid w:val="3DC254CA"/>
    <w:rsid w:val="3DC77D0F"/>
    <w:rsid w:val="3DD90390"/>
    <w:rsid w:val="3DDB658B"/>
    <w:rsid w:val="3DE17AED"/>
    <w:rsid w:val="3DED37F9"/>
    <w:rsid w:val="3DF2512B"/>
    <w:rsid w:val="3DF71617"/>
    <w:rsid w:val="3E09134A"/>
    <w:rsid w:val="3E0B13FA"/>
    <w:rsid w:val="3E0D0E3B"/>
    <w:rsid w:val="3E19660A"/>
    <w:rsid w:val="3E2E615A"/>
    <w:rsid w:val="3E3E1A84"/>
    <w:rsid w:val="3E483BB4"/>
    <w:rsid w:val="3E4A3B11"/>
    <w:rsid w:val="3E4F10C4"/>
    <w:rsid w:val="3E4F1453"/>
    <w:rsid w:val="3E5E3444"/>
    <w:rsid w:val="3E8135D7"/>
    <w:rsid w:val="3E8261C4"/>
    <w:rsid w:val="3E852C4C"/>
    <w:rsid w:val="3E9230EE"/>
    <w:rsid w:val="3EA232A3"/>
    <w:rsid w:val="3EA82450"/>
    <w:rsid w:val="3EAF3CA0"/>
    <w:rsid w:val="3EC158A9"/>
    <w:rsid w:val="3ED54C8A"/>
    <w:rsid w:val="3EDC25BB"/>
    <w:rsid w:val="3EDE4585"/>
    <w:rsid w:val="3EE76CD7"/>
    <w:rsid w:val="3EE9030D"/>
    <w:rsid w:val="3EEE34B5"/>
    <w:rsid w:val="3EEF1CC6"/>
    <w:rsid w:val="3EF508F9"/>
    <w:rsid w:val="3EF618CF"/>
    <w:rsid w:val="3F000ABC"/>
    <w:rsid w:val="3F0264C5"/>
    <w:rsid w:val="3F0605B1"/>
    <w:rsid w:val="3F0B4C4E"/>
    <w:rsid w:val="3F144A67"/>
    <w:rsid w:val="3F161F71"/>
    <w:rsid w:val="3F473ED8"/>
    <w:rsid w:val="3F632CDC"/>
    <w:rsid w:val="3F6C393F"/>
    <w:rsid w:val="3F6F31DE"/>
    <w:rsid w:val="3F78475C"/>
    <w:rsid w:val="3F80563C"/>
    <w:rsid w:val="3F9614BE"/>
    <w:rsid w:val="3F9B06C8"/>
    <w:rsid w:val="3F9C56E6"/>
    <w:rsid w:val="3FB457A2"/>
    <w:rsid w:val="3FC00277"/>
    <w:rsid w:val="3FD5771A"/>
    <w:rsid w:val="3FE06B97"/>
    <w:rsid w:val="3FE8515D"/>
    <w:rsid w:val="3FEE07F8"/>
    <w:rsid w:val="3FFB2F15"/>
    <w:rsid w:val="3FFF2A05"/>
    <w:rsid w:val="400B13AA"/>
    <w:rsid w:val="401B03BA"/>
    <w:rsid w:val="40205CF6"/>
    <w:rsid w:val="40224945"/>
    <w:rsid w:val="40226D9C"/>
    <w:rsid w:val="40281B4E"/>
    <w:rsid w:val="402F009C"/>
    <w:rsid w:val="40330901"/>
    <w:rsid w:val="403C5A07"/>
    <w:rsid w:val="4044666A"/>
    <w:rsid w:val="40490124"/>
    <w:rsid w:val="40512B35"/>
    <w:rsid w:val="40532D51"/>
    <w:rsid w:val="405465FA"/>
    <w:rsid w:val="40571326"/>
    <w:rsid w:val="4063698F"/>
    <w:rsid w:val="406867FC"/>
    <w:rsid w:val="406B3BF6"/>
    <w:rsid w:val="407A0E6B"/>
    <w:rsid w:val="408847A8"/>
    <w:rsid w:val="408B118A"/>
    <w:rsid w:val="408C2542"/>
    <w:rsid w:val="408E3D59"/>
    <w:rsid w:val="409C0254"/>
    <w:rsid w:val="40A11D0E"/>
    <w:rsid w:val="40A13BA7"/>
    <w:rsid w:val="40A7789C"/>
    <w:rsid w:val="40AE7C64"/>
    <w:rsid w:val="40AE7F87"/>
    <w:rsid w:val="40B808FD"/>
    <w:rsid w:val="40C8729B"/>
    <w:rsid w:val="40DF49A6"/>
    <w:rsid w:val="410302D3"/>
    <w:rsid w:val="4105404B"/>
    <w:rsid w:val="410A1661"/>
    <w:rsid w:val="41120516"/>
    <w:rsid w:val="41123C58"/>
    <w:rsid w:val="4113228A"/>
    <w:rsid w:val="412169AB"/>
    <w:rsid w:val="412C5BD7"/>
    <w:rsid w:val="412E1110"/>
    <w:rsid w:val="41566655"/>
    <w:rsid w:val="41686388"/>
    <w:rsid w:val="41733B91"/>
    <w:rsid w:val="417B255F"/>
    <w:rsid w:val="41840C58"/>
    <w:rsid w:val="418E6179"/>
    <w:rsid w:val="419D4283"/>
    <w:rsid w:val="41A03D74"/>
    <w:rsid w:val="41AF045B"/>
    <w:rsid w:val="41BB48E2"/>
    <w:rsid w:val="41BC374E"/>
    <w:rsid w:val="41BD2B78"/>
    <w:rsid w:val="41C21F3C"/>
    <w:rsid w:val="41C52633"/>
    <w:rsid w:val="41CC7DDB"/>
    <w:rsid w:val="41DB574A"/>
    <w:rsid w:val="41EC6DDE"/>
    <w:rsid w:val="41EC6FB9"/>
    <w:rsid w:val="41F06AA9"/>
    <w:rsid w:val="41FA2D85"/>
    <w:rsid w:val="42032ACC"/>
    <w:rsid w:val="42233F16"/>
    <w:rsid w:val="42386BE7"/>
    <w:rsid w:val="423F533B"/>
    <w:rsid w:val="42443533"/>
    <w:rsid w:val="424456CC"/>
    <w:rsid w:val="424D3EFC"/>
    <w:rsid w:val="425B7131"/>
    <w:rsid w:val="425E35DB"/>
    <w:rsid w:val="42733236"/>
    <w:rsid w:val="42784CF1"/>
    <w:rsid w:val="427A45C5"/>
    <w:rsid w:val="42816542"/>
    <w:rsid w:val="42896050"/>
    <w:rsid w:val="4291232D"/>
    <w:rsid w:val="429A4C67"/>
    <w:rsid w:val="429C39D4"/>
    <w:rsid w:val="42E04203"/>
    <w:rsid w:val="42ED3C3D"/>
    <w:rsid w:val="42EF105C"/>
    <w:rsid w:val="43051EA2"/>
    <w:rsid w:val="430B1EEE"/>
    <w:rsid w:val="43160791"/>
    <w:rsid w:val="43212C92"/>
    <w:rsid w:val="43217136"/>
    <w:rsid w:val="433C57DB"/>
    <w:rsid w:val="43486471"/>
    <w:rsid w:val="434F5A51"/>
    <w:rsid w:val="43505326"/>
    <w:rsid w:val="43617FED"/>
    <w:rsid w:val="43670FED"/>
    <w:rsid w:val="437C436D"/>
    <w:rsid w:val="437C611B"/>
    <w:rsid w:val="437F0128"/>
    <w:rsid w:val="43811C6D"/>
    <w:rsid w:val="438848F7"/>
    <w:rsid w:val="4388777F"/>
    <w:rsid w:val="43893FEF"/>
    <w:rsid w:val="439568F1"/>
    <w:rsid w:val="439A62FF"/>
    <w:rsid w:val="439E653F"/>
    <w:rsid w:val="43A51B15"/>
    <w:rsid w:val="43B14016"/>
    <w:rsid w:val="43BB6C43"/>
    <w:rsid w:val="43BF6C09"/>
    <w:rsid w:val="43C13108"/>
    <w:rsid w:val="43C53F65"/>
    <w:rsid w:val="43CA597F"/>
    <w:rsid w:val="43CE6ECC"/>
    <w:rsid w:val="43D67F21"/>
    <w:rsid w:val="43DB5537"/>
    <w:rsid w:val="43F42155"/>
    <w:rsid w:val="43F860E9"/>
    <w:rsid w:val="43FB34E3"/>
    <w:rsid w:val="43FE5A1F"/>
    <w:rsid w:val="440525B4"/>
    <w:rsid w:val="44061EA9"/>
    <w:rsid w:val="4416656F"/>
    <w:rsid w:val="44185E43"/>
    <w:rsid w:val="441F3676"/>
    <w:rsid w:val="44231FA6"/>
    <w:rsid w:val="442B31AA"/>
    <w:rsid w:val="44387F8A"/>
    <w:rsid w:val="444D0A53"/>
    <w:rsid w:val="44536725"/>
    <w:rsid w:val="445826E4"/>
    <w:rsid w:val="44680642"/>
    <w:rsid w:val="446D6E8D"/>
    <w:rsid w:val="447D039C"/>
    <w:rsid w:val="447F4128"/>
    <w:rsid w:val="44867251"/>
    <w:rsid w:val="448B2AB9"/>
    <w:rsid w:val="449050E1"/>
    <w:rsid w:val="44B32010"/>
    <w:rsid w:val="44B414A4"/>
    <w:rsid w:val="44BC710F"/>
    <w:rsid w:val="44C22A57"/>
    <w:rsid w:val="44C63AF1"/>
    <w:rsid w:val="44CE2D64"/>
    <w:rsid w:val="44D15F3E"/>
    <w:rsid w:val="44D42A00"/>
    <w:rsid w:val="44D60B75"/>
    <w:rsid w:val="44D73F50"/>
    <w:rsid w:val="44E328F5"/>
    <w:rsid w:val="44E9190D"/>
    <w:rsid w:val="44E96829"/>
    <w:rsid w:val="44EB61D6"/>
    <w:rsid w:val="451B6A60"/>
    <w:rsid w:val="452F40CC"/>
    <w:rsid w:val="45344EFF"/>
    <w:rsid w:val="45401697"/>
    <w:rsid w:val="45431C2B"/>
    <w:rsid w:val="45462E84"/>
    <w:rsid w:val="45467F62"/>
    <w:rsid w:val="454951DC"/>
    <w:rsid w:val="45603F46"/>
    <w:rsid w:val="457D0550"/>
    <w:rsid w:val="457E36C4"/>
    <w:rsid w:val="45810F74"/>
    <w:rsid w:val="45965BB9"/>
    <w:rsid w:val="459D696F"/>
    <w:rsid w:val="45A24357"/>
    <w:rsid w:val="45AA3413"/>
    <w:rsid w:val="45AB1823"/>
    <w:rsid w:val="45AC0F39"/>
    <w:rsid w:val="45B9003B"/>
    <w:rsid w:val="45BC6351"/>
    <w:rsid w:val="45D57CCA"/>
    <w:rsid w:val="45DE61D5"/>
    <w:rsid w:val="45DF68CB"/>
    <w:rsid w:val="45F75F2C"/>
    <w:rsid w:val="45FB4075"/>
    <w:rsid w:val="45FB5A1D"/>
    <w:rsid w:val="460C19D8"/>
    <w:rsid w:val="46164AD5"/>
    <w:rsid w:val="463217AB"/>
    <w:rsid w:val="46377026"/>
    <w:rsid w:val="464A593F"/>
    <w:rsid w:val="464C44CA"/>
    <w:rsid w:val="46737CA9"/>
    <w:rsid w:val="46750A67"/>
    <w:rsid w:val="46771EAF"/>
    <w:rsid w:val="46774969"/>
    <w:rsid w:val="467A57B6"/>
    <w:rsid w:val="46844A32"/>
    <w:rsid w:val="4685504D"/>
    <w:rsid w:val="469519CD"/>
    <w:rsid w:val="46963997"/>
    <w:rsid w:val="469917D4"/>
    <w:rsid w:val="469B2D5C"/>
    <w:rsid w:val="469B46D5"/>
    <w:rsid w:val="469C1979"/>
    <w:rsid w:val="46A63BDA"/>
    <w:rsid w:val="46A73E7E"/>
    <w:rsid w:val="46A837DF"/>
    <w:rsid w:val="46AF0723"/>
    <w:rsid w:val="46C242A9"/>
    <w:rsid w:val="46C87FF5"/>
    <w:rsid w:val="46D02A05"/>
    <w:rsid w:val="46E24DDD"/>
    <w:rsid w:val="46E42955"/>
    <w:rsid w:val="46EB783F"/>
    <w:rsid w:val="470A29C3"/>
    <w:rsid w:val="4714323A"/>
    <w:rsid w:val="4716385A"/>
    <w:rsid w:val="47196671"/>
    <w:rsid w:val="473019A3"/>
    <w:rsid w:val="47431429"/>
    <w:rsid w:val="475C13AE"/>
    <w:rsid w:val="476D294A"/>
    <w:rsid w:val="476F66C2"/>
    <w:rsid w:val="477737C9"/>
    <w:rsid w:val="47867568"/>
    <w:rsid w:val="478B409A"/>
    <w:rsid w:val="478B6C64"/>
    <w:rsid w:val="47924127"/>
    <w:rsid w:val="47951F6F"/>
    <w:rsid w:val="479559FD"/>
    <w:rsid w:val="47961EA1"/>
    <w:rsid w:val="47B440D5"/>
    <w:rsid w:val="47C87B80"/>
    <w:rsid w:val="47CB06B2"/>
    <w:rsid w:val="47D6229D"/>
    <w:rsid w:val="47DB266C"/>
    <w:rsid w:val="47E0311C"/>
    <w:rsid w:val="47EB386F"/>
    <w:rsid w:val="47EC1AC1"/>
    <w:rsid w:val="47FA3E9F"/>
    <w:rsid w:val="47FE1CD2"/>
    <w:rsid w:val="480A1F47"/>
    <w:rsid w:val="48141018"/>
    <w:rsid w:val="482024E1"/>
    <w:rsid w:val="482D3E87"/>
    <w:rsid w:val="482E1898"/>
    <w:rsid w:val="48496F13"/>
    <w:rsid w:val="484A6F2B"/>
    <w:rsid w:val="48651FD5"/>
    <w:rsid w:val="48711FC6"/>
    <w:rsid w:val="48943F06"/>
    <w:rsid w:val="48990868"/>
    <w:rsid w:val="48A22F72"/>
    <w:rsid w:val="48A759E8"/>
    <w:rsid w:val="48B620CF"/>
    <w:rsid w:val="48BC68A3"/>
    <w:rsid w:val="48C52312"/>
    <w:rsid w:val="48CB3DCC"/>
    <w:rsid w:val="48DA0BAD"/>
    <w:rsid w:val="48E22EC4"/>
    <w:rsid w:val="48E46722"/>
    <w:rsid w:val="48E64762"/>
    <w:rsid w:val="48E7655B"/>
    <w:rsid w:val="48F54739"/>
    <w:rsid w:val="48F870EE"/>
    <w:rsid w:val="49047674"/>
    <w:rsid w:val="49072EEB"/>
    <w:rsid w:val="491868E5"/>
    <w:rsid w:val="49275FFC"/>
    <w:rsid w:val="49296D45"/>
    <w:rsid w:val="492B6619"/>
    <w:rsid w:val="49366D6C"/>
    <w:rsid w:val="494616A5"/>
    <w:rsid w:val="49494CF1"/>
    <w:rsid w:val="494E054C"/>
    <w:rsid w:val="495711BC"/>
    <w:rsid w:val="496140CE"/>
    <w:rsid w:val="4962490E"/>
    <w:rsid w:val="49706AC3"/>
    <w:rsid w:val="497F6A07"/>
    <w:rsid w:val="49805F8A"/>
    <w:rsid w:val="49831FB1"/>
    <w:rsid w:val="49867CF3"/>
    <w:rsid w:val="498B5309"/>
    <w:rsid w:val="498D72D3"/>
    <w:rsid w:val="499046CE"/>
    <w:rsid w:val="49A451F1"/>
    <w:rsid w:val="49A62143"/>
    <w:rsid w:val="49CB792D"/>
    <w:rsid w:val="49D547D7"/>
    <w:rsid w:val="49D62A28"/>
    <w:rsid w:val="49DC3DB7"/>
    <w:rsid w:val="49E04189"/>
    <w:rsid w:val="49E862B8"/>
    <w:rsid w:val="49EE6966"/>
    <w:rsid w:val="49F033BE"/>
    <w:rsid w:val="4A01189B"/>
    <w:rsid w:val="4A0376C1"/>
    <w:rsid w:val="4A070E34"/>
    <w:rsid w:val="4A11590E"/>
    <w:rsid w:val="4A11593B"/>
    <w:rsid w:val="4A143551"/>
    <w:rsid w:val="4A2117CA"/>
    <w:rsid w:val="4A2319E6"/>
    <w:rsid w:val="4A3B6D71"/>
    <w:rsid w:val="4A3E47C6"/>
    <w:rsid w:val="4A421E6C"/>
    <w:rsid w:val="4A45370A"/>
    <w:rsid w:val="4A547DF1"/>
    <w:rsid w:val="4A655B5A"/>
    <w:rsid w:val="4A670CE8"/>
    <w:rsid w:val="4A7E0095"/>
    <w:rsid w:val="4A8A46EE"/>
    <w:rsid w:val="4A981A8C"/>
    <w:rsid w:val="4AA30F88"/>
    <w:rsid w:val="4AA922FB"/>
    <w:rsid w:val="4AAC19DB"/>
    <w:rsid w:val="4AAC3789"/>
    <w:rsid w:val="4AB012C1"/>
    <w:rsid w:val="4AB32D6A"/>
    <w:rsid w:val="4AC37F0D"/>
    <w:rsid w:val="4AD351BA"/>
    <w:rsid w:val="4AD64409"/>
    <w:rsid w:val="4ADA2423"/>
    <w:rsid w:val="4AEA44DF"/>
    <w:rsid w:val="4AEA6060"/>
    <w:rsid w:val="4AEC002A"/>
    <w:rsid w:val="4AFD2237"/>
    <w:rsid w:val="4AFE05CE"/>
    <w:rsid w:val="4B0610EB"/>
    <w:rsid w:val="4B062BD9"/>
    <w:rsid w:val="4B0E7FA0"/>
    <w:rsid w:val="4B1355B6"/>
    <w:rsid w:val="4B19038B"/>
    <w:rsid w:val="4B2C50D3"/>
    <w:rsid w:val="4B2E6A0F"/>
    <w:rsid w:val="4B3043BA"/>
    <w:rsid w:val="4B306168"/>
    <w:rsid w:val="4B3361DB"/>
    <w:rsid w:val="4B447E66"/>
    <w:rsid w:val="4B4B6897"/>
    <w:rsid w:val="4B4D329B"/>
    <w:rsid w:val="4B582A18"/>
    <w:rsid w:val="4B5C0D0B"/>
    <w:rsid w:val="4B5C107E"/>
    <w:rsid w:val="4B614574"/>
    <w:rsid w:val="4B92129D"/>
    <w:rsid w:val="4BA419D3"/>
    <w:rsid w:val="4BA601D9"/>
    <w:rsid w:val="4BB0030E"/>
    <w:rsid w:val="4BC34B9A"/>
    <w:rsid w:val="4BD27220"/>
    <w:rsid w:val="4BD44D46"/>
    <w:rsid w:val="4BD765E4"/>
    <w:rsid w:val="4BDA5A90"/>
    <w:rsid w:val="4BF52199"/>
    <w:rsid w:val="4BF56837"/>
    <w:rsid w:val="4BF928B7"/>
    <w:rsid w:val="4BF944CE"/>
    <w:rsid w:val="4C07066C"/>
    <w:rsid w:val="4C0C538C"/>
    <w:rsid w:val="4C12586E"/>
    <w:rsid w:val="4C1B255E"/>
    <w:rsid w:val="4C1E06B7"/>
    <w:rsid w:val="4C2E3605"/>
    <w:rsid w:val="4C3B231E"/>
    <w:rsid w:val="4C3D6555"/>
    <w:rsid w:val="4C417F01"/>
    <w:rsid w:val="4C4D4AF8"/>
    <w:rsid w:val="4C5365B2"/>
    <w:rsid w:val="4C6E0441"/>
    <w:rsid w:val="4C714D34"/>
    <w:rsid w:val="4C7B3413"/>
    <w:rsid w:val="4C9C194B"/>
    <w:rsid w:val="4C9E625C"/>
    <w:rsid w:val="4CA7245A"/>
    <w:rsid w:val="4CA94424"/>
    <w:rsid w:val="4CAA3CF8"/>
    <w:rsid w:val="4CAD0735"/>
    <w:rsid w:val="4CAF130F"/>
    <w:rsid w:val="4CB16E35"/>
    <w:rsid w:val="4CB525DD"/>
    <w:rsid w:val="4CB61310"/>
    <w:rsid w:val="4CCC1B46"/>
    <w:rsid w:val="4CCE79E7"/>
    <w:rsid w:val="4CDF25FF"/>
    <w:rsid w:val="4CF7705D"/>
    <w:rsid w:val="4D027691"/>
    <w:rsid w:val="4D083AC4"/>
    <w:rsid w:val="4D0C075F"/>
    <w:rsid w:val="4D160BC7"/>
    <w:rsid w:val="4D1778FC"/>
    <w:rsid w:val="4D25439B"/>
    <w:rsid w:val="4D4978AC"/>
    <w:rsid w:val="4D4E0B28"/>
    <w:rsid w:val="4D950505"/>
    <w:rsid w:val="4D9D167F"/>
    <w:rsid w:val="4DA361BE"/>
    <w:rsid w:val="4DA93FB0"/>
    <w:rsid w:val="4DAE15C6"/>
    <w:rsid w:val="4DB017E2"/>
    <w:rsid w:val="4DB13C6B"/>
    <w:rsid w:val="4DBF1900"/>
    <w:rsid w:val="4DC66910"/>
    <w:rsid w:val="4DCF7EBB"/>
    <w:rsid w:val="4DDA7251"/>
    <w:rsid w:val="4DDC4386"/>
    <w:rsid w:val="4DE4323A"/>
    <w:rsid w:val="4E01582D"/>
    <w:rsid w:val="4E2E48B9"/>
    <w:rsid w:val="4E3E1263"/>
    <w:rsid w:val="4E40695D"/>
    <w:rsid w:val="4E4168DE"/>
    <w:rsid w:val="4E4B472D"/>
    <w:rsid w:val="4E4C2EA2"/>
    <w:rsid w:val="4E516B22"/>
    <w:rsid w:val="4E546612"/>
    <w:rsid w:val="4E5B50D3"/>
    <w:rsid w:val="4E724CEA"/>
    <w:rsid w:val="4E7D7917"/>
    <w:rsid w:val="4E8567CB"/>
    <w:rsid w:val="4E8E36B8"/>
    <w:rsid w:val="4E922C96"/>
    <w:rsid w:val="4E962786"/>
    <w:rsid w:val="4E9E788D"/>
    <w:rsid w:val="4EA50C1B"/>
    <w:rsid w:val="4EBA2F55"/>
    <w:rsid w:val="4EC67A99"/>
    <w:rsid w:val="4ED11A10"/>
    <w:rsid w:val="4ED6322F"/>
    <w:rsid w:val="4EE72FE2"/>
    <w:rsid w:val="4EF456FF"/>
    <w:rsid w:val="4F0A4F22"/>
    <w:rsid w:val="4F0F42E7"/>
    <w:rsid w:val="4F251D5C"/>
    <w:rsid w:val="4F336227"/>
    <w:rsid w:val="4F371833"/>
    <w:rsid w:val="4F38503B"/>
    <w:rsid w:val="4F3F411A"/>
    <w:rsid w:val="4F427227"/>
    <w:rsid w:val="4F6E3F54"/>
    <w:rsid w:val="4F7A5C04"/>
    <w:rsid w:val="4F8477C6"/>
    <w:rsid w:val="4F8C5937"/>
    <w:rsid w:val="4F8E4239"/>
    <w:rsid w:val="4F9071D6"/>
    <w:rsid w:val="4FA42C81"/>
    <w:rsid w:val="4FB355BE"/>
    <w:rsid w:val="4FC96B8B"/>
    <w:rsid w:val="4FD0191D"/>
    <w:rsid w:val="4FD0316D"/>
    <w:rsid w:val="4FDF63AF"/>
    <w:rsid w:val="4FE50E09"/>
    <w:rsid w:val="4FF57980"/>
    <w:rsid w:val="4FF84D7B"/>
    <w:rsid w:val="500B71A4"/>
    <w:rsid w:val="5012408F"/>
    <w:rsid w:val="501871CB"/>
    <w:rsid w:val="503D0A8A"/>
    <w:rsid w:val="503E63E0"/>
    <w:rsid w:val="5042188F"/>
    <w:rsid w:val="505172E0"/>
    <w:rsid w:val="50533AEF"/>
    <w:rsid w:val="50610750"/>
    <w:rsid w:val="506D5769"/>
    <w:rsid w:val="50700DB5"/>
    <w:rsid w:val="50722D7F"/>
    <w:rsid w:val="507671C9"/>
    <w:rsid w:val="507836C4"/>
    <w:rsid w:val="507F5666"/>
    <w:rsid w:val="50820C6F"/>
    <w:rsid w:val="508807F5"/>
    <w:rsid w:val="508D7BB9"/>
    <w:rsid w:val="508F3931"/>
    <w:rsid w:val="50926B99"/>
    <w:rsid w:val="50A665E1"/>
    <w:rsid w:val="50AA076B"/>
    <w:rsid w:val="50B41186"/>
    <w:rsid w:val="50DB6B76"/>
    <w:rsid w:val="50EE1CF2"/>
    <w:rsid w:val="50EF64EE"/>
    <w:rsid w:val="51024103"/>
    <w:rsid w:val="510314B3"/>
    <w:rsid w:val="510F4A72"/>
    <w:rsid w:val="5118442F"/>
    <w:rsid w:val="511C3777"/>
    <w:rsid w:val="51226553"/>
    <w:rsid w:val="512322CB"/>
    <w:rsid w:val="512A7622"/>
    <w:rsid w:val="51306B4E"/>
    <w:rsid w:val="513403C7"/>
    <w:rsid w:val="51405817"/>
    <w:rsid w:val="51493AE0"/>
    <w:rsid w:val="514B674C"/>
    <w:rsid w:val="514C35D0"/>
    <w:rsid w:val="51514CAB"/>
    <w:rsid w:val="51590ECD"/>
    <w:rsid w:val="5167040A"/>
    <w:rsid w:val="5167583F"/>
    <w:rsid w:val="51794915"/>
    <w:rsid w:val="517B5710"/>
    <w:rsid w:val="51940402"/>
    <w:rsid w:val="5196484B"/>
    <w:rsid w:val="519805C3"/>
    <w:rsid w:val="519C2B02"/>
    <w:rsid w:val="51A90A23"/>
    <w:rsid w:val="51AB6549"/>
    <w:rsid w:val="51AE6039"/>
    <w:rsid w:val="51B3364F"/>
    <w:rsid w:val="51B7313F"/>
    <w:rsid w:val="51B80C66"/>
    <w:rsid w:val="51BE78D8"/>
    <w:rsid w:val="51C07B1A"/>
    <w:rsid w:val="51C422DF"/>
    <w:rsid w:val="51CE0489"/>
    <w:rsid w:val="51DA7627"/>
    <w:rsid w:val="51DD000C"/>
    <w:rsid w:val="51DD6BC9"/>
    <w:rsid w:val="51E11F6A"/>
    <w:rsid w:val="51E40803"/>
    <w:rsid w:val="51E97C0D"/>
    <w:rsid w:val="52224331"/>
    <w:rsid w:val="522E6257"/>
    <w:rsid w:val="522E717A"/>
    <w:rsid w:val="523227C6"/>
    <w:rsid w:val="5233653E"/>
    <w:rsid w:val="523C1531"/>
    <w:rsid w:val="523D116B"/>
    <w:rsid w:val="5246001F"/>
    <w:rsid w:val="52475700"/>
    <w:rsid w:val="525503FE"/>
    <w:rsid w:val="525564B4"/>
    <w:rsid w:val="5256604B"/>
    <w:rsid w:val="5259161B"/>
    <w:rsid w:val="525F3E0F"/>
    <w:rsid w:val="526806C6"/>
    <w:rsid w:val="52683276"/>
    <w:rsid w:val="526C7B62"/>
    <w:rsid w:val="5281671F"/>
    <w:rsid w:val="52844FED"/>
    <w:rsid w:val="52875B10"/>
    <w:rsid w:val="528943B0"/>
    <w:rsid w:val="5291096A"/>
    <w:rsid w:val="52954560"/>
    <w:rsid w:val="529E42FF"/>
    <w:rsid w:val="52A03BD4"/>
    <w:rsid w:val="52AB2578"/>
    <w:rsid w:val="52AC7F54"/>
    <w:rsid w:val="52B37355"/>
    <w:rsid w:val="52BE7D56"/>
    <w:rsid w:val="52C35B14"/>
    <w:rsid w:val="52C8312A"/>
    <w:rsid w:val="52D7336D"/>
    <w:rsid w:val="52D94E5A"/>
    <w:rsid w:val="52EF4B5B"/>
    <w:rsid w:val="52F94568"/>
    <w:rsid w:val="52FF7F21"/>
    <w:rsid w:val="530F2B01"/>
    <w:rsid w:val="5314011E"/>
    <w:rsid w:val="53166804"/>
    <w:rsid w:val="531719BC"/>
    <w:rsid w:val="53192609"/>
    <w:rsid w:val="533113DD"/>
    <w:rsid w:val="533B38FC"/>
    <w:rsid w:val="5342531F"/>
    <w:rsid w:val="534A1D91"/>
    <w:rsid w:val="53511372"/>
    <w:rsid w:val="535B5D4C"/>
    <w:rsid w:val="53607B50"/>
    <w:rsid w:val="536956BA"/>
    <w:rsid w:val="537961D3"/>
    <w:rsid w:val="538057B3"/>
    <w:rsid w:val="53881CC6"/>
    <w:rsid w:val="538A03E0"/>
    <w:rsid w:val="538C5F06"/>
    <w:rsid w:val="53923F51"/>
    <w:rsid w:val="53986FA1"/>
    <w:rsid w:val="53A72340"/>
    <w:rsid w:val="53AC7200"/>
    <w:rsid w:val="53B279CA"/>
    <w:rsid w:val="53BF452D"/>
    <w:rsid w:val="53D61877"/>
    <w:rsid w:val="53D8114B"/>
    <w:rsid w:val="53D855EF"/>
    <w:rsid w:val="53E67D0C"/>
    <w:rsid w:val="53F73DB6"/>
    <w:rsid w:val="53F975CD"/>
    <w:rsid w:val="53FA7313"/>
    <w:rsid w:val="54222AC8"/>
    <w:rsid w:val="542D2571"/>
    <w:rsid w:val="542D76E9"/>
    <w:rsid w:val="54332825"/>
    <w:rsid w:val="543B42DA"/>
    <w:rsid w:val="54465448"/>
    <w:rsid w:val="544B4013"/>
    <w:rsid w:val="544D7D8B"/>
    <w:rsid w:val="54537DBA"/>
    <w:rsid w:val="545C06D9"/>
    <w:rsid w:val="5460079B"/>
    <w:rsid w:val="54624EB9"/>
    <w:rsid w:val="5463135D"/>
    <w:rsid w:val="54631EE1"/>
    <w:rsid w:val="546724CF"/>
    <w:rsid w:val="546D5D37"/>
    <w:rsid w:val="547E551D"/>
    <w:rsid w:val="54814CC2"/>
    <w:rsid w:val="54854C40"/>
    <w:rsid w:val="548B4134"/>
    <w:rsid w:val="54A159E1"/>
    <w:rsid w:val="54A51975"/>
    <w:rsid w:val="54AD05B7"/>
    <w:rsid w:val="54B94AEC"/>
    <w:rsid w:val="54C067AF"/>
    <w:rsid w:val="54D2203E"/>
    <w:rsid w:val="54D45DB6"/>
    <w:rsid w:val="54D61DED"/>
    <w:rsid w:val="54D77655"/>
    <w:rsid w:val="54DC4C6B"/>
    <w:rsid w:val="54EA382C"/>
    <w:rsid w:val="54EB1352"/>
    <w:rsid w:val="54F80A0C"/>
    <w:rsid w:val="54F862EF"/>
    <w:rsid w:val="54FB77E7"/>
    <w:rsid w:val="550735B3"/>
    <w:rsid w:val="55104BC9"/>
    <w:rsid w:val="551663CF"/>
    <w:rsid w:val="5520523C"/>
    <w:rsid w:val="5527584B"/>
    <w:rsid w:val="553036E6"/>
    <w:rsid w:val="5531145B"/>
    <w:rsid w:val="553A2F9F"/>
    <w:rsid w:val="553B7FB2"/>
    <w:rsid w:val="553D6868"/>
    <w:rsid w:val="553D7E00"/>
    <w:rsid w:val="553E7FF5"/>
    <w:rsid w:val="55524F2D"/>
    <w:rsid w:val="55591B89"/>
    <w:rsid w:val="556047A1"/>
    <w:rsid w:val="5560764A"/>
    <w:rsid w:val="556A04BC"/>
    <w:rsid w:val="55747599"/>
    <w:rsid w:val="55766E6E"/>
    <w:rsid w:val="558772CD"/>
    <w:rsid w:val="558F5D6C"/>
    <w:rsid w:val="558F7F2F"/>
    <w:rsid w:val="55A4193E"/>
    <w:rsid w:val="55B90409"/>
    <w:rsid w:val="55C23E61"/>
    <w:rsid w:val="55CE0A58"/>
    <w:rsid w:val="55E45E7A"/>
    <w:rsid w:val="55E71858"/>
    <w:rsid w:val="55EC63FA"/>
    <w:rsid w:val="55EE0AA1"/>
    <w:rsid w:val="55EF09CE"/>
    <w:rsid w:val="55F80AFC"/>
    <w:rsid w:val="55FC3817"/>
    <w:rsid w:val="55FD133D"/>
    <w:rsid w:val="56057971"/>
    <w:rsid w:val="56073F6A"/>
    <w:rsid w:val="560E70A6"/>
    <w:rsid w:val="56114DE8"/>
    <w:rsid w:val="56177C28"/>
    <w:rsid w:val="561F5757"/>
    <w:rsid w:val="562763BA"/>
    <w:rsid w:val="56290C6C"/>
    <w:rsid w:val="5635664D"/>
    <w:rsid w:val="564C04DC"/>
    <w:rsid w:val="564E56F6"/>
    <w:rsid w:val="5656482C"/>
    <w:rsid w:val="56684F5B"/>
    <w:rsid w:val="56764297"/>
    <w:rsid w:val="56764C4B"/>
    <w:rsid w:val="56777341"/>
    <w:rsid w:val="56941CA1"/>
    <w:rsid w:val="569E48CE"/>
    <w:rsid w:val="56A11707"/>
    <w:rsid w:val="56A8574D"/>
    <w:rsid w:val="56AF0AAE"/>
    <w:rsid w:val="56B934B6"/>
    <w:rsid w:val="56C65BD3"/>
    <w:rsid w:val="56CD67E3"/>
    <w:rsid w:val="56DA5E47"/>
    <w:rsid w:val="56E15F7D"/>
    <w:rsid w:val="56E417A3"/>
    <w:rsid w:val="56EA4C93"/>
    <w:rsid w:val="56F005ED"/>
    <w:rsid w:val="56F93745"/>
    <w:rsid w:val="56FC15F5"/>
    <w:rsid w:val="57014E5D"/>
    <w:rsid w:val="571132F2"/>
    <w:rsid w:val="57175E3D"/>
    <w:rsid w:val="5718342D"/>
    <w:rsid w:val="57193533"/>
    <w:rsid w:val="571B5F1F"/>
    <w:rsid w:val="571C57F3"/>
    <w:rsid w:val="572D5C52"/>
    <w:rsid w:val="573241D9"/>
    <w:rsid w:val="573C0108"/>
    <w:rsid w:val="57432CFF"/>
    <w:rsid w:val="57462870"/>
    <w:rsid w:val="575F33B6"/>
    <w:rsid w:val="57603931"/>
    <w:rsid w:val="576978FF"/>
    <w:rsid w:val="577949F3"/>
    <w:rsid w:val="5789732C"/>
    <w:rsid w:val="57923D07"/>
    <w:rsid w:val="579B0E0D"/>
    <w:rsid w:val="57AE0B41"/>
    <w:rsid w:val="57B7551B"/>
    <w:rsid w:val="57C80481"/>
    <w:rsid w:val="57CC0FC7"/>
    <w:rsid w:val="57E72ADF"/>
    <w:rsid w:val="57E91B79"/>
    <w:rsid w:val="57F2579F"/>
    <w:rsid w:val="57F347A6"/>
    <w:rsid w:val="580A7D41"/>
    <w:rsid w:val="58133B49"/>
    <w:rsid w:val="58315248"/>
    <w:rsid w:val="58475996"/>
    <w:rsid w:val="584D60A1"/>
    <w:rsid w:val="585039A6"/>
    <w:rsid w:val="585A4238"/>
    <w:rsid w:val="585D60C3"/>
    <w:rsid w:val="5866374F"/>
    <w:rsid w:val="58692CBA"/>
    <w:rsid w:val="58821913"/>
    <w:rsid w:val="588B79E9"/>
    <w:rsid w:val="588D34AE"/>
    <w:rsid w:val="58A7169E"/>
    <w:rsid w:val="58AE2DC2"/>
    <w:rsid w:val="58B02697"/>
    <w:rsid w:val="58C34194"/>
    <w:rsid w:val="58D171FD"/>
    <w:rsid w:val="58D36385"/>
    <w:rsid w:val="58DD546E"/>
    <w:rsid w:val="58F503D5"/>
    <w:rsid w:val="58FD3088"/>
    <w:rsid w:val="59046E89"/>
    <w:rsid w:val="5909268A"/>
    <w:rsid w:val="59115860"/>
    <w:rsid w:val="591744C4"/>
    <w:rsid w:val="59282B75"/>
    <w:rsid w:val="593228FA"/>
    <w:rsid w:val="593F3A1A"/>
    <w:rsid w:val="594F4501"/>
    <w:rsid w:val="595219A0"/>
    <w:rsid w:val="5957597C"/>
    <w:rsid w:val="5960230F"/>
    <w:rsid w:val="596173AF"/>
    <w:rsid w:val="59622AE1"/>
    <w:rsid w:val="596A6CE9"/>
    <w:rsid w:val="596B66AF"/>
    <w:rsid w:val="59715160"/>
    <w:rsid w:val="59760385"/>
    <w:rsid w:val="59760461"/>
    <w:rsid w:val="597C6A1D"/>
    <w:rsid w:val="5985013A"/>
    <w:rsid w:val="5987789B"/>
    <w:rsid w:val="598C3104"/>
    <w:rsid w:val="598F55D0"/>
    <w:rsid w:val="59B54F5A"/>
    <w:rsid w:val="59C60849"/>
    <w:rsid w:val="59CA59DA"/>
    <w:rsid w:val="59CD3484"/>
    <w:rsid w:val="59D2488F"/>
    <w:rsid w:val="59D46859"/>
    <w:rsid w:val="59DB1995"/>
    <w:rsid w:val="59E3084A"/>
    <w:rsid w:val="59F237BA"/>
    <w:rsid w:val="5A0306BD"/>
    <w:rsid w:val="5A0348A2"/>
    <w:rsid w:val="5A1741CB"/>
    <w:rsid w:val="5A221696"/>
    <w:rsid w:val="5A283DA6"/>
    <w:rsid w:val="5A292701"/>
    <w:rsid w:val="5A3B6E9F"/>
    <w:rsid w:val="5A6220B6"/>
    <w:rsid w:val="5A731BCE"/>
    <w:rsid w:val="5A77527B"/>
    <w:rsid w:val="5A7B6CD4"/>
    <w:rsid w:val="5A89319F"/>
    <w:rsid w:val="5A8F584A"/>
    <w:rsid w:val="5A9164F8"/>
    <w:rsid w:val="5A957D96"/>
    <w:rsid w:val="5AA92868"/>
    <w:rsid w:val="5AB00B4F"/>
    <w:rsid w:val="5AB06EEC"/>
    <w:rsid w:val="5ABF0C46"/>
    <w:rsid w:val="5AC216D8"/>
    <w:rsid w:val="5AD20FEA"/>
    <w:rsid w:val="5AD424B7"/>
    <w:rsid w:val="5ADA29C1"/>
    <w:rsid w:val="5ADE71D6"/>
    <w:rsid w:val="5AF90080"/>
    <w:rsid w:val="5B015153"/>
    <w:rsid w:val="5B084A0C"/>
    <w:rsid w:val="5B2F01EA"/>
    <w:rsid w:val="5B3621AA"/>
    <w:rsid w:val="5B3830EA"/>
    <w:rsid w:val="5B4B66A7"/>
    <w:rsid w:val="5B4D0671"/>
    <w:rsid w:val="5B595267"/>
    <w:rsid w:val="5B597015"/>
    <w:rsid w:val="5B5F625D"/>
    <w:rsid w:val="5B6D65FD"/>
    <w:rsid w:val="5B9242D5"/>
    <w:rsid w:val="5BA721D5"/>
    <w:rsid w:val="5BA74C10"/>
    <w:rsid w:val="5BA87F9D"/>
    <w:rsid w:val="5BAA7871"/>
    <w:rsid w:val="5BBC1352"/>
    <w:rsid w:val="5BC13F81"/>
    <w:rsid w:val="5BC2015B"/>
    <w:rsid w:val="5BD330D9"/>
    <w:rsid w:val="5BD40D92"/>
    <w:rsid w:val="5BD963A8"/>
    <w:rsid w:val="5BE74621"/>
    <w:rsid w:val="5BE76CCC"/>
    <w:rsid w:val="5BFE012D"/>
    <w:rsid w:val="5C0B4FE8"/>
    <w:rsid w:val="5C0F5462"/>
    <w:rsid w:val="5C100EE4"/>
    <w:rsid w:val="5C1D4939"/>
    <w:rsid w:val="5C2124E2"/>
    <w:rsid w:val="5C2A5724"/>
    <w:rsid w:val="5C341831"/>
    <w:rsid w:val="5C3655A9"/>
    <w:rsid w:val="5C437A7C"/>
    <w:rsid w:val="5C447CC6"/>
    <w:rsid w:val="5C4558FE"/>
    <w:rsid w:val="5C4834D0"/>
    <w:rsid w:val="5C4F5842"/>
    <w:rsid w:val="5C5617A7"/>
    <w:rsid w:val="5C594DF3"/>
    <w:rsid w:val="5C5B5F38"/>
    <w:rsid w:val="5C5B6DBD"/>
    <w:rsid w:val="5C5C6C96"/>
    <w:rsid w:val="5C5D5B23"/>
    <w:rsid w:val="5C78796F"/>
    <w:rsid w:val="5C792239"/>
    <w:rsid w:val="5C7F0CFE"/>
    <w:rsid w:val="5C82259C"/>
    <w:rsid w:val="5C8D7DFA"/>
    <w:rsid w:val="5C9347A9"/>
    <w:rsid w:val="5C950521"/>
    <w:rsid w:val="5C983B6D"/>
    <w:rsid w:val="5C9B567B"/>
    <w:rsid w:val="5CA72002"/>
    <w:rsid w:val="5CAA7089"/>
    <w:rsid w:val="5CB12968"/>
    <w:rsid w:val="5CB309A7"/>
    <w:rsid w:val="5CBB785C"/>
    <w:rsid w:val="5CCB3F43"/>
    <w:rsid w:val="5CCB5CF1"/>
    <w:rsid w:val="5CE46DB3"/>
    <w:rsid w:val="5CEC2856"/>
    <w:rsid w:val="5CF1327E"/>
    <w:rsid w:val="5D017965"/>
    <w:rsid w:val="5D0631CD"/>
    <w:rsid w:val="5D067364"/>
    <w:rsid w:val="5D0D2688"/>
    <w:rsid w:val="5D1B33EE"/>
    <w:rsid w:val="5D2D075A"/>
    <w:rsid w:val="5D2D265C"/>
    <w:rsid w:val="5D447851"/>
    <w:rsid w:val="5D46465A"/>
    <w:rsid w:val="5D4F6D5C"/>
    <w:rsid w:val="5D601C77"/>
    <w:rsid w:val="5D691E8B"/>
    <w:rsid w:val="5D6A41D1"/>
    <w:rsid w:val="5D752101"/>
    <w:rsid w:val="5D7C2FBE"/>
    <w:rsid w:val="5D9745CC"/>
    <w:rsid w:val="5D9C143B"/>
    <w:rsid w:val="5DA14CA4"/>
    <w:rsid w:val="5DA25D0A"/>
    <w:rsid w:val="5DA84E12"/>
    <w:rsid w:val="5DAD53F7"/>
    <w:rsid w:val="5DB773C3"/>
    <w:rsid w:val="5DC664B8"/>
    <w:rsid w:val="5DC80482"/>
    <w:rsid w:val="5DC927F1"/>
    <w:rsid w:val="5DCA5FA9"/>
    <w:rsid w:val="5DCC2E35"/>
    <w:rsid w:val="5DD26913"/>
    <w:rsid w:val="5DD5494D"/>
    <w:rsid w:val="5DDB1F64"/>
    <w:rsid w:val="5DE057CC"/>
    <w:rsid w:val="5DEA03F9"/>
    <w:rsid w:val="5DF72B16"/>
    <w:rsid w:val="5E075281"/>
    <w:rsid w:val="5E082F75"/>
    <w:rsid w:val="5E0C14B0"/>
    <w:rsid w:val="5E0C65C1"/>
    <w:rsid w:val="5E29006B"/>
    <w:rsid w:val="5E2953CE"/>
    <w:rsid w:val="5E3922A0"/>
    <w:rsid w:val="5E3B0C54"/>
    <w:rsid w:val="5E6436BF"/>
    <w:rsid w:val="5E766250"/>
    <w:rsid w:val="5E832720"/>
    <w:rsid w:val="5E841E57"/>
    <w:rsid w:val="5E896CFA"/>
    <w:rsid w:val="5E897C12"/>
    <w:rsid w:val="5E9D3F29"/>
    <w:rsid w:val="5E9E5865"/>
    <w:rsid w:val="5EA25E16"/>
    <w:rsid w:val="5EA467FA"/>
    <w:rsid w:val="5EB17D1C"/>
    <w:rsid w:val="5EC05B97"/>
    <w:rsid w:val="5ECA1FD8"/>
    <w:rsid w:val="5ECF4213"/>
    <w:rsid w:val="5ED1131F"/>
    <w:rsid w:val="5ED16751"/>
    <w:rsid w:val="5ED4433C"/>
    <w:rsid w:val="5EFA027F"/>
    <w:rsid w:val="5EFC6636"/>
    <w:rsid w:val="5F021772"/>
    <w:rsid w:val="5F053010"/>
    <w:rsid w:val="5F0F04E8"/>
    <w:rsid w:val="5F13397F"/>
    <w:rsid w:val="5F184590"/>
    <w:rsid w:val="5F215FFC"/>
    <w:rsid w:val="5F223BC2"/>
    <w:rsid w:val="5F385194"/>
    <w:rsid w:val="5F3A715E"/>
    <w:rsid w:val="5F3B02CD"/>
    <w:rsid w:val="5F5244A8"/>
    <w:rsid w:val="5F5521EA"/>
    <w:rsid w:val="5F6366B5"/>
    <w:rsid w:val="5F663F55"/>
    <w:rsid w:val="5F6917F1"/>
    <w:rsid w:val="5F700DD2"/>
    <w:rsid w:val="5F76631F"/>
    <w:rsid w:val="5F812FDF"/>
    <w:rsid w:val="5F865BFC"/>
    <w:rsid w:val="5F884EA7"/>
    <w:rsid w:val="5F8E45AC"/>
    <w:rsid w:val="5F974F29"/>
    <w:rsid w:val="5FBA5715"/>
    <w:rsid w:val="5FC829BC"/>
    <w:rsid w:val="5FCD7FD2"/>
    <w:rsid w:val="5FE06EEA"/>
    <w:rsid w:val="5FF13E39"/>
    <w:rsid w:val="60077745"/>
    <w:rsid w:val="600D4872"/>
    <w:rsid w:val="600D6620"/>
    <w:rsid w:val="600E6018"/>
    <w:rsid w:val="6013007F"/>
    <w:rsid w:val="60266FF4"/>
    <w:rsid w:val="602F0DBA"/>
    <w:rsid w:val="60314542"/>
    <w:rsid w:val="60394C13"/>
    <w:rsid w:val="60476963"/>
    <w:rsid w:val="605C1D5C"/>
    <w:rsid w:val="605E4585"/>
    <w:rsid w:val="605E4E8F"/>
    <w:rsid w:val="605E50CE"/>
    <w:rsid w:val="606037BA"/>
    <w:rsid w:val="606D766C"/>
    <w:rsid w:val="60824919"/>
    <w:rsid w:val="608E7761"/>
    <w:rsid w:val="608F34D9"/>
    <w:rsid w:val="60996D9D"/>
    <w:rsid w:val="60B42F40"/>
    <w:rsid w:val="60BF5B6D"/>
    <w:rsid w:val="60E27AAD"/>
    <w:rsid w:val="60E530F9"/>
    <w:rsid w:val="60E6759D"/>
    <w:rsid w:val="60E767BD"/>
    <w:rsid w:val="610610CA"/>
    <w:rsid w:val="610E43FE"/>
    <w:rsid w:val="610F0176"/>
    <w:rsid w:val="612E5056"/>
    <w:rsid w:val="61377DF9"/>
    <w:rsid w:val="613C540F"/>
    <w:rsid w:val="615E036F"/>
    <w:rsid w:val="61665FE8"/>
    <w:rsid w:val="616B1851"/>
    <w:rsid w:val="61721B1F"/>
    <w:rsid w:val="617B03EF"/>
    <w:rsid w:val="617C16DA"/>
    <w:rsid w:val="617C1CB0"/>
    <w:rsid w:val="618E553F"/>
    <w:rsid w:val="61954B1F"/>
    <w:rsid w:val="61975313"/>
    <w:rsid w:val="61A067CD"/>
    <w:rsid w:val="61A3338D"/>
    <w:rsid w:val="61AC2B03"/>
    <w:rsid w:val="61B01959"/>
    <w:rsid w:val="61B92517"/>
    <w:rsid w:val="61CB0541"/>
    <w:rsid w:val="61EA6C19"/>
    <w:rsid w:val="61ED04B8"/>
    <w:rsid w:val="61ED6D3C"/>
    <w:rsid w:val="61F5613D"/>
    <w:rsid w:val="61F5736C"/>
    <w:rsid w:val="62051CA5"/>
    <w:rsid w:val="62053A53"/>
    <w:rsid w:val="621E1BB5"/>
    <w:rsid w:val="621E78AA"/>
    <w:rsid w:val="621F43E9"/>
    <w:rsid w:val="62353C0D"/>
    <w:rsid w:val="623E6F65"/>
    <w:rsid w:val="624104BF"/>
    <w:rsid w:val="6253630E"/>
    <w:rsid w:val="62790DC9"/>
    <w:rsid w:val="62816616"/>
    <w:rsid w:val="62831E45"/>
    <w:rsid w:val="628A4997"/>
    <w:rsid w:val="62A56FE4"/>
    <w:rsid w:val="62AC3ECF"/>
    <w:rsid w:val="62AF1933"/>
    <w:rsid w:val="62B114E5"/>
    <w:rsid w:val="62B45479"/>
    <w:rsid w:val="62C9714A"/>
    <w:rsid w:val="62D376AD"/>
    <w:rsid w:val="62D6719E"/>
    <w:rsid w:val="62D963D1"/>
    <w:rsid w:val="62DF24F6"/>
    <w:rsid w:val="62EC4DC5"/>
    <w:rsid w:val="62F35FA1"/>
    <w:rsid w:val="62F66A3A"/>
    <w:rsid w:val="63014D81"/>
    <w:rsid w:val="63116428"/>
    <w:rsid w:val="63147FAF"/>
    <w:rsid w:val="63193F43"/>
    <w:rsid w:val="631E27F9"/>
    <w:rsid w:val="632E0D88"/>
    <w:rsid w:val="63335164"/>
    <w:rsid w:val="633931AD"/>
    <w:rsid w:val="63456CB1"/>
    <w:rsid w:val="63617C53"/>
    <w:rsid w:val="63626220"/>
    <w:rsid w:val="637452DD"/>
    <w:rsid w:val="637D3ABD"/>
    <w:rsid w:val="638135AD"/>
    <w:rsid w:val="639B4BBF"/>
    <w:rsid w:val="639C0744"/>
    <w:rsid w:val="63AA328D"/>
    <w:rsid w:val="63AC31AA"/>
    <w:rsid w:val="63B141AA"/>
    <w:rsid w:val="63B75221"/>
    <w:rsid w:val="63BA0BE0"/>
    <w:rsid w:val="63BC45E5"/>
    <w:rsid w:val="63BE42DA"/>
    <w:rsid w:val="63C05490"/>
    <w:rsid w:val="63CD5D62"/>
    <w:rsid w:val="63E15DFA"/>
    <w:rsid w:val="63E358D7"/>
    <w:rsid w:val="63F55D49"/>
    <w:rsid w:val="63F718D5"/>
    <w:rsid w:val="640115C4"/>
    <w:rsid w:val="6401192F"/>
    <w:rsid w:val="64041AE8"/>
    <w:rsid w:val="64061D04"/>
    <w:rsid w:val="640A4DAF"/>
    <w:rsid w:val="6410048D"/>
    <w:rsid w:val="6426638B"/>
    <w:rsid w:val="64267CB1"/>
    <w:rsid w:val="64306D81"/>
    <w:rsid w:val="643B2B56"/>
    <w:rsid w:val="643D1B94"/>
    <w:rsid w:val="6441217E"/>
    <w:rsid w:val="64423FCC"/>
    <w:rsid w:val="645A09A1"/>
    <w:rsid w:val="64672585"/>
    <w:rsid w:val="647608FC"/>
    <w:rsid w:val="647749B0"/>
    <w:rsid w:val="647C1FC7"/>
    <w:rsid w:val="649317EA"/>
    <w:rsid w:val="64A532CB"/>
    <w:rsid w:val="64B368F6"/>
    <w:rsid w:val="64B713E7"/>
    <w:rsid w:val="64BC23C3"/>
    <w:rsid w:val="64BD2119"/>
    <w:rsid w:val="64C64FF0"/>
    <w:rsid w:val="64CF20F6"/>
    <w:rsid w:val="64CF3058"/>
    <w:rsid w:val="64D15E6F"/>
    <w:rsid w:val="64D43BB1"/>
    <w:rsid w:val="650A312E"/>
    <w:rsid w:val="6510548D"/>
    <w:rsid w:val="65181CEF"/>
    <w:rsid w:val="652466F4"/>
    <w:rsid w:val="65270184"/>
    <w:rsid w:val="652A557F"/>
    <w:rsid w:val="65384752"/>
    <w:rsid w:val="653B778C"/>
    <w:rsid w:val="65515201"/>
    <w:rsid w:val="655A40B6"/>
    <w:rsid w:val="65652A5B"/>
    <w:rsid w:val="656D496A"/>
    <w:rsid w:val="658450BE"/>
    <w:rsid w:val="65847385"/>
    <w:rsid w:val="65853869"/>
    <w:rsid w:val="6589396E"/>
    <w:rsid w:val="658B0713"/>
    <w:rsid w:val="658D45A0"/>
    <w:rsid w:val="65905D2A"/>
    <w:rsid w:val="659550EE"/>
    <w:rsid w:val="65983B40"/>
    <w:rsid w:val="659A5C0E"/>
    <w:rsid w:val="65C9123C"/>
    <w:rsid w:val="65CC4888"/>
    <w:rsid w:val="65D5373C"/>
    <w:rsid w:val="65D774B5"/>
    <w:rsid w:val="65D8147F"/>
    <w:rsid w:val="65E120E1"/>
    <w:rsid w:val="65E234D6"/>
    <w:rsid w:val="65EE0CA2"/>
    <w:rsid w:val="66171831"/>
    <w:rsid w:val="66263F98"/>
    <w:rsid w:val="663A3EE7"/>
    <w:rsid w:val="663A5F3D"/>
    <w:rsid w:val="66456B14"/>
    <w:rsid w:val="66461921"/>
    <w:rsid w:val="6646251F"/>
    <w:rsid w:val="664B1C51"/>
    <w:rsid w:val="6650370B"/>
    <w:rsid w:val="665C5C0C"/>
    <w:rsid w:val="66664CDC"/>
    <w:rsid w:val="66666A8A"/>
    <w:rsid w:val="669D01C8"/>
    <w:rsid w:val="66A001EE"/>
    <w:rsid w:val="66A54284"/>
    <w:rsid w:val="66AD24F1"/>
    <w:rsid w:val="66BB5028"/>
    <w:rsid w:val="66C51557"/>
    <w:rsid w:val="66CA0DC7"/>
    <w:rsid w:val="66D93700"/>
    <w:rsid w:val="66E8698C"/>
    <w:rsid w:val="66F978FF"/>
    <w:rsid w:val="670267B3"/>
    <w:rsid w:val="670544F5"/>
    <w:rsid w:val="67064295"/>
    <w:rsid w:val="67177D85"/>
    <w:rsid w:val="671958AB"/>
    <w:rsid w:val="671D5367"/>
    <w:rsid w:val="67207AF4"/>
    <w:rsid w:val="67273BB1"/>
    <w:rsid w:val="67322237"/>
    <w:rsid w:val="673F17B5"/>
    <w:rsid w:val="67440F57"/>
    <w:rsid w:val="67535261"/>
    <w:rsid w:val="6753700F"/>
    <w:rsid w:val="676141CE"/>
    <w:rsid w:val="67677FB2"/>
    <w:rsid w:val="676E5BF7"/>
    <w:rsid w:val="6773320D"/>
    <w:rsid w:val="677B31EE"/>
    <w:rsid w:val="67803B7C"/>
    <w:rsid w:val="67825B46"/>
    <w:rsid w:val="67876CB8"/>
    <w:rsid w:val="679118E5"/>
    <w:rsid w:val="679124B9"/>
    <w:rsid w:val="679725B9"/>
    <w:rsid w:val="679A3871"/>
    <w:rsid w:val="67B21283"/>
    <w:rsid w:val="67C3130F"/>
    <w:rsid w:val="67C577E1"/>
    <w:rsid w:val="67D5211A"/>
    <w:rsid w:val="67DC14D2"/>
    <w:rsid w:val="67E61FFB"/>
    <w:rsid w:val="67EB5499"/>
    <w:rsid w:val="67EE0AE5"/>
    <w:rsid w:val="67F26828"/>
    <w:rsid w:val="67FA18AD"/>
    <w:rsid w:val="68066955"/>
    <w:rsid w:val="68071BA7"/>
    <w:rsid w:val="68081363"/>
    <w:rsid w:val="68171BE1"/>
    <w:rsid w:val="681E1FDF"/>
    <w:rsid w:val="681F15E7"/>
    <w:rsid w:val="68246BFD"/>
    <w:rsid w:val="68413EEA"/>
    <w:rsid w:val="684C3967"/>
    <w:rsid w:val="684F6624"/>
    <w:rsid w:val="68660FC4"/>
    <w:rsid w:val="68662D72"/>
    <w:rsid w:val="68721717"/>
    <w:rsid w:val="687F7EDD"/>
    <w:rsid w:val="688D02FE"/>
    <w:rsid w:val="6897117D"/>
    <w:rsid w:val="68B8734F"/>
    <w:rsid w:val="68BF2482"/>
    <w:rsid w:val="68C161FA"/>
    <w:rsid w:val="68C301C4"/>
    <w:rsid w:val="68D53504"/>
    <w:rsid w:val="68DC4DE2"/>
    <w:rsid w:val="68E02B24"/>
    <w:rsid w:val="68E51EE8"/>
    <w:rsid w:val="68F24043"/>
    <w:rsid w:val="68F44821"/>
    <w:rsid w:val="68F674B8"/>
    <w:rsid w:val="6901666B"/>
    <w:rsid w:val="690552FB"/>
    <w:rsid w:val="690E79B4"/>
    <w:rsid w:val="691415D1"/>
    <w:rsid w:val="691C1682"/>
    <w:rsid w:val="69270753"/>
    <w:rsid w:val="692C217C"/>
    <w:rsid w:val="692C577D"/>
    <w:rsid w:val="692E172D"/>
    <w:rsid w:val="69382960"/>
    <w:rsid w:val="693E5A9D"/>
    <w:rsid w:val="69416EAD"/>
    <w:rsid w:val="69482477"/>
    <w:rsid w:val="694B7883"/>
    <w:rsid w:val="69586B5E"/>
    <w:rsid w:val="6959497D"/>
    <w:rsid w:val="696513B8"/>
    <w:rsid w:val="6965614B"/>
    <w:rsid w:val="696B3D66"/>
    <w:rsid w:val="696F532F"/>
    <w:rsid w:val="69745C62"/>
    <w:rsid w:val="69796AD5"/>
    <w:rsid w:val="697A4EED"/>
    <w:rsid w:val="69831701"/>
    <w:rsid w:val="69966816"/>
    <w:rsid w:val="69A07FDC"/>
    <w:rsid w:val="69A2427D"/>
    <w:rsid w:val="69C05D8A"/>
    <w:rsid w:val="69C80215"/>
    <w:rsid w:val="69CF4947"/>
    <w:rsid w:val="69DA6B07"/>
    <w:rsid w:val="69E44896"/>
    <w:rsid w:val="69EF03EF"/>
    <w:rsid w:val="69F767C2"/>
    <w:rsid w:val="69FE2034"/>
    <w:rsid w:val="6A0550F9"/>
    <w:rsid w:val="6A0C7949"/>
    <w:rsid w:val="6A194FB6"/>
    <w:rsid w:val="6A2C0F95"/>
    <w:rsid w:val="6A2E78BF"/>
    <w:rsid w:val="6A3756D2"/>
    <w:rsid w:val="6A3D5D54"/>
    <w:rsid w:val="6A3F1ACC"/>
    <w:rsid w:val="6A4B66C3"/>
    <w:rsid w:val="6A4B784D"/>
    <w:rsid w:val="6A4E0110"/>
    <w:rsid w:val="6A681023"/>
    <w:rsid w:val="6A6E04AD"/>
    <w:rsid w:val="6A726DA4"/>
    <w:rsid w:val="6A7B50CC"/>
    <w:rsid w:val="6A8A6A56"/>
    <w:rsid w:val="6A903C04"/>
    <w:rsid w:val="6A9A31A7"/>
    <w:rsid w:val="6AA3205B"/>
    <w:rsid w:val="6AAB53B4"/>
    <w:rsid w:val="6AAD2EDA"/>
    <w:rsid w:val="6AAE27AE"/>
    <w:rsid w:val="6AB27AB2"/>
    <w:rsid w:val="6ABA1153"/>
    <w:rsid w:val="6AC02C0D"/>
    <w:rsid w:val="6ACB7804"/>
    <w:rsid w:val="6AD234B9"/>
    <w:rsid w:val="6AD541DF"/>
    <w:rsid w:val="6ADA3F5D"/>
    <w:rsid w:val="6AE01E94"/>
    <w:rsid w:val="6AEB520A"/>
    <w:rsid w:val="6AEB57B0"/>
    <w:rsid w:val="6B06019A"/>
    <w:rsid w:val="6B0C7B33"/>
    <w:rsid w:val="6B160A7F"/>
    <w:rsid w:val="6B1E7934"/>
    <w:rsid w:val="6B26541A"/>
    <w:rsid w:val="6B376C47"/>
    <w:rsid w:val="6B3C14AA"/>
    <w:rsid w:val="6B426AD4"/>
    <w:rsid w:val="6B564C0B"/>
    <w:rsid w:val="6B601CFA"/>
    <w:rsid w:val="6B637A3C"/>
    <w:rsid w:val="6B761510"/>
    <w:rsid w:val="6B836186"/>
    <w:rsid w:val="6BA96417"/>
    <w:rsid w:val="6BB12CE4"/>
    <w:rsid w:val="6BB232B3"/>
    <w:rsid w:val="6BB53A04"/>
    <w:rsid w:val="6BB65DBE"/>
    <w:rsid w:val="6BBB1626"/>
    <w:rsid w:val="6BBB51FE"/>
    <w:rsid w:val="6BBD5DD2"/>
    <w:rsid w:val="6BC93D43"/>
    <w:rsid w:val="6BCB3F4E"/>
    <w:rsid w:val="6BE204F3"/>
    <w:rsid w:val="6BE20961"/>
    <w:rsid w:val="6BE648F5"/>
    <w:rsid w:val="6BE772E4"/>
    <w:rsid w:val="6BEC5C84"/>
    <w:rsid w:val="6C040B51"/>
    <w:rsid w:val="6C10011C"/>
    <w:rsid w:val="6C111246"/>
    <w:rsid w:val="6C133210"/>
    <w:rsid w:val="6C186A79"/>
    <w:rsid w:val="6C1B20C5"/>
    <w:rsid w:val="6C204BA4"/>
    <w:rsid w:val="6C2A29CD"/>
    <w:rsid w:val="6C313697"/>
    <w:rsid w:val="6C33428D"/>
    <w:rsid w:val="6C4008C3"/>
    <w:rsid w:val="6C411B2C"/>
    <w:rsid w:val="6C411E06"/>
    <w:rsid w:val="6C464485"/>
    <w:rsid w:val="6C4933FE"/>
    <w:rsid w:val="6C496C32"/>
    <w:rsid w:val="6C4D4548"/>
    <w:rsid w:val="6C5309A3"/>
    <w:rsid w:val="6C5F6456"/>
    <w:rsid w:val="6C6B0957"/>
    <w:rsid w:val="6C700183"/>
    <w:rsid w:val="6C9465D8"/>
    <w:rsid w:val="6C9F2CF6"/>
    <w:rsid w:val="6CA845F8"/>
    <w:rsid w:val="6CB322FE"/>
    <w:rsid w:val="6CCF2016"/>
    <w:rsid w:val="6CCF4AE7"/>
    <w:rsid w:val="6CD04C5E"/>
    <w:rsid w:val="6CD3640C"/>
    <w:rsid w:val="6CD429A0"/>
    <w:rsid w:val="6CDA3D2E"/>
    <w:rsid w:val="6CDC6F8F"/>
    <w:rsid w:val="6CE26D5D"/>
    <w:rsid w:val="6CE90F1A"/>
    <w:rsid w:val="6CED3A62"/>
    <w:rsid w:val="6CED5418"/>
    <w:rsid w:val="6CFB736C"/>
    <w:rsid w:val="6CFB7C8C"/>
    <w:rsid w:val="6D036DE1"/>
    <w:rsid w:val="6D090170"/>
    <w:rsid w:val="6D0D5EB2"/>
    <w:rsid w:val="6D110371"/>
    <w:rsid w:val="6D1267F8"/>
    <w:rsid w:val="6D176D30"/>
    <w:rsid w:val="6D192AA9"/>
    <w:rsid w:val="6D1B0BFF"/>
    <w:rsid w:val="6D1E7C61"/>
    <w:rsid w:val="6D21195D"/>
    <w:rsid w:val="6D2A6A64"/>
    <w:rsid w:val="6D2A6B77"/>
    <w:rsid w:val="6D2F7BD6"/>
    <w:rsid w:val="6D372F2F"/>
    <w:rsid w:val="6D4A7EB2"/>
    <w:rsid w:val="6D4D2EAF"/>
    <w:rsid w:val="6D605FE2"/>
    <w:rsid w:val="6D655433"/>
    <w:rsid w:val="6D657A9C"/>
    <w:rsid w:val="6D671445"/>
    <w:rsid w:val="6D6C0EF4"/>
    <w:rsid w:val="6D7171FA"/>
    <w:rsid w:val="6D7221B9"/>
    <w:rsid w:val="6D761CA9"/>
    <w:rsid w:val="6D7C4333"/>
    <w:rsid w:val="6D836174"/>
    <w:rsid w:val="6D9C44AE"/>
    <w:rsid w:val="6D9D0818"/>
    <w:rsid w:val="6DA22A9E"/>
    <w:rsid w:val="6DBE5AF8"/>
    <w:rsid w:val="6DC24EEE"/>
    <w:rsid w:val="6DC3707B"/>
    <w:rsid w:val="6DC621DF"/>
    <w:rsid w:val="6DCC5FE4"/>
    <w:rsid w:val="6DD6473D"/>
    <w:rsid w:val="6DEF29E7"/>
    <w:rsid w:val="6E2711F5"/>
    <w:rsid w:val="6E3E6269"/>
    <w:rsid w:val="6E4771C6"/>
    <w:rsid w:val="6E4A2BE0"/>
    <w:rsid w:val="6E540CFB"/>
    <w:rsid w:val="6E587601"/>
    <w:rsid w:val="6E604AF0"/>
    <w:rsid w:val="6E605FEA"/>
    <w:rsid w:val="6E62222D"/>
    <w:rsid w:val="6E6C4E5A"/>
    <w:rsid w:val="6E724E8F"/>
    <w:rsid w:val="6E752DF4"/>
    <w:rsid w:val="6E88039E"/>
    <w:rsid w:val="6E891720"/>
    <w:rsid w:val="6E9C129B"/>
    <w:rsid w:val="6EB34837"/>
    <w:rsid w:val="6EBF1B48"/>
    <w:rsid w:val="6EC407F2"/>
    <w:rsid w:val="6EC52B6C"/>
    <w:rsid w:val="6ECC4A08"/>
    <w:rsid w:val="6ECE1671"/>
    <w:rsid w:val="6ED175D4"/>
    <w:rsid w:val="6ED22F0F"/>
    <w:rsid w:val="6EE24726"/>
    <w:rsid w:val="6EE40E94"/>
    <w:rsid w:val="6EFC1D3A"/>
    <w:rsid w:val="6F0E3818"/>
    <w:rsid w:val="6F1436E0"/>
    <w:rsid w:val="6F1928EC"/>
    <w:rsid w:val="6F1C23DC"/>
    <w:rsid w:val="6F375468"/>
    <w:rsid w:val="6F391F63"/>
    <w:rsid w:val="6F435BBB"/>
    <w:rsid w:val="6F437969"/>
    <w:rsid w:val="6F527B9B"/>
    <w:rsid w:val="6F537CDF"/>
    <w:rsid w:val="6F6A75EB"/>
    <w:rsid w:val="6F6C5FA7"/>
    <w:rsid w:val="6F705F8A"/>
    <w:rsid w:val="6F7E36FE"/>
    <w:rsid w:val="6F8771AB"/>
    <w:rsid w:val="6F9730F7"/>
    <w:rsid w:val="6FB10C4C"/>
    <w:rsid w:val="6FB16DEE"/>
    <w:rsid w:val="6FC3303F"/>
    <w:rsid w:val="6FC860C0"/>
    <w:rsid w:val="6FD77E83"/>
    <w:rsid w:val="6FDB5DF3"/>
    <w:rsid w:val="6FE03FB5"/>
    <w:rsid w:val="6FE1724C"/>
    <w:rsid w:val="701A2428"/>
    <w:rsid w:val="70206657"/>
    <w:rsid w:val="70375E10"/>
    <w:rsid w:val="703B0F88"/>
    <w:rsid w:val="70416101"/>
    <w:rsid w:val="704E2FCC"/>
    <w:rsid w:val="70566167"/>
    <w:rsid w:val="70651B61"/>
    <w:rsid w:val="70657DB3"/>
    <w:rsid w:val="706939AC"/>
    <w:rsid w:val="707149AA"/>
    <w:rsid w:val="70715CAE"/>
    <w:rsid w:val="70720239"/>
    <w:rsid w:val="707A22FC"/>
    <w:rsid w:val="707F70C6"/>
    <w:rsid w:val="708244C1"/>
    <w:rsid w:val="70924DD5"/>
    <w:rsid w:val="70931401"/>
    <w:rsid w:val="709A3F00"/>
    <w:rsid w:val="709E4C15"/>
    <w:rsid w:val="709E6598"/>
    <w:rsid w:val="70A26A58"/>
    <w:rsid w:val="70A72179"/>
    <w:rsid w:val="70AD73F2"/>
    <w:rsid w:val="70B276E8"/>
    <w:rsid w:val="70B5413B"/>
    <w:rsid w:val="70BF5715"/>
    <w:rsid w:val="70C0774E"/>
    <w:rsid w:val="70CB40BA"/>
    <w:rsid w:val="70CC050C"/>
    <w:rsid w:val="70CE3BAA"/>
    <w:rsid w:val="70CE5958"/>
    <w:rsid w:val="70EE5FFA"/>
    <w:rsid w:val="70F51137"/>
    <w:rsid w:val="70F80C27"/>
    <w:rsid w:val="70FC4273"/>
    <w:rsid w:val="70FF79CB"/>
    <w:rsid w:val="710E21F8"/>
    <w:rsid w:val="711F61B4"/>
    <w:rsid w:val="712832BA"/>
    <w:rsid w:val="712B6906"/>
    <w:rsid w:val="712D6B22"/>
    <w:rsid w:val="71306870"/>
    <w:rsid w:val="713E6586"/>
    <w:rsid w:val="714A76D4"/>
    <w:rsid w:val="714C13FC"/>
    <w:rsid w:val="714D0F73"/>
    <w:rsid w:val="714E7574"/>
    <w:rsid w:val="714F6A99"/>
    <w:rsid w:val="71500A63"/>
    <w:rsid w:val="71551BD5"/>
    <w:rsid w:val="71557E27"/>
    <w:rsid w:val="715770F9"/>
    <w:rsid w:val="71600462"/>
    <w:rsid w:val="71645191"/>
    <w:rsid w:val="716B764B"/>
    <w:rsid w:val="716D33C3"/>
    <w:rsid w:val="71857572"/>
    <w:rsid w:val="71951611"/>
    <w:rsid w:val="71AD7C63"/>
    <w:rsid w:val="71B72890"/>
    <w:rsid w:val="71CF1988"/>
    <w:rsid w:val="71CF69E7"/>
    <w:rsid w:val="71DE7E1D"/>
    <w:rsid w:val="71E03B95"/>
    <w:rsid w:val="71FE226D"/>
    <w:rsid w:val="72141A90"/>
    <w:rsid w:val="72325CC1"/>
    <w:rsid w:val="723E4F1D"/>
    <w:rsid w:val="723F6B0D"/>
    <w:rsid w:val="724C2FD8"/>
    <w:rsid w:val="725246C0"/>
    <w:rsid w:val="7258372B"/>
    <w:rsid w:val="7260025E"/>
    <w:rsid w:val="72693B8A"/>
    <w:rsid w:val="726B664E"/>
    <w:rsid w:val="72876A03"/>
    <w:rsid w:val="728C5E44"/>
    <w:rsid w:val="729A3D44"/>
    <w:rsid w:val="72A17150"/>
    <w:rsid w:val="72A9042B"/>
    <w:rsid w:val="72AA3FD3"/>
    <w:rsid w:val="72B017B9"/>
    <w:rsid w:val="72BB3B72"/>
    <w:rsid w:val="72C273CD"/>
    <w:rsid w:val="72CC5166"/>
    <w:rsid w:val="72D405E0"/>
    <w:rsid w:val="72D91A0B"/>
    <w:rsid w:val="72FA6ED8"/>
    <w:rsid w:val="72FD2525"/>
    <w:rsid w:val="73027B3B"/>
    <w:rsid w:val="7309711B"/>
    <w:rsid w:val="730C5B99"/>
    <w:rsid w:val="73185FA3"/>
    <w:rsid w:val="731F18D3"/>
    <w:rsid w:val="7325566E"/>
    <w:rsid w:val="732857F3"/>
    <w:rsid w:val="733E6DC5"/>
    <w:rsid w:val="7349576A"/>
    <w:rsid w:val="73571C35"/>
    <w:rsid w:val="73593B14"/>
    <w:rsid w:val="735B0E4A"/>
    <w:rsid w:val="736507F6"/>
    <w:rsid w:val="737A76B5"/>
    <w:rsid w:val="738F5872"/>
    <w:rsid w:val="7391373E"/>
    <w:rsid w:val="73996588"/>
    <w:rsid w:val="73A10265"/>
    <w:rsid w:val="73A6496A"/>
    <w:rsid w:val="73AD3F4B"/>
    <w:rsid w:val="73AD5CF9"/>
    <w:rsid w:val="73D71367"/>
    <w:rsid w:val="73DC213A"/>
    <w:rsid w:val="73DF45AA"/>
    <w:rsid w:val="73E44180"/>
    <w:rsid w:val="73E7745D"/>
    <w:rsid w:val="73EA3533"/>
    <w:rsid w:val="73F05BE5"/>
    <w:rsid w:val="73F81D9D"/>
    <w:rsid w:val="73FE652E"/>
    <w:rsid w:val="7401672E"/>
    <w:rsid w:val="74064E51"/>
    <w:rsid w:val="740A2907"/>
    <w:rsid w:val="74100271"/>
    <w:rsid w:val="741B47FA"/>
    <w:rsid w:val="74266A37"/>
    <w:rsid w:val="74286545"/>
    <w:rsid w:val="742A56ED"/>
    <w:rsid w:val="74312486"/>
    <w:rsid w:val="74331D80"/>
    <w:rsid w:val="744142D3"/>
    <w:rsid w:val="745C0B11"/>
    <w:rsid w:val="74634609"/>
    <w:rsid w:val="746740F9"/>
    <w:rsid w:val="7476258E"/>
    <w:rsid w:val="747B5DF7"/>
    <w:rsid w:val="747D56CB"/>
    <w:rsid w:val="74A7099A"/>
    <w:rsid w:val="74A72748"/>
    <w:rsid w:val="74AC3A68"/>
    <w:rsid w:val="74AF784E"/>
    <w:rsid w:val="74B03CF2"/>
    <w:rsid w:val="74BD1F6B"/>
    <w:rsid w:val="74C07CAE"/>
    <w:rsid w:val="74C4154C"/>
    <w:rsid w:val="74CD5D64"/>
    <w:rsid w:val="74F472E7"/>
    <w:rsid w:val="750000AA"/>
    <w:rsid w:val="750D185B"/>
    <w:rsid w:val="751C6422"/>
    <w:rsid w:val="75262145"/>
    <w:rsid w:val="75321D1A"/>
    <w:rsid w:val="75324707"/>
    <w:rsid w:val="753A4DD2"/>
    <w:rsid w:val="754126A7"/>
    <w:rsid w:val="754C32EF"/>
    <w:rsid w:val="75507BBA"/>
    <w:rsid w:val="755723C0"/>
    <w:rsid w:val="755F3023"/>
    <w:rsid w:val="75650F1E"/>
    <w:rsid w:val="7565192A"/>
    <w:rsid w:val="75674472"/>
    <w:rsid w:val="756A254E"/>
    <w:rsid w:val="757840E4"/>
    <w:rsid w:val="757B2E60"/>
    <w:rsid w:val="757C3BD5"/>
    <w:rsid w:val="75995495"/>
    <w:rsid w:val="75A21011"/>
    <w:rsid w:val="75A86778"/>
    <w:rsid w:val="75C00134"/>
    <w:rsid w:val="75C83FCF"/>
    <w:rsid w:val="75D532E5"/>
    <w:rsid w:val="75DC7088"/>
    <w:rsid w:val="75E23A15"/>
    <w:rsid w:val="75E70309"/>
    <w:rsid w:val="75EB6C83"/>
    <w:rsid w:val="76171B4F"/>
    <w:rsid w:val="76234DA9"/>
    <w:rsid w:val="76261D92"/>
    <w:rsid w:val="762D1373"/>
    <w:rsid w:val="76326989"/>
    <w:rsid w:val="763C3364"/>
    <w:rsid w:val="764B3BCB"/>
    <w:rsid w:val="764F2F30"/>
    <w:rsid w:val="76651207"/>
    <w:rsid w:val="766B1B19"/>
    <w:rsid w:val="766C0F95"/>
    <w:rsid w:val="7671300D"/>
    <w:rsid w:val="769029F1"/>
    <w:rsid w:val="76947367"/>
    <w:rsid w:val="769C0F63"/>
    <w:rsid w:val="76AD7DBE"/>
    <w:rsid w:val="76CB4358"/>
    <w:rsid w:val="76CE17E7"/>
    <w:rsid w:val="76DE3E86"/>
    <w:rsid w:val="76E01F41"/>
    <w:rsid w:val="76E6219A"/>
    <w:rsid w:val="76E87327"/>
    <w:rsid w:val="76ED62F7"/>
    <w:rsid w:val="76FD0D45"/>
    <w:rsid w:val="770E6AAE"/>
    <w:rsid w:val="77106CCA"/>
    <w:rsid w:val="771D42DF"/>
    <w:rsid w:val="77287E38"/>
    <w:rsid w:val="77304C77"/>
    <w:rsid w:val="774150D6"/>
    <w:rsid w:val="7750356B"/>
    <w:rsid w:val="7763329E"/>
    <w:rsid w:val="77644920"/>
    <w:rsid w:val="776921AC"/>
    <w:rsid w:val="776D5ECB"/>
    <w:rsid w:val="779F08E0"/>
    <w:rsid w:val="77A15B74"/>
    <w:rsid w:val="77AB69F3"/>
    <w:rsid w:val="77B86DDE"/>
    <w:rsid w:val="77BC6250"/>
    <w:rsid w:val="77BF424C"/>
    <w:rsid w:val="77C11489"/>
    <w:rsid w:val="77C218E9"/>
    <w:rsid w:val="77C74EAF"/>
    <w:rsid w:val="77C875A5"/>
    <w:rsid w:val="77CA668C"/>
    <w:rsid w:val="77CC60A6"/>
    <w:rsid w:val="77DE46D3"/>
    <w:rsid w:val="77EB5041"/>
    <w:rsid w:val="77EE068E"/>
    <w:rsid w:val="78025490"/>
    <w:rsid w:val="78146346"/>
    <w:rsid w:val="781A76D5"/>
    <w:rsid w:val="782B18E2"/>
    <w:rsid w:val="783A0F16"/>
    <w:rsid w:val="78531063"/>
    <w:rsid w:val="785506C7"/>
    <w:rsid w:val="785F2B9F"/>
    <w:rsid w:val="786142AC"/>
    <w:rsid w:val="786F7A21"/>
    <w:rsid w:val="788039DC"/>
    <w:rsid w:val="788567E4"/>
    <w:rsid w:val="788654EA"/>
    <w:rsid w:val="78866B18"/>
    <w:rsid w:val="788F3524"/>
    <w:rsid w:val="78B1532A"/>
    <w:rsid w:val="78B83176"/>
    <w:rsid w:val="78BD078C"/>
    <w:rsid w:val="78DB3308"/>
    <w:rsid w:val="78DE6954"/>
    <w:rsid w:val="78FC77E6"/>
    <w:rsid w:val="79096F1E"/>
    <w:rsid w:val="79164340"/>
    <w:rsid w:val="79226841"/>
    <w:rsid w:val="794F7D98"/>
    <w:rsid w:val="795F5CE7"/>
    <w:rsid w:val="796105DC"/>
    <w:rsid w:val="796E53E9"/>
    <w:rsid w:val="7970070C"/>
    <w:rsid w:val="79801512"/>
    <w:rsid w:val="798968C0"/>
    <w:rsid w:val="798C65FC"/>
    <w:rsid w:val="79A731EA"/>
    <w:rsid w:val="79AF551C"/>
    <w:rsid w:val="79B37DE1"/>
    <w:rsid w:val="79B500E4"/>
    <w:rsid w:val="79B83EF2"/>
    <w:rsid w:val="79BA2F1D"/>
    <w:rsid w:val="79C42B56"/>
    <w:rsid w:val="79C673B1"/>
    <w:rsid w:val="79C70B90"/>
    <w:rsid w:val="79D0655B"/>
    <w:rsid w:val="79D42231"/>
    <w:rsid w:val="79E13D7A"/>
    <w:rsid w:val="79F44681"/>
    <w:rsid w:val="79F533EE"/>
    <w:rsid w:val="7A081EDB"/>
    <w:rsid w:val="7A0F3269"/>
    <w:rsid w:val="7A156933"/>
    <w:rsid w:val="7A186697"/>
    <w:rsid w:val="7A1B5E86"/>
    <w:rsid w:val="7A2B5BC9"/>
    <w:rsid w:val="7A334D21"/>
    <w:rsid w:val="7A3F7B01"/>
    <w:rsid w:val="7A401675"/>
    <w:rsid w:val="7A4647B1"/>
    <w:rsid w:val="7A540C7C"/>
    <w:rsid w:val="7A5769BE"/>
    <w:rsid w:val="7A5D4082"/>
    <w:rsid w:val="7A644563"/>
    <w:rsid w:val="7A7F743B"/>
    <w:rsid w:val="7A831561"/>
    <w:rsid w:val="7A835A05"/>
    <w:rsid w:val="7A951295"/>
    <w:rsid w:val="7A9B325C"/>
    <w:rsid w:val="7A9E283F"/>
    <w:rsid w:val="7AA04D70"/>
    <w:rsid w:val="7AA27210"/>
    <w:rsid w:val="7AA53BCD"/>
    <w:rsid w:val="7AAF44EA"/>
    <w:rsid w:val="7AB26815"/>
    <w:rsid w:val="7AC1208A"/>
    <w:rsid w:val="7AC555F6"/>
    <w:rsid w:val="7ACF0C4A"/>
    <w:rsid w:val="7AD96471"/>
    <w:rsid w:val="7AE713E4"/>
    <w:rsid w:val="7AED71E6"/>
    <w:rsid w:val="7AF03942"/>
    <w:rsid w:val="7AF54A87"/>
    <w:rsid w:val="7AF9135E"/>
    <w:rsid w:val="7B0223B6"/>
    <w:rsid w:val="7B036915"/>
    <w:rsid w:val="7B0928BC"/>
    <w:rsid w:val="7B14665D"/>
    <w:rsid w:val="7B1C2B77"/>
    <w:rsid w:val="7B2014A6"/>
    <w:rsid w:val="7B226FCC"/>
    <w:rsid w:val="7B230BB3"/>
    <w:rsid w:val="7B282AE9"/>
    <w:rsid w:val="7B2F1A93"/>
    <w:rsid w:val="7B336685"/>
    <w:rsid w:val="7B362A78"/>
    <w:rsid w:val="7B38234C"/>
    <w:rsid w:val="7B3831C2"/>
    <w:rsid w:val="7B3E36DA"/>
    <w:rsid w:val="7B4E6013"/>
    <w:rsid w:val="7B53680C"/>
    <w:rsid w:val="7B5874DA"/>
    <w:rsid w:val="7B673548"/>
    <w:rsid w:val="7B75534E"/>
    <w:rsid w:val="7B767B17"/>
    <w:rsid w:val="7B7B492E"/>
    <w:rsid w:val="7B8302DC"/>
    <w:rsid w:val="7B945B00"/>
    <w:rsid w:val="7B9F686F"/>
    <w:rsid w:val="7BA104C8"/>
    <w:rsid w:val="7BA13369"/>
    <w:rsid w:val="7BA315F1"/>
    <w:rsid w:val="7BB5094F"/>
    <w:rsid w:val="7BBB4D2B"/>
    <w:rsid w:val="7BBC3E6E"/>
    <w:rsid w:val="7BD52290"/>
    <w:rsid w:val="7BE81D4E"/>
    <w:rsid w:val="7BFC15CB"/>
    <w:rsid w:val="7C1D7794"/>
    <w:rsid w:val="7C224DAA"/>
    <w:rsid w:val="7C253FBC"/>
    <w:rsid w:val="7C266648"/>
    <w:rsid w:val="7C350F81"/>
    <w:rsid w:val="7C352D2F"/>
    <w:rsid w:val="7C4411C4"/>
    <w:rsid w:val="7C453A46"/>
    <w:rsid w:val="7C492337"/>
    <w:rsid w:val="7C56344A"/>
    <w:rsid w:val="7C5B37CC"/>
    <w:rsid w:val="7C75312C"/>
    <w:rsid w:val="7C7750F6"/>
    <w:rsid w:val="7C8B278C"/>
    <w:rsid w:val="7CAB7890"/>
    <w:rsid w:val="7CAE37FE"/>
    <w:rsid w:val="7CB42C35"/>
    <w:rsid w:val="7CBA6FE1"/>
    <w:rsid w:val="7CC53C5D"/>
    <w:rsid w:val="7CC61BD9"/>
    <w:rsid w:val="7CCE37B5"/>
    <w:rsid w:val="7CD2038B"/>
    <w:rsid w:val="7D016B7E"/>
    <w:rsid w:val="7D0F231D"/>
    <w:rsid w:val="7D1D26E5"/>
    <w:rsid w:val="7D1D4579"/>
    <w:rsid w:val="7D1E3982"/>
    <w:rsid w:val="7D23702C"/>
    <w:rsid w:val="7D24431C"/>
    <w:rsid w:val="7D276B1C"/>
    <w:rsid w:val="7D2863F0"/>
    <w:rsid w:val="7D2A690E"/>
    <w:rsid w:val="7D2C2AAE"/>
    <w:rsid w:val="7D306D5D"/>
    <w:rsid w:val="7D3354C1"/>
    <w:rsid w:val="7D36428A"/>
    <w:rsid w:val="7D3905FD"/>
    <w:rsid w:val="7D3925BC"/>
    <w:rsid w:val="7D4A45B8"/>
    <w:rsid w:val="7D4F3AAF"/>
    <w:rsid w:val="7D584F27"/>
    <w:rsid w:val="7D6A33FA"/>
    <w:rsid w:val="7D6F1259"/>
    <w:rsid w:val="7D7443B8"/>
    <w:rsid w:val="7D7610C2"/>
    <w:rsid w:val="7D7A4791"/>
    <w:rsid w:val="7D89448C"/>
    <w:rsid w:val="7D8E0949"/>
    <w:rsid w:val="7D9D0B8C"/>
    <w:rsid w:val="7DA4016C"/>
    <w:rsid w:val="7DAE0FEB"/>
    <w:rsid w:val="7DAF4942"/>
    <w:rsid w:val="7DB87774"/>
    <w:rsid w:val="7DC16A35"/>
    <w:rsid w:val="7DD2252D"/>
    <w:rsid w:val="7DD24CD9"/>
    <w:rsid w:val="7DD547CA"/>
    <w:rsid w:val="7DDA593C"/>
    <w:rsid w:val="7DDD7572"/>
    <w:rsid w:val="7DE80822"/>
    <w:rsid w:val="7DE94569"/>
    <w:rsid w:val="7E064983"/>
    <w:rsid w:val="7E0C7AC0"/>
    <w:rsid w:val="7E171D3B"/>
    <w:rsid w:val="7E1978B9"/>
    <w:rsid w:val="7E1D1C37"/>
    <w:rsid w:val="7E4175B0"/>
    <w:rsid w:val="7E4B05E8"/>
    <w:rsid w:val="7E4B4B5E"/>
    <w:rsid w:val="7E5C0A47"/>
    <w:rsid w:val="7E5F63D8"/>
    <w:rsid w:val="7E635986"/>
    <w:rsid w:val="7E7318ED"/>
    <w:rsid w:val="7E7C227A"/>
    <w:rsid w:val="7E7C2A8E"/>
    <w:rsid w:val="7E835FD4"/>
    <w:rsid w:val="7E884A09"/>
    <w:rsid w:val="7E885398"/>
    <w:rsid w:val="7E970F43"/>
    <w:rsid w:val="7E9E4BBC"/>
    <w:rsid w:val="7EA3263E"/>
    <w:rsid w:val="7EAA17B2"/>
    <w:rsid w:val="7EAA3560"/>
    <w:rsid w:val="7EBE0DBA"/>
    <w:rsid w:val="7EC363D0"/>
    <w:rsid w:val="7EC5039A"/>
    <w:rsid w:val="7EC6133F"/>
    <w:rsid w:val="7EC81D76"/>
    <w:rsid w:val="7EE2348F"/>
    <w:rsid w:val="7EE30E0B"/>
    <w:rsid w:val="7EE91C84"/>
    <w:rsid w:val="7EEB3B79"/>
    <w:rsid w:val="7F1C1F84"/>
    <w:rsid w:val="7F2F7F0A"/>
    <w:rsid w:val="7F331398"/>
    <w:rsid w:val="7F336C02"/>
    <w:rsid w:val="7F5E434B"/>
    <w:rsid w:val="7F722CCF"/>
    <w:rsid w:val="7F74155D"/>
    <w:rsid w:val="7F7A1B59"/>
    <w:rsid w:val="7F7A317C"/>
    <w:rsid w:val="7F932781"/>
    <w:rsid w:val="7F985AAF"/>
    <w:rsid w:val="7F9C33C8"/>
    <w:rsid w:val="7FA646A1"/>
    <w:rsid w:val="7FB81CAD"/>
    <w:rsid w:val="7FC41247"/>
    <w:rsid w:val="7FD77E06"/>
    <w:rsid w:val="7FDD1714"/>
    <w:rsid w:val="7FDF723A"/>
    <w:rsid w:val="7FE42AA2"/>
    <w:rsid w:val="7FE51165"/>
    <w:rsid w:val="7FF11841"/>
    <w:rsid w:val="7FF37189"/>
    <w:rsid w:val="7FF76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2">
    <w:name w:val="heading 4"/>
    <w:basedOn w:val="1"/>
    <w:next w:val="1"/>
    <w:link w:val="38"/>
    <w:autoRedefine/>
    <w:semiHidden/>
    <w:unhideWhenUsed/>
    <w:qFormat/>
    <w:uiPriority w:val="0"/>
    <w:pPr>
      <w:keepNext/>
      <w:keepLines/>
      <w:spacing w:before="280" w:after="290" w:line="376" w:lineRule="atLeast"/>
      <w:jc w:val="left"/>
      <w:outlineLvl w:val="3"/>
    </w:pPr>
    <w:rPr>
      <w:rFonts w:eastAsia="黑体" w:asciiTheme="majorAscii" w:hAnsiTheme="majorAscii" w:cstheme="majorBidi"/>
      <w:bCs/>
      <w:sz w:val="24"/>
      <w:szCs w:val="28"/>
    </w:rPr>
  </w:style>
  <w:style w:type="character" w:default="1" w:styleId="27">
    <w:name w:val="Default Paragraph Font"/>
    <w:autoRedefine/>
    <w:semiHidden/>
    <w:unhideWhenUsed/>
    <w:qFormat/>
    <w:uiPriority w:val="1"/>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List 3"/>
    <w:basedOn w:val="1"/>
    <w:autoRedefine/>
    <w:unhideWhenUsed/>
    <w:qFormat/>
    <w:uiPriority w:val="99"/>
    <w:pPr>
      <w:spacing w:line="360" w:lineRule="atLeast"/>
      <w:jc w:val="center"/>
    </w:pPr>
  </w:style>
  <w:style w:type="paragraph" w:styleId="7">
    <w:name w:val="Normal Indent"/>
    <w:basedOn w:val="1"/>
    <w:next w:val="2"/>
    <w:autoRedefine/>
    <w:qFormat/>
    <w:uiPriority w:val="0"/>
    <w:pPr>
      <w:ind w:firstLine="420"/>
    </w:pPr>
  </w:style>
  <w:style w:type="paragraph" w:styleId="8">
    <w:name w:val="annotation text"/>
    <w:basedOn w:val="1"/>
    <w:autoRedefine/>
    <w:qFormat/>
    <w:uiPriority w:val="0"/>
    <w:pPr>
      <w:jc w:val="left"/>
    </w:pPr>
  </w:style>
  <w:style w:type="paragraph" w:styleId="9">
    <w:name w:val="Salutation"/>
    <w:basedOn w:val="1"/>
    <w:next w:val="1"/>
    <w:autoRedefine/>
    <w:qFormat/>
    <w:uiPriority w:val="0"/>
    <w:rPr>
      <w:rFonts w:ascii="Calibri" w:hAnsi="Calibri"/>
      <w:kern w:val="0"/>
      <w:sz w:val="20"/>
      <w:szCs w:val="24"/>
    </w:rPr>
  </w:style>
  <w:style w:type="paragraph" w:styleId="10">
    <w:name w:val="Body Text"/>
    <w:basedOn w:val="1"/>
    <w:next w:val="11"/>
    <w:autoRedefine/>
    <w:qFormat/>
    <w:uiPriority w:val="0"/>
    <w:pPr>
      <w:spacing w:after="120"/>
    </w:pPr>
  </w:style>
  <w:style w:type="paragraph" w:customStyle="1" w:styleId="11">
    <w:name w:val="xl27"/>
    <w:basedOn w:val="1"/>
    <w:next w:val="12"/>
    <w:autoRedefine/>
    <w:qFormat/>
    <w:uiPriority w:val="0"/>
    <w:pPr>
      <w:widowControl/>
      <w:spacing w:before="100" w:beforeAutospacing="1" w:after="100" w:afterAutospacing="1"/>
      <w:jc w:val="left"/>
    </w:pPr>
    <w:rPr>
      <w:color w:val="FF0000"/>
      <w:kern w:val="0"/>
      <w:sz w:val="24"/>
    </w:rPr>
  </w:style>
  <w:style w:type="paragraph" w:customStyle="1" w:styleId="12">
    <w:name w:val="A正文"/>
    <w:basedOn w:val="1"/>
    <w:autoRedefine/>
    <w:qFormat/>
    <w:uiPriority w:val="0"/>
    <w:pPr>
      <w:widowControl/>
      <w:overflowPunct w:val="0"/>
      <w:autoSpaceDE w:val="0"/>
      <w:autoSpaceDN w:val="0"/>
      <w:adjustRightInd w:val="0"/>
      <w:snapToGrid w:val="0"/>
      <w:spacing w:line="360" w:lineRule="auto"/>
      <w:ind w:firstLine="200" w:firstLineChars="200"/>
      <w:jc w:val="left"/>
      <w:textAlignment w:val="baseline"/>
    </w:pPr>
    <w:rPr>
      <w:rFonts w:eastAsia="仿宋_GB2312"/>
      <w:kern w:val="0"/>
      <w:sz w:val="24"/>
      <w:szCs w:val="20"/>
    </w:rPr>
  </w:style>
  <w:style w:type="paragraph" w:styleId="13">
    <w:name w:val="Body Text Indent"/>
    <w:basedOn w:val="1"/>
    <w:next w:val="1"/>
    <w:autoRedefine/>
    <w:qFormat/>
    <w:uiPriority w:val="0"/>
    <w:pPr>
      <w:autoSpaceDE w:val="0"/>
      <w:autoSpaceDN w:val="0"/>
      <w:adjustRightInd w:val="0"/>
      <w:spacing w:line="360" w:lineRule="auto"/>
      <w:ind w:firstLine="480" w:firstLineChars="200"/>
    </w:pPr>
    <w:rPr>
      <w:rFonts w:ascii="宋体" w:hAnsi="宋体"/>
      <w:kern w:val="0"/>
      <w:sz w:val="24"/>
      <w:szCs w:val="21"/>
    </w:rPr>
  </w:style>
  <w:style w:type="paragraph" w:styleId="14">
    <w:name w:val="Plain Text"/>
    <w:basedOn w:val="1"/>
    <w:next w:val="15"/>
    <w:autoRedefine/>
    <w:qFormat/>
    <w:uiPriority w:val="0"/>
    <w:rPr>
      <w:rFonts w:ascii="宋体" w:hAnsi="Courier New" w:cs="Courier New"/>
      <w:szCs w:val="21"/>
    </w:rPr>
  </w:style>
  <w:style w:type="paragraph" w:styleId="15">
    <w:name w:val="toc 1"/>
    <w:basedOn w:val="1"/>
    <w:next w:val="1"/>
    <w:autoRedefine/>
    <w:qFormat/>
    <w:uiPriority w:val="39"/>
    <w:pPr>
      <w:snapToGrid w:val="0"/>
      <w:spacing w:line="360" w:lineRule="auto"/>
    </w:pPr>
    <w:rPr>
      <w:rFonts w:ascii="黑体" w:eastAsia="黑体"/>
      <w:bCs/>
      <w:sz w:val="28"/>
      <w:szCs w:val="24"/>
    </w:rPr>
  </w:style>
  <w:style w:type="paragraph" w:styleId="16">
    <w:name w:val="Body Text Indent 2"/>
    <w:basedOn w:val="1"/>
    <w:next w:val="17"/>
    <w:autoRedefine/>
    <w:qFormat/>
    <w:uiPriority w:val="0"/>
    <w:pPr>
      <w:spacing w:after="120" w:line="480" w:lineRule="auto"/>
      <w:ind w:left="420" w:leftChars="200"/>
    </w:pPr>
  </w:style>
  <w:style w:type="paragraph" w:styleId="17">
    <w:name w:val="Body Text First Indent 2"/>
    <w:basedOn w:val="13"/>
    <w:next w:val="1"/>
    <w:autoRedefine/>
    <w:qFormat/>
    <w:uiPriority w:val="0"/>
    <w:pPr>
      <w:autoSpaceDE/>
      <w:autoSpaceDN/>
      <w:adjustRightInd/>
      <w:spacing w:after="120" w:line="240" w:lineRule="auto"/>
      <w:ind w:left="420" w:leftChars="200" w:firstLine="420"/>
    </w:pPr>
    <w:rPr>
      <w:rFonts w:ascii="Times New Roman" w:hAnsi="Times New Roman"/>
      <w:kern w:val="2"/>
      <w:sz w:val="21"/>
      <w:szCs w:val="20"/>
    </w:rPr>
  </w:style>
  <w:style w:type="paragraph" w:styleId="18">
    <w:name w:val="footer"/>
    <w:basedOn w:val="1"/>
    <w:next w:val="1"/>
    <w:autoRedefine/>
    <w:qFormat/>
    <w:uiPriority w:val="99"/>
    <w:pPr>
      <w:tabs>
        <w:tab w:val="center" w:pos="4153"/>
        <w:tab w:val="right" w:pos="8306"/>
      </w:tabs>
      <w:snapToGrid w:val="0"/>
      <w:jc w:val="left"/>
    </w:pPr>
    <w:rPr>
      <w:sz w:val="18"/>
      <w:szCs w:val="18"/>
    </w:rPr>
  </w:style>
  <w:style w:type="paragraph" w:styleId="19">
    <w:name w:val="header"/>
    <w:basedOn w:val="1"/>
    <w:next w:val="10"/>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Body Text Indent 3"/>
    <w:basedOn w:val="1"/>
    <w:autoRedefine/>
    <w:qFormat/>
    <w:uiPriority w:val="0"/>
    <w:pPr>
      <w:ind w:firstLine="560" w:firstLineChars="200"/>
    </w:pPr>
    <w:rPr>
      <w:rFonts w:ascii="宋体" w:hAnsi="宋体"/>
      <w:color w:val="000000"/>
      <w:sz w:val="28"/>
      <w:szCs w:val="24"/>
    </w:rPr>
  </w:style>
  <w:style w:type="paragraph" w:styleId="21">
    <w:name w:val="toc 2"/>
    <w:basedOn w:val="1"/>
    <w:next w:val="1"/>
    <w:autoRedefine/>
    <w:qFormat/>
    <w:uiPriority w:val="0"/>
    <w:pPr>
      <w:ind w:left="420" w:leftChars="200"/>
    </w:pPr>
  </w:style>
  <w:style w:type="paragraph" w:styleId="22">
    <w:name w:val="Body Text 2"/>
    <w:basedOn w:val="1"/>
    <w:next w:val="1"/>
    <w:autoRedefine/>
    <w:unhideWhenUsed/>
    <w:qFormat/>
    <w:uiPriority w:val="99"/>
    <w:pPr>
      <w:spacing w:line="420" w:lineRule="exact"/>
    </w:pPr>
    <w:rPr>
      <w:bCs/>
      <w:sz w:val="28"/>
    </w:rPr>
  </w:style>
  <w:style w:type="paragraph" w:styleId="23">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4">
    <w:name w:val="Title"/>
    <w:basedOn w:val="1"/>
    <w:next w:val="1"/>
    <w:autoRedefine/>
    <w:qFormat/>
    <w:uiPriority w:val="0"/>
    <w:pPr>
      <w:spacing w:before="240" w:after="60"/>
      <w:jc w:val="center"/>
      <w:outlineLvl w:val="0"/>
    </w:pPr>
    <w:rPr>
      <w:rFonts w:asciiTheme="majorHAnsi" w:hAnsiTheme="majorHAnsi" w:cstheme="majorBidi"/>
      <w:b/>
      <w:bCs/>
      <w:sz w:val="32"/>
      <w:szCs w:val="32"/>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autoRedefine/>
    <w:qFormat/>
    <w:uiPriority w:val="0"/>
    <w:rPr>
      <w:b/>
    </w:rPr>
  </w:style>
  <w:style w:type="character" w:styleId="29">
    <w:name w:val="Hyperlink"/>
    <w:autoRedefine/>
    <w:qFormat/>
    <w:uiPriority w:val="99"/>
    <w:rPr>
      <w:color w:val="000000"/>
      <w:u w:val="none"/>
    </w:rPr>
  </w:style>
  <w:style w:type="character" w:styleId="30">
    <w:name w:val="annotation reference"/>
    <w:autoRedefine/>
    <w:qFormat/>
    <w:uiPriority w:val="0"/>
    <w:rPr>
      <w:sz w:val="21"/>
    </w:rPr>
  </w:style>
  <w:style w:type="paragraph" w:customStyle="1" w:styleId="31">
    <w:name w:val="Default"/>
    <w:basedOn w:val="32"/>
    <w:next w:val="33"/>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2">
    <w:name w:val="纯文本1"/>
    <w:basedOn w:val="1"/>
    <w:autoRedefine/>
    <w:qFormat/>
    <w:uiPriority w:val="0"/>
    <w:pPr>
      <w:adjustRightInd w:val="0"/>
      <w:jc w:val="left"/>
      <w:textAlignment w:val="baseline"/>
    </w:pPr>
    <w:rPr>
      <w:rFonts w:ascii="宋体"/>
      <w:kern w:val="0"/>
      <w:sz w:val="24"/>
      <w:szCs w:val="20"/>
    </w:rPr>
  </w:style>
  <w:style w:type="paragraph" w:customStyle="1" w:styleId="33">
    <w:name w:val="样式3"/>
    <w:basedOn w:val="15"/>
    <w:autoRedefine/>
    <w:qFormat/>
    <w:uiPriority w:val="0"/>
    <w:pPr>
      <w:autoSpaceDE w:val="0"/>
      <w:autoSpaceDN w:val="0"/>
      <w:snapToGrid w:val="0"/>
      <w:spacing w:before="120" w:line="460" w:lineRule="atLeast"/>
      <w:jc w:val="center"/>
    </w:pPr>
    <w:rPr>
      <w:rFonts w:eastAsia="黑体"/>
      <w:sz w:val="28"/>
      <w:szCs w:val="24"/>
    </w:rPr>
  </w:style>
  <w:style w:type="paragraph" w:customStyle="1" w:styleId="34">
    <w:name w:val="目录 53"/>
    <w:basedOn w:val="1"/>
    <w:next w:val="1"/>
    <w:autoRedefine/>
    <w:qFormat/>
    <w:uiPriority w:val="0"/>
    <w:pPr>
      <w:ind w:left="840"/>
    </w:pPr>
    <w:rPr>
      <w:rFonts w:cs="宋体"/>
      <w:color w:val="000000"/>
    </w:rPr>
  </w:style>
  <w:style w:type="paragraph" w:customStyle="1" w:styleId="35">
    <w:name w:val="标题2"/>
    <w:basedOn w:val="1"/>
    <w:next w:val="4"/>
    <w:autoRedefine/>
    <w:qFormat/>
    <w:uiPriority w:val="99"/>
    <w:pPr>
      <w:spacing w:line="360" w:lineRule="auto"/>
      <w:ind w:firstLine="0" w:firstLineChars="0"/>
      <w:jc w:val="left"/>
    </w:pPr>
    <w:rPr>
      <w:b/>
      <w:sz w:val="28"/>
    </w:rPr>
  </w:style>
  <w:style w:type="paragraph" w:customStyle="1" w:styleId="36">
    <w:name w:val="文本"/>
    <w:basedOn w:val="1"/>
    <w:next w:val="1"/>
    <w:autoRedefine/>
    <w:qFormat/>
    <w:uiPriority w:val="0"/>
    <w:pPr>
      <w:autoSpaceDE w:val="0"/>
      <w:autoSpaceDN w:val="0"/>
      <w:ind w:firstLine="480"/>
    </w:pPr>
    <w:rPr>
      <w:szCs w:val="24"/>
      <w:lang w:val="zh-CN"/>
    </w:rPr>
  </w:style>
  <w:style w:type="paragraph" w:customStyle="1" w:styleId="37">
    <w:name w:val="1正文段落"/>
    <w:basedOn w:val="1"/>
    <w:autoRedefine/>
    <w:qFormat/>
    <w:uiPriority w:val="0"/>
    <w:pPr>
      <w:spacing w:line="360" w:lineRule="auto"/>
      <w:ind w:firstLine="480" w:firstLineChars="200"/>
      <w:jc w:val="left"/>
    </w:pPr>
    <w:rPr>
      <w:snapToGrid w:val="0"/>
      <w:kern w:val="0"/>
      <w:sz w:val="24"/>
      <w:szCs w:val="24"/>
    </w:rPr>
  </w:style>
  <w:style w:type="character" w:customStyle="1" w:styleId="38">
    <w:name w:val="标题 4 字符"/>
    <w:basedOn w:val="27"/>
    <w:link w:val="2"/>
    <w:autoRedefine/>
    <w:qFormat/>
    <w:uiPriority w:val="0"/>
    <w:rPr>
      <w:rFonts w:eastAsia="黑体" w:asciiTheme="majorAscii" w:hAnsiTheme="majorAscii" w:cstheme="majorBidi"/>
      <w:bCs/>
      <w:kern w:val="2"/>
      <w:sz w:val="24"/>
      <w:szCs w:val="28"/>
    </w:rPr>
  </w:style>
  <w:style w:type="paragraph" w:customStyle="1" w:styleId="39">
    <w:name w:val="xl22"/>
    <w:basedOn w:val="1"/>
    <w:autoRedefine/>
    <w:qFormat/>
    <w:uiPriority w:val="0"/>
    <w:pPr>
      <w:widowControl/>
      <w:spacing w:before="100" w:beforeAutospacing="1" w:after="100" w:afterAutospacing="1"/>
      <w:jc w:val="center"/>
    </w:pPr>
    <w:rPr>
      <w:rFonts w:ascii="宋体" w:hAnsi="宋体"/>
      <w:kern w:val="0"/>
      <w:sz w:val="24"/>
      <w:szCs w:val="24"/>
    </w:rPr>
  </w:style>
  <w:style w:type="paragraph" w:customStyle="1" w:styleId="40">
    <w:name w:val="小5正文"/>
    <w:basedOn w:val="41"/>
    <w:autoRedefine/>
    <w:qFormat/>
    <w:uiPriority w:val="0"/>
    <w:pPr>
      <w:adjustRightInd/>
      <w:spacing w:line="360" w:lineRule="auto"/>
      <w:ind w:firstLine="420" w:firstLineChars="200"/>
    </w:pPr>
    <w:rPr>
      <w:rFonts w:hAnsi="Times New Roman" w:cs="Times New Roman"/>
      <w:snapToGrid w:val="0"/>
      <w:spacing w:val="0"/>
      <w:sz w:val="21"/>
    </w:rPr>
  </w:style>
  <w:style w:type="paragraph" w:customStyle="1" w:styleId="41">
    <w:name w:val="正文2"/>
    <w:autoRedefine/>
    <w:qFormat/>
    <w:uiPriority w:val="99"/>
    <w:pPr>
      <w:widowControl w:val="0"/>
      <w:adjustRightInd w:val="0"/>
      <w:jc w:val="both"/>
    </w:pPr>
    <w:rPr>
      <w:rFonts w:ascii="Times New Roman" w:hAnsi="MS Mincho" w:eastAsia="宋体" w:cs="MS Mincho"/>
      <w:spacing w:val="-6"/>
      <w:sz w:val="10"/>
      <w:lang w:val="en-US" w:eastAsia="zh-CN" w:bidi="ar-SA"/>
    </w:rPr>
  </w:style>
  <w:style w:type="paragraph" w:customStyle="1" w:styleId="42">
    <w:name w:val="Other|1"/>
    <w:basedOn w:val="1"/>
    <w:autoRedefine/>
    <w:qFormat/>
    <w:uiPriority w:val="0"/>
    <w:pPr>
      <w:widowControl w:val="0"/>
      <w:shd w:val="clear" w:color="auto" w:fill="auto"/>
      <w:spacing w:after="220" w:line="310" w:lineRule="auto"/>
    </w:pPr>
    <w:rPr>
      <w:b/>
      <w:bCs/>
      <w:sz w:val="68"/>
      <w:szCs w:val="68"/>
      <w:u w:val="none"/>
      <w:shd w:val="clear" w:color="auto" w:fill="auto"/>
      <w:lang w:val="zh-TW" w:eastAsia="zh-TW" w:bidi="zh-TW"/>
    </w:rPr>
  </w:style>
  <w:style w:type="paragraph" w:customStyle="1" w:styleId="43">
    <w:name w:val="Body text|1"/>
    <w:basedOn w:val="1"/>
    <w:autoRedefine/>
    <w:qFormat/>
    <w:uiPriority w:val="0"/>
    <w:pPr>
      <w:spacing w:line="403" w:lineRule="auto"/>
      <w:ind w:firstLine="400"/>
      <w:jc w:val="left"/>
    </w:pPr>
    <w:rPr>
      <w:rFonts w:ascii="MingLiU" w:hAnsi="MingLiU" w:eastAsia="MingLiU" w:cs="MingLiU"/>
      <w:sz w:val="19"/>
      <w:szCs w:val="19"/>
      <w:lang w:val="zh-TW" w:eastAsia="zh-TW" w:bidi="zh-TW"/>
    </w:rPr>
  </w:style>
  <w:style w:type="paragraph" w:styleId="44">
    <w:name w:val="No Spacing"/>
    <w:autoRedefine/>
    <w:qFormat/>
    <w:uiPriority w:val="0"/>
    <w:pPr>
      <w:widowControl w:val="0"/>
      <w:jc w:val="center"/>
    </w:pPr>
    <w:rPr>
      <w:rFonts w:ascii="Verdana" w:hAnsi="Verdana" w:eastAsia="宋体" w:cs="Times New Roman"/>
      <w:snapToGrid w:val="0"/>
      <w:sz w:val="21"/>
      <w:szCs w:val="24"/>
      <w:lang w:val="en-US" w:eastAsia="en-US" w:bidi="ar-SA"/>
    </w:rPr>
  </w:style>
  <w:style w:type="paragraph" w:styleId="45">
    <w:name w:val="List Paragraph"/>
    <w:basedOn w:val="1"/>
    <w:autoRedefine/>
    <w:qFormat/>
    <w:uiPriority w:val="34"/>
    <w:pPr>
      <w:spacing w:line="500" w:lineRule="exact"/>
      <w:ind w:firstLine="420" w:firstLineChars="200"/>
    </w:pPr>
    <w:rPr>
      <w:sz w:val="24"/>
    </w:rPr>
  </w:style>
  <w:style w:type="paragraph" w:customStyle="1" w:styleId="46">
    <w:name w:val="样式35"/>
    <w:basedOn w:val="1"/>
    <w:autoRedefine/>
    <w:qFormat/>
    <w:uiPriority w:val="0"/>
    <w:pPr>
      <w:adjustRightInd w:val="0"/>
      <w:spacing w:line="312" w:lineRule="auto"/>
      <w:ind w:firstLine="567"/>
    </w:pPr>
    <w:rPr>
      <w:rFonts w:ascii="宋体"/>
      <w:kern w:val="0"/>
      <w:sz w:val="28"/>
    </w:rPr>
  </w:style>
  <w:style w:type="paragraph" w:customStyle="1" w:styleId="47">
    <w:name w:val="表格内容"/>
    <w:basedOn w:val="1"/>
    <w:autoRedefine/>
    <w:qFormat/>
    <w:uiPriority w:val="0"/>
    <w:pPr>
      <w:spacing w:line="360" w:lineRule="exact"/>
      <w:ind w:firstLine="0" w:firstLineChars="0"/>
      <w:jc w:val="left"/>
    </w:pPr>
    <w:rPr>
      <w:rFonts w:cs="Times New Roman"/>
      <w:color w:val="0D0D0D"/>
      <w:kern w:val="0"/>
      <w:sz w:val="21"/>
      <w:szCs w:val="21"/>
    </w:rPr>
  </w:style>
  <w:style w:type="paragraph" w:customStyle="1" w:styleId="48">
    <w:name w:val="正文首行缩进1"/>
    <w:basedOn w:val="10"/>
    <w:autoRedefine/>
    <w:qFormat/>
    <w:uiPriority w:val="0"/>
    <w:pPr>
      <w:ind w:firstLine="420" w:firstLineChars="100"/>
    </w:pPr>
  </w:style>
  <w:style w:type="paragraph" w:customStyle="1" w:styleId="49">
    <w:name w:val="表格-可研"/>
    <w:basedOn w:val="50"/>
    <w:next w:val="1"/>
    <w:autoRedefine/>
    <w:qFormat/>
    <w:uiPriority w:val="0"/>
    <w:pPr>
      <w:autoSpaceDE w:val="0"/>
      <w:autoSpaceDN w:val="0"/>
      <w:spacing w:beforeLines="20" w:afterLines="20" w:line="240" w:lineRule="auto"/>
      <w:textAlignment w:val="center"/>
    </w:pPr>
    <w:rPr>
      <w:rFonts w:eastAsia="宋体"/>
      <w:color w:val="000000"/>
    </w:rPr>
  </w:style>
  <w:style w:type="paragraph" w:customStyle="1" w:styleId="50">
    <w:name w:val="表格"/>
    <w:basedOn w:val="1"/>
    <w:next w:val="1"/>
    <w:autoRedefine/>
    <w:qFormat/>
    <w:uiPriority w:val="0"/>
    <w:pPr>
      <w:adjustRightInd w:val="0"/>
      <w:snapToGrid w:val="0"/>
      <w:spacing w:line="240" w:lineRule="atLeast"/>
      <w:jc w:val="center"/>
    </w:pPr>
    <w:rPr>
      <w:rFonts w:eastAsia="仿宋_GB2312"/>
    </w:rPr>
  </w:style>
  <w:style w:type="paragraph" w:customStyle="1" w:styleId="51">
    <w:name w:val="4正文"/>
    <w:basedOn w:val="1"/>
    <w:autoRedefine/>
    <w:qFormat/>
    <w:uiPriority w:val="0"/>
    <w:pPr>
      <w:spacing w:line="360" w:lineRule="auto"/>
      <w:ind w:firstLine="200" w:firstLineChars="200"/>
    </w:pPr>
    <w:rPr>
      <w:rFonts w:ascii="Times New Roman" w:hAnsi="Times New Roman" w:eastAsia="宋体"/>
      <w:sz w:val="24"/>
    </w:rPr>
  </w:style>
  <w:style w:type="paragraph" w:customStyle="1" w:styleId="52">
    <w:name w:val="表头22"/>
    <w:basedOn w:val="1"/>
    <w:autoRedefine/>
    <w:qFormat/>
    <w:uiPriority w:val="0"/>
    <w:pPr>
      <w:widowControl/>
      <w:jc w:val="center"/>
    </w:pPr>
    <w:rPr>
      <w:rFonts w:ascii="Times New Roman" w:hAnsi="Times New Roman" w:eastAsia="宋体" w:cs="Times New Roman"/>
      <w:b/>
      <w:kern w:val="0"/>
      <w:sz w:val="24"/>
      <w:szCs w:val="24"/>
    </w:rPr>
  </w:style>
  <w:style w:type="paragraph" w:customStyle="1" w:styleId="53">
    <w:name w:val="正 文"/>
    <w:autoRedefine/>
    <w:qFormat/>
    <w:uiPriority w:val="0"/>
    <w:pPr>
      <w:widowControl w:val="0"/>
      <w:spacing w:line="480" w:lineRule="exact"/>
      <w:ind w:firstLine="471"/>
      <w:jc w:val="both"/>
    </w:pPr>
    <w:rPr>
      <w:rFonts w:ascii="Arial" w:hAnsi="Arial" w:eastAsia="宋体" w:cs="Times New Roman"/>
      <w:kern w:val="2"/>
      <w:sz w:val="24"/>
      <w:lang w:val="en-US" w:eastAsia="zh-CN" w:bidi="ar-SA"/>
    </w:rPr>
  </w:style>
  <w:style w:type="paragraph" w:customStyle="1" w:styleId="54">
    <w:name w:val="表中文字"/>
    <w:basedOn w:val="1"/>
    <w:autoRedefine/>
    <w:qFormat/>
    <w:uiPriority w:val="0"/>
    <w:pPr>
      <w:spacing w:line="300" w:lineRule="exact"/>
      <w:jc w:val="center"/>
    </w:pPr>
    <w:rPr>
      <w:rFonts w:ascii="宋体" w:hAnsi="宋体" w:cs="宋体"/>
      <w:b/>
      <w:color w:val="000000"/>
      <w:spacing w:val="4"/>
      <w:szCs w:val="24"/>
    </w:rPr>
  </w:style>
  <w:style w:type="paragraph" w:customStyle="1" w:styleId="55">
    <w:name w:val="表格内容自定"/>
    <w:basedOn w:val="1"/>
    <w:autoRedefine/>
    <w:qFormat/>
    <w:uiPriority w:val="0"/>
    <w:pPr>
      <w:spacing w:line="280" w:lineRule="exact"/>
      <w:jc w:val="center"/>
    </w:pPr>
    <w:rPr>
      <w:kern w:val="0"/>
      <w:sz w:val="18"/>
      <w:szCs w:val="20"/>
    </w:rPr>
  </w:style>
  <w:style w:type="paragraph" w:customStyle="1" w:styleId="56">
    <w:name w:val="表格1"/>
    <w:basedOn w:val="7"/>
    <w:autoRedefine/>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57">
    <w:name w:val="Table Paragraph"/>
    <w:basedOn w:val="1"/>
    <w:autoRedefine/>
    <w:qFormat/>
    <w:uiPriority w:val="1"/>
    <w:pPr>
      <w:autoSpaceDE w:val="0"/>
      <w:autoSpaceDN w:val="0"/>
      <w:jc w:val="left"/>
    </w:pPr>
    <w:rPr>
      <w:rFonts w:ascii="宋体" w:hAnsi="宋体" w:cs="宋体"/>
      <w:kern w:val="0"/>
      <w:sz w:val="22"/>
      <w:szCs w:val="22"/>
    </w:rPr>
  </w:style>
  <w:style w:type="paragraph" w:customStyle="1" w:styleId="58">
    <w:name w:val="表头5"/>
    <w:basedOn w:val="10"/>
    <w:autoRedefine/>
    <w:qFormat/>
    <w:uiPriority w:val="0"/>
    <w:pPr>
      <w:adjustRightInd/>
      <w:spacing w:after="0" w:afterLines="0"/>
      <w:jc w:val="center"/>
    </w:pPr>
    <w:rPr>
      <w:rFonts w:ascii="Times New Roman" w:hAnsi="Times New Roman"/>
      <w:b/>
      <w:sz w:val="21"/>
      <w:szCs w:val="24"/>
    </w:rPr>
  </w:style>
  <w:style w:type="paragraph" w:customStyle="1" w:styleId="59">
    <w:name w:val="环评 表格内容"/>
    <w:basedOn w:val="1"/>
    <w:autoRedefine/>
    <w:qFormat/>
    <w:uiPriority w:val="0"/>
    <w:pPr>
      <w:spacing w:line="240" w:lineRule="auto"/>
      <w:ind w:firstLine="0" w:firstLineChars="0"/>
      <w:jc w:val="center"/>
    </w:pPr>
    <w:rPr>
      <w:rFonts w:ascii="Times New Roman" w:hAnsi="Times New Roman" w:eastAsia="宋体" w:cs="Times New Roman"/>
      <w:sz w:val="21"/>
      <w:szCs w:val="21"/>
    </w:rPr>
  </w:style>
  <w:style w:type="paragraph" w:customStyle="1" w:styleId="60">
    <w:name w:val="表格加粗"/>
    <w:basedOn w:val="47"/>
    <w:autoRedefine/>
    <w:qFormat/>
    <w:uiPriority w:val="0"/>
    <w:rPr>
      <w:b/>
    </w:rPr>
  </w:style>
  <w:style w:type="paragraph" w:customStyle="1" w:styleId="61">
    <w:name w:val="bg"/>
    <w:basedOn w:val="1"/>
    <w:autoRedefine/>
    <w:qFormat/>
    <w:uiPriority w:val="0"/>
    <w:pPr>
      <w:widowControl/>
    </w:pPr>
    <w:rPr>
      <w:kern w:val="0"/>
      <w:sz w:val="24"/>
      <w:szCs w:val="20"/>
    </w:rPr>
  </w:style>
  <w:style w:type="paragraph" w:customStyle="1" w:styleId="62">
    <w:name w:val="表格正文"/>
    <w:basedOn w:val="7"/>
    <w:next w:val="1"/>
    <w:autoRedefine/>
    <w:qFormat/>
    <w:uiPriority w:val="0"/>
    <w:pPr>
      <w:spacing w:line="360" w:lineRule="exact"/>
      <w:jc w:val="center"/>
    </w:pPr>
    <w:rPr>
      <w:szCs w:val="20"/>
    </w:rPr>
  </w:style>
  <w:style w:type="paragraph" w:customStyle="1" w:styleId="63">
    <w:name w:val="p0"/>
    <w:basedOn w:val="1"/>
    <w:autoRedefine/>
    <w:qFormat/>
    <w:uiPriority w:val="0"/>
    <w:pPr>
      <w:widowControl/>
    </w:pPr>
    <w:rPr>
      <w:kern w:val="0"/>
      <w:szCs w:val="21"/>
    </w:rPr>
  </w:style>
  <w:style w:type="paragraph" w:customStyle="1" w:styleId="64">
    <w:name w:val="表-正文"/>
    <w:basedOn w:val="1"/>
    <w:autoRedefine/>
    <w:qFormat/>
    <w:uiPriority w:val="0"/>
    <w:pPr>
      <w:adjustRightInd w:val="0"/>
      <w:snapToGrid w:val="0"/>
      <w:spacing w:line="360" w:lineRule="auto"/>
      <w:jc w:val="center"/>
    </w:pPr>
    <w:rPr>
      <w:bCs/>
      <w:szCs w:val="72"/>
    </w:rPr>
  </w:style>
  <w:style w:type="paragraph" w:customStyle="1" w:styleId="65">
    <w:name w:val="BodyText1I2"/>
    <w:basedOn w:val="1"/>
    <w:next w:val="1"/>
    <w:autoRedefine/>
    <w:qFormat/>
    <w:uiPriority w:val="0"/>
    <w:pPr>
      <w:ind w:firstLine="420"/>
      <w:jc w:val="both"/>
      <w:textAlignment w:val="baseline"/>
    </w:pPr>
  </w:style>
  <w:style w:type="paragraph" w:customStyle="1" w:styleId="66">
    <w:name w:val="表体"/>
    <w:autoRedefine/>
    <w:qFormat/>
    <w:uiPriority w:val="0"/>
    <w:pPr>
      <w:jc w:val="center"/>
    </w:pPr>
    <w:rPr>
      <w:rFonts w:ascii="宋体" w:hAnsi="宋体" w:eastAsia="宋体" w:cs="Times New Roman"/>
      <w:color w:val="000080"/>
      <w:kern w:val="2"/>
      <w:sz w:val="24"/>
      <w:szCs w:val="24"/>
      <w:lang w:val="en-US" w:eastAsia="zh-CN" w:bidi="ar-SA"/>
    </w:rPr>
  </w:style>
  <w:style w:type="paragraph" w:customStyle="1" w:styleId="67">
    <w:name w:val="A标准格式"/>
    <w:basedOn w:val="1"/>
    <w:autoRedefine/>
    <w:qFormat/>
    <w:uiPriority w:val="0"/>
    <w:pPr>
      <w:ind w:firstLine="480"/>
    </w:pPr>
  </w:style>
  <w:style w:type="paragraph" w:customStyle="1" w:styleId="68">
    <w:name w:val="！ 正文"/>
    <w:basedOn w:val="1"/>
    <w:autoRedefine/>
    <w:qFormat/>
    <w:uiPriority w:val="0"/>
    <w:pPr>
      <w:adjustRightInd w:val="0"/>
      <w:snapToGrid w:val="0"/>
      <w:spacing w:line="360" w:lineRule="auto"/>
      <w:ind w:firstLine="200" w:firstLineChars="200"/>
    </w:pPr>
    <w:rPr>
      <w:sz w:val="24"/>
    </w:rPr>
  </w:style>
  <w:style w:type="paragraph" w:customStyle="1" w:styleId="69">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70">
    <w:name w:val="中文报告书样式"/>
    <w:basedOn w:val="1"/>
    <w:autoRedefine/>
    <w:qFormat/>
    <w:uiPriority w:val="0"/>
    <w:pPr>
      <w:adjustRightInd w:val="0"/>
      <w:spacing w:line="480" w:lineRule="atLeast"/>
      <w:ind w:firstLine="482"/>
      <w:textAlignment w:val="baseline"/>
    </w:pPr>
    <w:rPr>
      <w:kern w:val="24"/>
      <w:sz w:val="24"/>
      <w:szCs w:val="20"/>
    </w:rPr>
  </w:style>
  <w:style w:type="table" w:customStyle="1" w:styleId="71">
    <w:name w:val="Table Normal"/>
    <w:semiHidden/>
    <w:unhideWhenUsed/>
    <w:qFormat/>
    <w:uiPriority w:val="0"/>
    <w:tblPr>
      <w:tblCellMar>
        <w:top w:w="0" w:type="dxa"/>
        <w:left w:w="0" w:type="dxa"/>
        <w:bottom w:w="0" w:type="dxa"/>
        <w:right w:w="0" w:type="dxa"/>
      </w:tblCellMar>
    </w:tblPr>
  </w:style>
  <w:style w:type="paragraph" w:customStyle="1" w:styleId="72">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oleObject" Target="embeddings/oleObject4.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42200</Words>
  <Characters>50258</Characters>
  <Lines>0</Lines>
  <Paragraphs>0</Paragraphs>
  <TotalTime>2</TotalTime>
  <ScaleCrop>false</ScaleCrop>
  <LinksUpToDate>false</LinksUpToDate>
  <CharactersWithSpaces>50541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2022-10-11T08:23:00Z</dcterms:created>
  <dc:creator>谁释谁刃</dc:creator>
  <cp:lastModifiedBy>叮当</cp:lastModifiedBy>
  <dcterms:modified xsi:type="dcterms:W3CDTF">2024-11-27T10:21:58Z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09D8C62280344073A123B5CB9AC2805F_13</vt:lpwstr>
  </property>
</Properties>
</file>