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8DD996">
      <w:pPr>
        <w:rPr>
          <w:rFonts w:ascii="仿宋_GB2312" w:hAnsi="仿宋_GB2312" w:eastAsia="仿宋_GB2312" w:cs="仿宋_GB2312"/>
          <w:color w:val="000000" w:themeColor="text1"/>
          <w:sz w:val="36"/>
          <w:szCs w:val="36"/>
          <w14:textFill>
            <w14:solidFill>
              <w14:schemeClr w14:val="tx1"/>
            </w14:solidFill>
          </w14:textFill>
        </w:rPr>
      </w:pPr>
    </w:p>
    <w:p w14:paraId="0CE149EE">
      <w:pPr>
        <w:rPr>
          <w:rFonts w:ascii="仿宋_GB2312" w:hAnsi="仿宋_GB2312" w:eastAsia="仿宋_GB2312" w:cs="仿宋_GB2312"/>
          <w:color w:val="000000" w:themeColor="text1"/>
          <w:sz w:val="36"/>
          <w:szCs w:val="36"/>
          <w14:textFill>
            <w14:solidFill>
              <w14:schemeClr w14:val="tx1"/>
            </w14:solidFill>
          </w14:textFill>
        </w:rPr>
      </w:pPr>
    </w:p>
    <w:p w14:paraId="39DDDB72">
      <w:pPr>
        <w:rPr>
          <w:rFonts w:ascii="仿宋_GB2312" w:hAnsi="仿宋_GB2312" w:eastAsia="仿宋_GB2312" w:cs="仿宋_GB2312"/>
          <w:color w:val="000000" w:themeColor="text1"/>
          <w:sz w:val="36"/>
          <w:szCs w:val="36"/>
          <w14:textFill>
            <w14:solidFill>
              <w14:schemeClr w14:val="tx1"/>
            </w14:solidFill>
          </w14:textFill>
        </w:rPr>
      </w:pPr>
    </w:p>
    <w:p w14:paraId="0F386FCC">
      <w:pPr>
        <w:rPr>
          <w:rFonts w:ascii="仿宋_GB2312" w:hAnsi="仿宋_GB2312" w:eastAsia="仿宋_GB2312" w:cs="仿宋_GB2312"/>
          <w:color w:val="000000" w:themeColor="text1"/>
          <w:sz w:val="36"/>
          <w:szCs w:val="36"/>
          <w14:textFill>
            <w14:solidFill>
              <w14:schemeClr w14:val="tx1"/>
            </w14:solidFill>
          </w14:textFill>
        </w:rPr>
      </w:pPr>
    </w:p>
    <w:p w14:paraId="03258E40">
      <w:pPr>
        <w:adjustRightInd w:val="0"/>
        <w:snapToGrid w:val="0"/>
        <w:jc w:val="center"/>
        <w:outlineLvl w:val="0"/>
        <w:rPr>
          <w:rFonts w:ascii="方正小标宋_GBK" w:eastAsia="方正小标宋_GBK"/>
          <w:bCs/>
          <w:color w:val="000000" w:themeColor="text1"/>
          <w:sz w:val="72"/>
          <w:szCs w:val="72"/>
          <w14:textFill>
            <w14:solidFill>
              <w14:schemeClr w14:val="tx1"/>
            </w14:solidFill>
          </w14:textFill>
        </w:rPr>
      </w:pPr>
      <w:r>
        <w:rPr>
          <w:rFonts w:hint="eastAsia" w:ascii="方正小标宋_GBK" w:eastAsia="方正小标宋_GBK"/>
          <w:bCs/>
          <w:color w:val="000000" w:themeColor="text1"/>
          <w:sz w:val="72"/>
          <w:szCs w:val="72"/>
          <w14:textFill>
            <w14:solidFill>
              <w14:schemeClr w14:val="tx1"/>
            </w14:solidFill>
          </w14:textFill>
        </w:rPr>
        <w:t>建设项目环境影响报告表</w:t>
      </w:r>
    </w:p>
    <w:p w14:paraId="52CED603">
      <w:pPr>
        <w:adjustRightInd w:val="0"/>
        <w:snapToGrid w:val="0"/>
        <w:spacing w:before="192" w:beforeLines="80"/>
        <w:jc w:val="center"/>
        <w:rPr>
          <w:rFonts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（污染影响类）</w:t>
      </w:r>
    </w:p>
    <w:p w14:paraId="63F503BC">
      <w:pPr>
        <w:adjustRightInd w:val="0"/>
        <w:snapToGrid w:val="0"/>
        <w:spacing w:line="288" w:lineRule="auto"/>
        <w:jc w:val="center"/>
        <w:outlineLvl w:val="0"/>
        <w:rPr>
          <w:rFonts w:ascii="华文仿宋" w:hAnsi="华文仿宋" w:eastAsia="华文仿宋" w:cs="华文仿宋"/>
          <w:color w:val="000000" w:themeColor="text1"/>
          <w:kern w:val="44"/>
          <w:sz w:val="44"/>
          <w:szCs w:val="44"/>
          <w14:textFill>
            <w14:solidFill>
              <w14:schemeClr w14:val="tx1"/>
            </w14:solidFill>
          </w14:textFill>
        </w:rPr>
      </w:pPr>
    </w:p>
    <w:p w14:paraId="499D418D">
      <w:pPr>
        <w:jc w:val="center"/>
        <w:rPr>
          <w:rFonts w:eastAsia="仿宋"/>
          <w:color w:val="000000" w:themeColor="text1"/>
          <w:sz w:val="52"/>
          <w:szCs w:val="52"/>
          <w14:textFill>
            <w14:solidFill>
              <w14:schemeClr w14:val="tx1"/>
            </w14:solidFill>
          </w14:textFill>
        </w:rPr>
      </w:pPr>
    </w:p>
    <w:p w14:paraId="30E89A89">
      <w:pPr>
        <w:ind w:firstLine="1040"/>
        <w:rPr>
          <w:rFonts w:eastAsia="仿宋"/>
          <w:color w:val="000000" w:themeColor="text1"/>
          <w:sz w:val="44"/>
          <w:szCs w:val="44"/>
          <w14:textFill>
            <w14:solidFill>
              <w14:schemeClr w14:val="tx1"/>
            </w14:solidFill>
          </w14:textFill>
        </w:rPr>
      </w:pPr>
    </w:p>
    <w:p w14:paraId="667D4B37">
      <w:pPr>
        <w:ind w:firstLine="1040"/>
        <w:rPr>
          <w:rFonts w:eastAsia="仿宋"/>
          <w:color w:val="000000" w:themeColor="text1"/>
          <w:sz w:val="44"/>
          <w:szCs w:val="44"/>
          <w14:textFill>
            <w14:solidFill>
              <w14:schemeClr w14:val="tx1"/>
            </w14:solidFill>
          </w14:textFill>
        </w:rPr>
      </w:pPr>
    </w:p>
    <w:p w14:paraId="6FBB67D3">
      <w:pPr>
        <w:rPr>
          <w:rFonts w:eastAsia="仿宋"/>
          <w:color w:val="000000" w:themeColor="text1"/>
          <w:sz w:val="44"/>
          <w:szCs w:val="44"/>
          <w14:textFill>
            <w14:solidFill>
              <w14:schemeClr w14:val="tx1"/>
            </w14:solidFill>
          </w14:textFill>
        </w:rPr>
      </w:pPr>
    </w:p>
    <w:p w14:paraId="038B0A9C">
      <w:pPr>
        <w:adjustRightInd w:val="0"/>
        <w:snapToGrid w:val="0"/>
        <w:spacing w:line="288" w:lineRule="auto"/>
        <w:ind w:left="1800" w:right="55" w:rightChars="26" w:hanging="1800" w:hangingChars="500"/>
        <w:rPr>
          <w:rFonts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项 目 名 称：</w:t>
      </w:r>
      <w:r>
        <w:rPr>
          <w:rFonts w:hint="eastAsia" w:ascii="仿宋_GB2312" w:eastAsia="仿宋_GB2312"/>
          <w:color w:val="000000" w:themeColor="text1"/>
          <w:sz w:val="36"/>
          <w:szCs w:val="36"/>
          <w:u w:val="single"/>
          <w14:textFill>
            <w14:solidFill>
              <w14:schemeClr w14:val="tx1"/>
            </w14:solidFill>
          </w14:textFill>
        </w:rPr>
        <w:t>中国石化销售股份有限公司安徽</w:t>
      </w:r>
      <w:r>
        <w:rPr>
          <w:rFonts w:hint="eastAsia" w:ascii="仿宋_GB2312" w:eastAsia="仿宋_GB2312"/>
          <w:color w:val="000000" w:themeColor="text1"/>
          <w:sz w:val="36"/>
          <w:szCs w:val="36"/>
          <w:u w:val="single"/>
          <w:lang w:val="en-US" w:eastAsia="zh-CN"/>
          <w14:textFill>
            <w14:solidFill>
              <w14:schemeClr w14:val="tx1"/>
            </w14:solidFill>
          </w14:textFill>
        </w:rPr>
        <w:t>蚌埠</w:t>
      </w:r>
      <w:r>
        <w:rPr>
          <w:rFonts w:hint="eastAsia" w:ascii="仿宋_GB2312" w:eastAsia="仿宋_GB2312"/>
          <w:color w:val="000000" w:themeColor="text1"/>
          <w:sz w:val="36"/>
          <w:szCs w:val="36"/>
          <w:u w:val="single"/>
          <w14:textFill>
            <w14:solidFill>
              <w14:schemeClr w14:val="tx1"/>
            </w14:solidFill>
          </w14:textFill>
        </w:rPr>
        <w:t xml:space="preserve">固镇城北加油站改扩建项目                           </w:t>
      </w:r>
    </w:p>
    <w:p w14:paraId="0822A704">
      <w:pPr>
        <w:ind w:left="2520" w:hanging="2520" w:hangingChars="700"/>
        <w:jc w:val="left"/>
        <w:rPr>
          <w:rFonts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建设单位</w:t>
      </w:r>
      <w:r>
        <w:rPr>
          <w:rFonts w:hint="eastAsia" w:ascii="仿宋_GB2312" w:eastAsia="仿宋_GB2312"/>
          <w:color w:val="000000" w:themeColor="text1"/>
          <w:sz w:val="36"/>
          <w:szCs w:val="36"/>
          <w:vertAlign w:val="subscript"/>
          <w14:textFill>
            <w14:solidFill>
              <w14:schemeClr w14:val="tx1"/>
            </w14:solidFill>
          </w14:textFill>
        </w:rPr>
        <w:t>（盖章）</w:t>
      </w:r>
      <w:r>
        <w:rPr>
          <w:rFonts w:hint="eastAsia" w:ascii="仿宋_GB2312" w:eastAsia="仿宋_GB2312"/>
          <w:color w:val="000000" w:themeColor="text1"/>
          <w:sz w:val="36"/>
          <w:szCs w:val="36"/>
          <w14:textFill>
            <w14:solidFill>
              <w14:schemeClr w14:val="tx1"/>
            </w14:solidFill>
          </w14:textFill>
        </w:rPr>
        <w:t>：</w:t>
      </w:r>
      <w:r>
        <w:rPr>
          <w:rFonts w:hint="eastAsia" w:ascii="仿宋_GB2312" w:eastAsia="仿宋_GB2312"/>
          <w:color w:val="000000" w:themeColor="text1"/>
          <w:sz w:val="36"/>
          <w:szCs w:val="36"/>
          <w:u w:val="single"/>
          <w14:textFill>
            <w14:solidFill>
              <w14:schemeClr w14:val="tx1"/>
            </w14:solidFill>
          </w14:textFill>
        </w:rPr>
        <w:t>中国石化销售股份有限公司安徽蚌埠石油分公司</w:t>
      </w:r>
    </w:p>
    <w:p w14:paraId="346DFB9A">
      <w:pPr>
        <w:adjustRightInd w:val="0"/>
        <w:snapToGrid w:val="0"/>
        <w:spacing w:line="288" w:lineRule="auto"/>
        <w:rPr>
          <w:rFonts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编 制 日 期：</w:t>
      </w:r>
      <w:r>
        <w:rPr>
          <w:rFonts w:ascii="仿宋_GB2312" w:eastAsia="仿宋_GB2312"/>
          <w:color w:val="000000" w:themeColor="text1"/>
          <w:sz w:val="36"/>
          <w:szCs w:val="36"/>
          <w:u w:val="single"/>
          <w14:textFill>
            <w14:solidFill>
              <w14:schemeClr w14:val="tx1"/>
            </w14:solidFill>
          </w14:textFill>
        </w:rPr>
        <w:t xml:space="preserve">             202</w:t>
      </w:r>
      <w:r>
        <w:rPr>
          <w:rFonts w:hint="eastAsia" w:ascii="仿宋_GB2312" w:eastAsia="仿宋_GB2312"/>
          <w:color w:val="000000" w:themeColor="text1"/>
          <w:sz w:val="36"/>
          <w:szCs w:val="36"/>
          <w:u w:val="single"/>
          <w14:textFill>
            <w14:solidFill>
              <w14:schemeClr w14:val="tx1"/>
            </w14:solidFill>
          </w14:textFill>
        </w:rPr>
        <w:t>5</w:t>
      </w:r>
      <w:r>
        <w:rPr>
          <w:rFonts w:ascii="仿宋_GB2312" w:eastAsia="仿宋_GB2312"/>
          <w:color w:val="000000" w:themeColor="text1"/>
          <w:sz w:val="36"/>
          <w:szCs w:val="36"/>
          <w:u w:val="single"/>
          <w14:textFill>
            <w14:solidFill>
              <w14:schemeClr w14:val="tx1"/>
            </w14:solidFill>
          </w14:textFill>
        </w:rPr>
        <w:t>年</w:t>
      </w:r>
      <w:r>
        <w:rPr>
          <w:rFonts w:hint="eastAsia" w:ascii="仿宋_GB2312" w:eastAsia="仿宋_GB2312"/>
          <w:color w:val="000000" w:themeColor="text1"/>
          <w:sz w:val="36"/>
          <w:szCs w:val="36"/>
          <w:u w:val="single"/>
          <w:lang w:val="en-US" w:eastAsia="zh-CN"/>
          <w14:textFill>
            <w14:solidFill>
              <w14:schemeClr w14:val="tx1"/>
            </w14:solidFill>
          </w14:textFill>
        </w:rPr>
        <w:t>4</w:t>
      </w:r>
      <w:r>
        <w:rPr>
          <w:rFonts w:hint="eastAsia" w:ascii="仿宋_GB2312" w:eastAsia="仿宋_GB2312"/>
          <w:color w:val="000000" w:themeColor="text1"/>
          <w:sz w:val="36"/>
          <w:szCs w:val="36"/>
          <w:u w:val="single"/>
          <w14:textFill>
            <w14:solidFill>
              <w14:schemeClr w14:val="tx1"/>
            </w14:solidFill>
          </w14:textFill>
        </w:rPr>
        <w:t xml:space="preserve">月 </w:t>
      </w:r>
      <w:r>
        <w:rPr>
          <w:rFonts w:ascii="仿宋_GB2312" w:eastAsia="仿宋_GB2312"/>
          <w:color w:val="000000" w:themeColor="text1"/>
          <w:sz w:val="36"/>
          <w:szCs w:val="36"/>
          <w:u w:val="single"/>
          <w14:textFill>
            <w14:solidFill>
              <w14:schemeClr w14:val="tx1"/>
            </w14:solidFill>
          </w14:textFill>
        </w:rPr>
        <w:t xml:space="preserve">               </w:t>
      </w:r>
    </w:p>
    <w:p w14:paraId="7A5A10CB">
      <w:pPr>
        <w:adjustRightInd w:val="0"/>
        <w:snapToGrid w:val="0"/>
        <w:spacing w:line="288" w:lineRule="auto"/>
        <w:ind w:firstLine="1040"/>
        <w:rPr>
          <w:rFonts w:ascii="仿宋_GB2312" w:eastAsia="仿宋_GB2312"/>
          <w:color w:val="000000" w:themeColor="text1"/>
          <w:sz w:val="36"/>
          <w:szCs w:val="36"/>
          <w:u w:val="single"/>
          <w14:textFill>
            <w14:solidFill>
              <w14:schemeClr w14:val="tx1"/>
            </w14:solidFill>
          </w14:textFill>
        </w:rPr>
      </w:pPr>
      <w:bookmarkStart w:id="0" w:name="_Hlk57884087"/>
    </w:p>
    <w:p w14:paraId="6C433162">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14:paraId="68CA5D55">
      <w:pPr>
        <w:adjustRightInd w:val="0"/>
        <w:snapToGrid w:val="0"/>
        <w:spacing w:line="288" w:lineRule="auto"/>
        <w:rPr>
          <w:rFonts w:ascii="仿宋_GB2312" w:eastAsia="仿宋_GB2312"/>
          <w:color w:val="000000" w:themeColor="text1"/>
          <w:sz w:val="36"/>
          <w:szCs w:val="36"/>
          <w14:textFill>
            <w14:solidFill>
              <w14:schemeClr w14:val="tx1"/>
            </w14:solidFill>
          </w14:textFill>
        </w:rPr>
      </w:pPr>
    </w:p>
    <w:bookmarkEnd w:id="0"/>
    <w:p w14:paraId="366B72E7">
      <w:pPr>
        <w:adjustRightInd w:val="0"/>
        <w:snapToGrid w:val="0"/>
        <w:spacing w:line="288" w:lineRule="auto"/>
        <w:jc w:val="center"/>
        <w:rPr>
          <w:rFonts w:ascii="楷体_GB2312" w:eastAsia="楷体_GB2312"/>
          <w:color w:val="000000" w:themeColor="text1"/>
          <w:sz w:val="36"/>
          <w:szCs w:val="36"/>
          <w14:textFill>
            <w14:solidFill>
              <w14:schemeClr w14:val="tx1"/>
            </w14:solidFill>
          </w14:textFill>
        </w:rPr>
      </w:pPr>
      <w:r>
        <w:rPr>
          <w:rFonts w:hint="eastAsia" w:ascii="楷体_GB2312" w:eastAsia="楷体_GB2312"/>
          <w:color w:val="000000" w:themeColor="text1"/>
          <w:sz w:val="36"/>
          <w:szCs w:val="36"/>
          <w14:textFill>
            <w14:solidFill>
              <w14:schemeClr w14:val="tx1"/>
            </w14:solidFill>
          </w14:textFill>
        </w:rPr>
        <w:t>中华人民共和国生态环境部制</w:t>
      </w:r>
    </w:p>
    <w:p w14:paraId="5323C668">
      <w:pPr>
        <w:adjustRightInd w:val="0"/>
        <w:snapToGrid w:val="0"/>
        <w:spacing w:line="288" w:lineRule="auto"/>
        <w:jc w:val="center"/>
        <w:rPr>
          <w:rFonts w:ascii="楷体_GB2312" w:eastAsia="楷体_GB2312"/>
          <w:color w:val="000000" w:themeColor="text1"/>
          <w:sz w:val="36"/>
          <w:szCs w:val="36"/>
          <w14:textFill>
            <w14:solidFill>
              <w14:schemeClr w14:val="tx1"/>
            </w14:solidFill>
          </w14:textFill>
        </w:rPr>
      </w:pPr>
      <w:r>
        <w:rPr>
          <w:rFonts w:ascii="楷体_GB2312" w:eastAsia="楷体_GB2312"/>
          <w:color w:val="000000" w:themeColor="text1"/>
          <w:sz w:val="36"/>
          <w:szCs w:val="36"/>
          <w14:textFill>
            <w14:solidFill>
              <w14:schemeClr w14:val="tx1"/>
            </w14:solidFill>
          </w14:textFill>
        </w:rPr>
        <w:br w:type="page"/>
      </w:r>
    </w:p>
    <w:p w14:paraId="1E7F705B">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14:paraId="1A060E1B">
      <w:pPr>
        <w:rPr>
          <w:rFonts w:ascii="仿宋_GB2312" w:eastAsia="仿宋_GB2312"/>
          <w:color w:val="000000" w:themeColor="text1"/>
          <w:sz w:val="36"/>
          <w:szCs w:val="36"/>
          <w14:textFill>
            <w14:solidFill>
              <w14:schemeClr w14:val="tx1"/>
            </w14:solidFill>
          </w14:textFill>
        </w:rPr>
      </w:pPr>
    </w:p>
    <w:p w14:paraId="7557DA60">
      <w:pPr>
        <w:rPr>
          <w:rFonts w:ascii="仿宋_GB2312" w:eastAsia="仿宋_GB2312"/>
          <w:color w:val="000000" w:themeColor="text1"/>
          <w:sz w:val="36"/>
          <w:szCs w:val="36"/>
          <w14:textFill>
            <w14:solidFill>
              <w14:schemeClr w14:val="tx1"/>
            </w14:solidFill>
          </w14:textFill>
        </w:rPr>
      </w:pPr>
    </w:p>
    <w:p w14:paraId="46619A66">
      <w:pPr>
        <w:rPr>
          <w:rFonts w:ascii="仿宋_GB2312" w:eastAsia="仿宋_GB2312"/>
          <w:color w:val="000000" w:themeColor="text1"/>
          <w:sz w:val="36"/>
          <w:szCs w:val="36"/>
          <w14:textFill>
            <w14:solidFill>
              <w14:schemeClr w14:val="tx1"/>
            </w14:solidFill>
          </w14:textFill>
        </w:rPr>
      </w:pPr>
    </w:p>
    <w:p w14:paraId="296D08E8">
      <w:pPr>
        <w:rPr>
          <w:rFonts w:ascii="仿宋_GB2312" w:eastAsia="仿宋_GB2312"/>
          <w:color w:val="000000" w:themeColor="text1"/>
          <w:sz w:val="36"/>
          <w:szCs w:val="36"/>
          <w14:textFill>
            <w14:solidFill>
              <w14:schemeClr w14:val="tx1"/>
            </w14:solidFill>
          </w14:textFill>
        </w:rPr>
      </w:pPr>
    </w:p>
    <w:p w14:paraId="56FB7B8E">
      <w:pPr>
        <w:rPr>
          <w:rFonts w:ascii="仿宋_GB2312" w:eastAsia="仿宋_GB2312"/>
          <w:color w:val="000000" w:themeColor="text1"/>
          <w:sz w:val="36"/>
          <w:szCs w:val="36"/>
          <w14:textFill>
            <w14:solidFill>
              <w14:schemeClr w14:val="tx1"/>
            </w14:solidFill>
          </w14:textFill>
        </w:rPr>
      </w:pPr>
    </w:p>
    <w:p w14:paraId="08BFD72C">
      <w:pPr>
        <w:rPr>
          <w:rFonts w:ascii="仿宋_GB2312" w:eastAsia="仿宋_GB2312"/>
          <w:color w:val="000000" w:themeColor="text1"/>
          <w:sz w:val="36"/>
          <w:szCs w:val="36"/>
          <w14:textFill>
            <w14:solidFill>
              <w14:schemeClr w14:val="tx1"/>
            </w14:solidFill>
          </w14:textFill>
        </w:rPr>
      </w:pPr>
    </w:p>
    <w:p w14:paraId="42AE6BA1">
      <w:pPr>
        <w:rPr>
          <w:rFonts w:ascii="仿宋_GB2312" w:eastAsia="仿宋_GB2312"/>
          <w:color w:val="000000" w:themeColor="text1"/>
          <w:sz w:val="36"/>
          <w:szCs w:val="36"/>
          <w14:textFill>
            <w14:solidFill>
              <w14:schemeClr w14:val="tx1"/>
            </w14:solidFill>
          </w14:textFill>
        </w:rPr>
      </w:pPr>
    </w:p>
    <w:p w14:paraId="3863E59E">
      <w:pPr>
        <w:rPr>
          <w:rFonts w:ascii="仿宋_GB2312" w:eastAsia="仿宋_GB2312"/>
          <w:color w:val="000000" w:themeColor="text1"/>
          <w:sz w:val="36"/>
          <w:szCs w:val="36"/>
          <w14:textFill>
            <w14:solidFill>
              <w14:schemeClr w14:val="tx1"/>
            </w14:solidFill>
          </w14:textFill>
        </w:rPr>
      </w:pPr>
    </w:p>
    <w:p w14:paraId="6B6CA7FA">
      <w:pPr>
        <w:tabs>
          <w:tab w:val="left" w:pos="5310"/>
        </w:tabs>
        <w:rPr>
          <w:rFonts w:ascii="仿宋_GB2312" w:eastAsia="仿宋_GB2312"/>
          <w:color w:val="000000" w:themeColor="text1"/>
          <w:sz w:val="36"/>
          <w:szCs w:val="36"/>
          <w14:textFill>
            <w14:solidFill>
              <w14:schemeClr w14:val="tx1"/>
            </w14:solidFill>
          </w14:textFill>
        </w:rPr>
      </w:pPr>
      <w:r>
        <w:rPr>
          <w:rFonts w:ascii="仿宋_GB2312" w:eastAsia="仿宋_GB2312"/>
          <w:color w:val="000000" w:themeColor="text1"/>
          <w:sz w:val="36"/>
          <w:szCs w:val="36"/>
          <w14:textFill>
            <w14:solidFill>
              <w14:schemeClr w14:val="tx1"/>
            </w14:solidFill>
          </w14:textFill>
        </w:rPr>
        <w:tab/>
      </w:r>
    </w:p>
    <w:p w14:paraId="427509E5">
      <w:pPr>
        <w:rPr>
          <w:rFonts w:ascii="仿宋_GB2312" w:eastAsia="仿宋_GB2312"/>
          <w:color w:val="000000" w:themeColor="text1"/>
          <w:sz w:val="36"/>
          <w:szCs w:val="36"/>
          <w14:textFill>
            <w14:solidFill>
              <w14:schemeClr w14:val="tx1"/>
            </w14:solidFill>
          </w14:textFill>
        </w:rPr>
      </w:pPr>
    </w:p>
    <w:p w14:paraId="1F097B92">
      <w:pPr>
        <w:rPr>
          <w:rFonts w:ascii="仿宋_GB2312" w:eastAsia="仿宋_GB2312"/>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49D660A9">
      <w:pPr>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27"/>
        <w:tblW w:w="98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99"/>
        <w:gridCol w:w="2601"/>
        <w:gridCol w:w="2253"/>
        <w:gridCol w:w="3544"/>
      </w:tblGrid>
      <w:tr w14:paraId="04DD8C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57" w:type="pct"/>
            <w:tcMar>
              <w:top w:w="16" w:type="dxa"/>
              <w:left w:w="16" w:type="dxa"/>
              <w:right w:w="16" w:type="dxa"/>
            </w:tcMar>
            <w:vAlign w:val="center"/>
          </w:tcPr>
          <w:p w14:paraId="40471E5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4242" w:type="pct"/>
            <w:gridSpan w:val="3"/>
            <w:vAlign w:val="center"/>
          </w:tcPr>
          <w:p w14:paraId="0362EAFD">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中国石化销售股份有限公司安徽</w:t>
            </w:r>
            <w:r>
              <w:rPr>
                <w:rFonts w:hint="eastAsia"/>
                <w:color w:val="000000" w:themeColor="text1"/>
                <w:sz w:val="24"/>
                <w:lang w:val="en-US" w:eastAsia="zh-CN"/>
                <w14:textFill>
                  <w14:solidFill>
                    <w14:schemeClr w14:val="tx1"/>
                  </w14:solidFill>
                </w14:textFill>
              </w:rPr>
              <w:t>蚌埠</w:t>
            </w:r>
            <w:r>
              <w:rPr>
                <w:rFonts w:hint="eastAsia"/>
                <w:color w:val="000000" w:themeColor="text1"/>
                <w:sz w:val="24"/>
                <w14:textFill>
                  <w14:solidFill>
                    <w14:schemeClr w14:val="tx1"/>
                  </w14:solidFill>
                </w14:textFill>
              </w:rPr>
              <w:t xml:space="preserve">固镇城北加油站改扩建项目 </w:t>
            </w:r>
          </w:p>
        </w:tc>
      </w:tr>
      <w:tr w14:paraId="42B6DC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57" w:type="pct"/>
            <w:tcMar>
              <w:top w:w="16" w:type="dxa"/>
              <w:left w:w="16" w:type="dxa"/>
              <w:right w:w="16" w:type="dxa"/>
            </w:tcMar>
            <w:vAlign w:val="center"/>
          </w:tcPr>
          <w:p w14:paraId="4252CC0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4242" w:type="pct"/>
            <w:gridSpan w:val="3"/>
            <w:vAlign w:val="center"/>
          </w:tcPr>
          <w:p w14:paraId="7D6910CF">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2501-340323-04-05-668176</w:t>
            </w:r>
          </w:p>
        </w:tc>
      </w:tr>
      <w:tr w14:paraId="3E817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57" w:type="pct"/>
            <w:tcMar>
              <w:top w:w="16" w:type="dxa"/>
              <w:left w:w="16" w:type="dxa"/>
              <w:right w:w="16" w:type="dxa"/>
            </w:tcMar>
            <w:vAlign w:val="center"/>
          </w:tcPr>
          <w:p w14:paraId="7C2B367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1314" w:type="pct"/>
            <w:vAlign w:val="center"/>
          </w:tcPr>
          <w:p w14:paraId="20D5898A">
            <w:pPr>
              <w:adjustRightInd w:val="0"/>
              <w:snapToGrid w:val="0"/>
              <w:jc w:val="center"/>
              <w:rPr>
                <w:color w:val="000000" w:themeColor="text1"/>
                <w:sz w:val="24"/>
                <w14:textFill>
                  <w14:solidFill>
                    <w14:schemeClr w14:val="tx1"/>
                  </w14:solidFill>
                </w14:textFill>
              </w:rPr>
            </w:pPr>
            <w:r>
              <w:rPr>
                <w:rFonts w:hint="eastAsia"/>
                <w:sz w:val="24"/>
              </w:rPr>
              <w:t>王万旭</w:t>
            </w:r>
          </w:p>
        </w:tc>
        <w:tc>
          <w:tcPr>
            <w:tcW w:w="1138" w:type="pct"/>
            <w:vAlign w:val="center"/>
          </w:tcPr>
          <w:p w14:paraId="3B0A34F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1789" w:type="pct"/>
            <w:vAlign w:val="center"/>
          </w:tcPr>
          <w:p w14:paraId="119FE784">
            <w:pPr>
              <w:adjustRightInd w:val="0"/>
              <w:snapToGrid w:val="0"/>
              <w:jc w:val="center"/>
              <w:rPr>
                <w:color w:val="000000" w:themeColor="text1"/>
                <w:sz w:val="24"/>
                <w14:textFill>
                  <w14:solidFill>
                    <w14:schemeClr w14:val="tx1"/>
                  </w14:solidFill>
                </w14:textFill>
              </w:rPr>
            </w:pPr>
            <w:bookmarkStart w:id="5" w:name="_GoBack"/>
            <w:r>
              <w:rPr>
                <w:rFonts w:hint="eastAsia"/>
                <w:sz w:val="24"/>
              </w:rPr>
              <w:t>19155017175</w:t>
            </w:r>
            <w:bookmarkEnd w:id="5"/>
          </w:p>
        </w:tc>
      </w:tr>
      <w:tr w14:paraId="20D671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57" w:type="pct"/>
            <w:tcMar>
              <w:top w:w="16" w:type="dxa"/>
              <w:left w:w="16" w:type="dxa"/>
              <w:right w:w="16" w:type="dxa"/>
            </w:tcMar>
            <w:vAlign w:val="center"/>
          </w:tcPr>
          <w:p w14:paraId="075A039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4242" w:type="pct"/>
            <w:gridSpan w:val="3"/>
            <w:vAlign w:val="center"/>
          </w:tcPr>
          <w:p w14:paraId="23481EE8">
            <w:pPr>
              <w:adjustRightInd w:val="0"/>
              <w:snapToGrid w:val="0"/>
              <w:jc w:val="center"/>
              <w:rPr>
                <w:color w:val="000000" w:themeColor="text1"/>
                <w:sz w:val="24"/>
                <w14:textFill>
                  <w14:solidFill>
                    <w14:schemeClr w14:val="tx1"/>
                  </w14:solidFill>
                </w14:textFill>
              </w:rPr>
            </w:pPr>
            <w:r>
              <w:rPr>
                <w:sz w:val="24"/>
              </w:rPr>
              <w:t>蚌埠市</w:t>
            </w:r>
            <w:r>
              <w:rPr>
                <w:rFonts w:hint="eastAsia"/>
                <w:sz w:val="24"/>
              </w:rPr>
              <w:t>固镇</w:t>
            </w:r>
            <w:r>
              <w:rPr>
                <w:sz w:val="24"/>
              </w:rPr>
              <w:t>县</w:t>
            </w:r>
            <w:r>
              <w:rPr>
                <w:rFonts w:hint="eastAsia"/>
                <w:sz w:val="24"/>
              </w:rPr>
              <w:t>101省道</w:t>
            </w:r>
            <w:r>
              <w:rPr>
                <w:rFonts w:hint="eastAsia"/>
                <w:color w:val="000000" w:themeColor="text1"/>
                <w:sz w:val="24"/>
                <w14:textFill>
                  <w14:solidFill>
                    <w14:schemeClr w14:val="tx1"/>
                  </w14:solidFill>
                </w14:textFill>
              </w:rPr>
              <w:t>固镇城北现有加油站内</w:t>
            </w:r>
          </w:p>
        </w:tc>
      </w:tr>
      <w:tr w14:paraId="35E905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57" w:type="pct"/>
            <w:tcMar>
              <w:top w:w="16" w:type="dxa"/>
              <w:left w:w="16" w:type="dxa"/>
              <w:right w:w="16" w:type="dxa"/>
            </w:tcMar>
            <w:vAlign w:val="center"/>
          </w:tcPr>
          <w:p w14:paraId="5DCBAB22">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4242" w:type="pct"/>
            <w:gridSpan w:val="3"/>
            <w:vAlign w:val="center"/>
          </w:tcPr>
          <w:p w14:paraId="69712D70">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color w:val="000000" w:themeColor="text1"/>
                <w:sz w:val="24"/>
                <w:u w:val="single"/>
                <w14:textFill>
                  <w14:solidFill>
                    <w14:schemeClr w14:val="tx1"/>
                  </w14:solidFill>
                </w14:textFill>
              </w:rPr>
              <w:t xml:space="preserve"> 117</w:t>
            </w:r>
            <w:r>
              <w:rPr>
                <w:color w:val="000000" w:themeColor="text1"/>
                <w:sz w:val="24"/>
                <w14:textFill>
                  <w14:solidFill>
                    <w14:schemeClr w14:val="tx1"/>
                  </w14:solidFill>
                </w14:textFill>
              </w:rPr>
              <w:t>度</w:t>
            </w:r>
            <w:r>
              <w:rPr>
                <w:rFonts w:hint="eastAsia"/>
                <w:color w:val="000000" w:themeColor="text1"/>
                <w:sz w:val="24"/>
                <w:u w:val="single"/>
                <w14:textFill>
                  <w14:solidFill>
                    <w14:schemeClr w14:val="tx1"/>
                  </w14:solidFill>
                </w14:textFill>
              </w:rPr>
              <w:t>19</w:t>
            </w:r>
            <w:r>
              <w:rPr>
                <w:color w:val="000000" w:themeColor="text1"/>
                <w:sz w:val="24"/>
                <w14:textFill>
                  <w14:solidFill>
                    <w14:schemeClr w14:val="tx1"/>
                  </w14:solidFill>
                </w14:textFill>
              </w:rPr>
              <w:t>分</w:t>
            </w:r>
            <w:r>
              <w:rPr>
                <w:rFonts w:hint="eastAsia"/>
                <w:color w:val="000000" w:themeColor="text1"/>
                <w:sz w:val="24"/>
                <w:u w:val="single"/>
                <w14:textFill>
                  <w14:solidFill>
                    <w14:schemeClr w14:val="tx1"/>
                  </w14:solidFill>
                </w14:textFill>
              </w:rPr>
              <w:t>35.605</w:t>
            </w:r>
            <w:r>
              <w:rPr>
                <w:color w:val="000000" w:themeColor="text1"/>
                <w:sz w:val="24"/>
                <w14:textFill>
                  <w14:solidFill>
                    <w14:schemeClr w14:val="tx1"/>
                  </w14:solidFill>
                </w14:textFill>
              </w:rPr>
              <w:t>秒，</w:t>
            </w:r>
            <w:r>
              <w:rPr>
                <w:color w:val="000000" w:themeColor="text1"/>
                <w:sz w:val="24"/>
                <w:u w:val="single"/>
                <w14:textFill>
                  <w14:solidFill>
                    <w14:schemeClr w14:val="tx1"/>
                  </w14:solidFill>
                </w14:textFill>
              </w:rPr>
              <w:t>3</w:t>
            </w:r>
            <w:r>
              <w:rPr>
                <w:rFonts w:hint="eastAsia"/>
                <w:color w:val="000000" w:themeColor="text1"/>
                <w:sz w:val="24"/>
                <w:u w:val="single"/>
                <w14:textFill>
                  <w14:solidFill>
                    <w14:schemeClr w14:val="tx1"/>
                  </w14:solidFill>
                </w14:textFill>
              </w:rPr>
              <w:t>3</w:t>
            </w:r>
            <w:r>
              <w:rPr>
                <w:color w:val="000000" w:themeColor="text1"/>
                <w:sz w:val="24"/>
                <w14:textFill>
                  <w14:solidFill>
                    <w14:schemeClr w14:val="tx1"/>
                  </w14:solidFill>
                </w14:textFill>
              </w:rPr>
              <w:t>度</w:t>
            </w:r>
            <w:r>
              <w:rPr>
                <w:rFonts w:hint="eastAsia"/>
                <w:color w:val="000000" w:themeColor="text1"/>
                <w:sz w:val="24"/>
                <w:u w:val="single"/>
                <w14:textFill>
                  <w14:solidFill>
                    <w14:schemeClr w14:val="tx1"/>
                  </w14:solidFill>
                </w14:textFill>
              </w:rPr>
              <w:t>19</w:t>
            </w:r>
            <w:r>
              <w:rPr>
                <w:color w:val="000000" w:themeColor="text1"/>
                <w:sz w:val="24"/>
                <w14:textFill>
                  <w14:solidFill>
                    <w14:schemeClr w14:val="tx1"/>
                  </w14:solidFill>
                </w14:textFill>
              </w:rPr>
              <w:t>分</w:t>
            </w:r>
            <w:r>
              <w:rPr>
                <w:rFonts w:hint="eastAsia"/>
                <w:color w:val="000000" w:themeColor="text1"/>
                <w:sz w:val="24"/>
                <w:u w:val="single"/>
                <w14:textFill>
                  <w14:solidFill>
                    <w14:schemeClr w14:val="tx1"/>
                  </w14:solidFill>
                </w14:textFill>
              </w:rPr>
              <w:t>17.731</w:t>
            </w:r>
            <w:r>
              <w:rPr>
                <w:color w:val="000000" w:themeColor="text1"/>
                <w:sz w:val="24"/>
                <w14:textFill>
                  <w14:solidFill>
                    <w14:schemeClr w14:val="tx1"/>
                  </w14:solidFill>
                </w14:textFill>
              </w:rPr>
              <w:t>秒）</w:t>
            </w:r>
          </w:p>
        </w:tc>
      </w:tr>
      <w:tr w14:paraId="6E7F56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57" w:type="pct"/>
            <w:tcMar>
              <w:top w:w="16" w:type="dxa"/>
              <w:left w:w="16" w:type="dxa"/>
              <w:right w:w="16" w:type="dxa"/>
            </w:tcMar>
            <w:vAlign w:val="center"/>
          </w:tcPr>
          <w:p w14:paraId="478D2A2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14:paraId="0D95F60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1314" w:type="pct"/>
            <w:vAlign w:val="center"/>
          </w:tcPr>
          <w:p w14:paraId="4D0B38D0">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F5265 机动车燃油零售</w:t>
            </w:r>
          </w:p>
        </w:tc>
        <w:tc>
          <w:tcPr>
            <w:tcW w:w="1138" w:type="pct"/>
            <w:vAlign w:val="center"/>
          </w:tcPr>
          <w:p w14:paraId="428F6319">
            <w:pPr>
              <w:adjustRightInd w:val="0"/>
              <w:snapToGrid w:val="0"/>
              <w:jc w:val="center"/>
              <w:rPr>
                <w:color w:val="000000" w:themeColor="text1"/>
                <w:sz w:val="24"/>
                <w14:textFill>
                  <w14:solidFill>
                    <w14:schemeClr w14:val="tx1"/>
                  </w14:solidFill>
                </w14:textFill>
              </w:rPr>
            </w:pPr>
            <w:bookmarkStart w:id="1" w:name="_Hlk49843745"/>
            <w:r>
              <w:rPr>
                <w:color w:val="000000" w:themeColor="text1"/>
                <w:sz w:val="24"/>
                <w14:textFill>
                  <w14:solidFill>
                    <w14:schemeClr w14:val="tx1"/>
                  </w14:solidFill>
                </w14:textFill>
              </w:rPr>
              <w:t>建设项目</w:t>
            </w:r>
          </w:p>
          <w:p w14:paraId="11D9804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1"/>
          </w:p>
        </w:tc>
        <w:tc>
          <w:tcPr>
            <w:tcW w:w="1789" w:type="pct"/>
            <w:vAlign w:val="center"/>
          </w:tcPr>
          <w:p w14:paraId="601A5D6F">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五十、社会事业与服务业-119、加油、加气站-城市建成区新建加油站</w:t>
            </w:r>
          </w:p>
        </w:tc>
      </w:tr>
      <w:tr w14:paraId="77B924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57" w:type="pct"/>
            <w:tcMar>
              <w:top w:w="16" w:type="dxa"/>
              <w:left w:w="16" w:type="dxa"/>
              <w:right w:w="16" w:type="dxa"/>
            </w:tcMar>
            <w:vAlign w:val="center"/>
          </w:tcPr>
          <w:p w14:paraId="2613F0D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1314" w:type="pct"/>
            <w:vAlign w:val="center"/>
          </w:tcPr>
          <w:p w14:paraId="660AEE53">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新建（迁建）</w:t>
            </w:r>
          </w:p>
          <w:p w14:paraId="4C65C2EA">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改建</w:t>
            </w:r>
          </w:p>
          <w:p w14:paraId="76F35FE6">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□扩建</w:t>
            </w:r>
          </w:p>
          <w:p w14:paraId="71B2F309">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□技术改造</w:t>
            </w:r>
          </w:p>
        </w:tc>
        <w:tc>
          <w:tcPr>
            <w:tcW w:w="1138" w:type="pct"/>
            <w:vAlign w:val="center"/>
          </w:tcPr>
          <w:p w14:paraId="7922A37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14:paraId="40E60E8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1789" w:type="pct"/>
            <w:vAlign w:val="center"/>
          </w:tcPr>
          <w:p w14:paraId="54C84C73">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■首次申报项目</w:t>
            </w:r>
          </w:p>
          <w:p w14:paraId="2329B7D6">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□不予批准后再次申报项目</w:t>
            </w:r>
          </w:p>
          <w:p w14:paraId="127E6157">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□超五年重新审核项目</w:t>
            </w:r>
          </w:p>
          <w:p w14:paraId="1568FCDB">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□重大变动重新报批项目</w:t>
            </w:r>
          </w:p>
        </w:tc>
      </w:tr>
      <w:tr w14:paraId="07C5EA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57" w:type="pct"/>
            <w:tcMar>
              <w:top w:w="16" w:type="dxa"/>
              <w:left w:w="16" w:type="dxa"/>
              <w:right w:w="16" w:type="dxa"/>
            </w:tcMar>
            <w:vAlign w:val="center"/>
          </w:tcPr>
          <w:p w14:paraId="14BAB652">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项目审批（核准/备案）部门（选填）</w:t>
            </w:r>
          </w:p>
        </w:tc>
        <w:tc>
          <w:tcPr>
            <w:tcW w:w="1314" w:type="pct"/>
            <w:vAlign w:val="center"/>
          </w:tcPr>
          <w:p w14:paraId="59F11DA9">
            <w:pPr>
              <w:adjustRightInd w:val="0"/>
              <w:snapToGrid w:val="0"/>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固镇县</w:t>
            </w:r>
            <w:r>
              <w:rPr>
                <w:rFonts w:hint="eastAsia"/>
                <w:color w:val="000000" w:themeColor="text1"/>
                <w:sz w:val="24"/>
                <w14:textFill>
                  <w14:solidFill>
                    <w14:schemeClr w14:val="tx1"/>
                  </w14:solidFill>
                </w14:textFill>
              </w:rPr>
              <w:t>发展和改革委员会</w:t>
            </w:r>
          </w:p>
        </w:tc>
        <w:tc>
          <w:tcPr>
            <w:tcW w:w="1138" w:type="pct"/>
            <w:vAlign w:val="center"/>
          </w:tcPr>
          <w:p w14:paraId="120BCD3D">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项目审批（核准/备案）文号（选填）</w:t>
            </w:r>
          </w:p>
        </w:tc>
        <w:tc>
          <w:tcPr>
            <w:tcW w:w="1789" w:type="pct"/>
            <w:vAlign w:val="center"/>
          </w:tcPr>
          <w:p w14:paraId="69CD65C3">
            <w:pPr>
              <w:adjustRightInd w:val="0"/>
              <w:snapToGrid w:val="0"/>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w:t>
            </w:r>
          </w:p>
        </w:tc>
      </w:tr>
      <w:tr w14:paraId="2FEF03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57" w:type="pct"/>
            <w:tcMar>
              <w:top w:w="16" w:type="dxa"/>
              <w:left w:w="16" w:type="dxa"/>
              <w:right w:w="16" w:type="dxa"/>
            </w:tcMar>
            <w:vAlign w:val="center"/>
          </w:tcPr>
          <w:p w14:paraId="4EBED90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1314" w:type="pct"/>
            <w:vAlign w:val="center"/>
          </w:tcPr>
          <w:p w14:paraId="0A987FF8">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194.05</w:t>
            </w:r>
          </w:p>
        </w:tc>
        <w:tc>
          <w:tcPr>
            <w:tcW w:w="1138" w:type="pct"/>
            <w:tcMar>
              <w:top w:w="16" w:type="dxa"/>
              <w:left w:w="16" w:type="dxa"/>
              <w:right w:w="16" w:type="dxa"/>
            </w:tcMar>
            <w:vAlign w:val="center"/>
          </w:tcPr>
          <w:p w14:paraId="1771F6D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1789" w:type="pct"/>
            <w:vAlign w:val="center"/>
          </w:tcPr>
          <w:p w14:paraId="0A170387">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40</w:t>
            </w:r>
          </w:p>
        </w:tc>
      </w:tr>
      <w:tr w14:paraId="6FC7E1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57" w:type="pct"/>
            <w:tcMar>
              <w:top w:w="16" w:type="dxa"/>
              <w:left w:w="16" w:type="dxa"/>
              <w:right w:w="16" w:type="dxa"/>
            </w:tcMar>
            <w:vAlign w:val="center"/>
          </w:tcPr>
          <w:p w14:paraId="7F6E941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1314" w:type="pct"/>
            <w:vAlign w:val="center"/>
          </w:tcPr>
          <w:p w14:paraId="503425EC">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17.91%</w:t>
            </w:r>
          </w:p>
        </w:tc>
        <w:tc>
          <w:tcPr>
            <w:tcW w:w="1138" w:type="pct"/>
            <w:tcMar>
              <w:top w:w="16" w:type="dxa"/>
              <w:left w:w="16" w:type="dxa"/>
              <w:right w:w="16" w:type="dxa"/>
            </w:tcMar>
            <w:vAlign w:val="center"/>
          </w:tcPr>
          <w:p w14:paraId="7B9FBA6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1789" w:type="pct"/>
            <w:vAlign w:val="center"/>
          </w:tcPr>
          <w:p w14:paraId="39BF024C">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rFonts w:hAnsi="宋体"/>
                <w:color w:val="000000" w:themeColor="text1"/>
                <w:sz w:val="24"/>
                <w14:textFill>
                  <w14:solidFill>
                    <w14:schemeClr w14:val="tx1"/>
                  </w14:solidFill>
                </w14:textFill>
              </w:rPr>
              <w:t>个月</w:t>
            </w:r>
          </w:p>
        </w:tc>
      </w:tr>
      <w:tr w14:paraId="25E08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57" w:type="pct"/>
            <w:tcMar>
              <w:top w:w="16" w:type="dxa"/>
              <w:left w:w="16" w:type="dxa"/>
              <w:right w:w="16" w:type="dxa"/>
            </w:tcMar>
            <w:vAlign w:val="center"/>
          </w:tcPr>
          <w:p w14:paraId="6219EEBA">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1314" w:type="pct"/>
            <w:vAlign w:val="center"/>
          </w:tcPr>
          <w:p w14:paraId="17E84DAF">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p w14:paraId="45F8EC92">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□是：</w:t>
            </w:r>
            <w:r>
              <w:rPr>
                <w:rFonts w:hint="eastAsia"/>
                <w:color w:val="000000" w:themeColor="text1"/>
                <w:sz w:val="24"/>
                <w:u w:val="single"/>
                <w14:textFill>
                  <w14:solidFill>
                    <w14:schemeClr w14:val="tx1"/>
                  </w14:solidFill>
                </w14:textFill>
              </w:rPr>
              <w:t xml:space="preserve"> </w:t>
            </w:r>
            <w:r>
              <w:rPr>
                <w:color w:val="000000" w:themeColor="text1"/>
                <w:sz w:val="24"/>
                <w:u w:val="single"/>
                <w14:textFill>
                  <w14:solidFill>
                    <w14:schemeClr w14:val="tx1"/>
                  </w14:solidFill>
                </w14:textFill>
              </w:rPr>
              <w:t xml:space="preserve">            </w:t>
            </w:r>
          </w:p>
        </w:tc>
        <w:tc>
          <w:tcPr>
            <w:tcW w:w="1138" w:type="pct"/>
            <w:tcMar>
              <w:top w:w="16" w:type="dxa"/>
              <w:left w:w="16" w:type="dxa"/>
              <w:right w:w="16" w:type="dxa"/>
            </w:tcMar>
            <w:vAlign w:val="center"/>
          </w:tcPr>
          <w:p w14:paraId="79986724">
            <w:pPr>
              <w:adjustRightInd w:val="0"/>
              <w:snapToGrid w:val="0"/>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用地（用海）</w:t>
            </w:r>
          </w:p>
          <w:p w14:paraId="66B9C291">
            <w:pPr>
              <w:adjustRightInd w:val="0"/>
              <w:snapToGrid w:val="0"/>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1789" w:type="pct"/>
            <w:vAlign w:val="center"/>
          </w:tcPr>
          <w:p w14:paraId="7F6A237E">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14:paraId="60B9A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57" w:type="pct"/>
            <w:vAlign w:val="center"/>
          </w:tcPr>
          <w:p w14:paraId="3251380D">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4242" w:type="pct"/>
            <w:gridSpan w:val="3"/>
            <w:vAlign w:val="center"/>
          </w:tcPr>
          <w:p w14:paraId="70E01CB1">
            <w:pPr>
              <w:autoSpaceDE w:val="0"/>
              <w:autoSpaceDN w:val="0"/>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无</w:t>
            </w:r>
          </w:p>
        </w:tc>
      </w:tr>
      <w:tr w14:paraId="1E93F3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7" w:hRule="atLeast"/>
          <w:jc w:val="center"/>
        </w:trPr>
        <w:tc>
          <w:tcPr>
            <w:tcW w:w="757" w:type="pct"/>
            <w:vAlign w:val="center"/>
          </w:tcPr>
          <w:p w14:paraId="4D5E237E">
            <w:pPr>
              <w:autoSpaceDE w:val="0"/>
              <w:autoSpaceDN w:val="0"/>
              <w:adjustRightInd w:val="0"/>
              <w:snapToGrid w:val="0"/>
              <w:rPr>
                <w:color w:val="000000" w:themeColor="text1"/>
                <w:sz w:val="24"/>
                <w14:textFill>
                  <w14:solidFill>
                    <w14:schemeClr w14:val="tx1"/>
                  </w14:solidFill>
                </w14:textFill>
              </w:rPr>
            </w:pPr>
          </w:p>
          <w:p w14:paraId="2F846CFF">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4242" w:type="pct"/>
            <w:gridSpan w:val="3"/>
            <w:vAlign w:val="center"/>
          </w:tcPr>
          <w:p w14:paraId="06562C69">
            <w:pPr>
              <w:numPr>
                <w:ilvl w:val="0"/>
                <w:numId w:val="2"/>
              </w:numPr>
              <w:spacing w:line="50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规划名称：《蚌埠市城市总体规划（2012—2030年）》</w:t>
            </w:r>
          </w:p>
          <w:p w14:paraId="32F26D58">
            <w:pPr>
              <w:numPr>
                <w:ilvl w:val="0"/>
                <w:numId w:val="2"/>
              </w:numPr>
              <w:spacing w:line="500" w:lineRule="exact"/>
              <w:ind w:firstLine="480" w:firstLineChars="200"/>
              <w:rPr>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审查单位：安徽省人民政府 </w:t>
            </w:r>
          </w:p>
          <w:p w14:paraId="1959A176">
            <w:pPr>
              <w:numPr>
                <w:ilvl w:val="0"/>
                <w:numId w:val="2"/>
              </w:numPr>
              <w:spacing w:line="500" w:lineRule="exact"/>
              <w:ind w:firstLine="480" w:firstLineChars="200"/>
              <w:rPr>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审查文件名称及文号：《安徽省人民政府关于蚌埠市城市总体规划的批复》，皖政秘[2014]177号</w:t>
            </w:r>
          </w:p>
        </w:tc>
      </w:tr>
      <w:tr w14:paraId="733E5B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6" w:hRule="atLeast"/>
          <w:jc w:val="center"/>
        </w:trPr>
        <w:tc>
          <w:tcPr>
            <w:tcW w:w="757" w:type="pct"/>
            <w:vAlign w:val="center"/>
          </w:tcPr>
          <w:p w14:paraId="2CE5C25F">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规划环境影响评价情况</w:t>
            </w:r>
          </w:p>
        </w:tc>
        <w:tc>
          <w:tcPr>
            <w:tcW w:w="4242" w:type="pct"/>
            <w:gridSpan w:val="3"/>
            <w:vAlign w:val="center"/>
          </w:tcPr>
          <w:p w14:paraId="055E7DFF">
            <w:pPr>
              <w:spacing w:line="500" w:lineRule="exact"/>
              <w:jc w:val="center"/>
              <w:rPr>
                <w:color w:val="000000" w:themeColor="text1"/>
                <w:kern w:val="0"/>
                <w:sz w:val="24"/>
                <w14:textFill>
                  <w14:solidFill>
                    <w14:schemeClr w14:val="tx1"/>
                  </w14:solidFill>
                </w14:textFill>
              </w:rPr>
            </w:pPr>
          </w:p>
          <w:p w14:paraId="15145E0E">
            <w:pPr>
              <w:spacing w:line="500" w:lineRule="exact"/>
              <w:jc w:val="center"/>
              <w:rPr>
                <w:color w:val="000000" w:themeColor="text1"/>
                <w:kern w:val="0"/>
                <w:sz w:val="24"/>
                <w14:textFill>
                  <w14:solidFill>
                    <w14:schemeClr w14:val="tx1"/>
                  </w14:solidFill>
                </w14:textFill>
              </w:rPr>
            </w:pPr>
          </w:p>
          <w:p w14:paraId="4968FE53">
            <w:pPr>
              <w:spacing w:line="500" w:lineRule="exact"/>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无</w:t>
            </w:r>
          </w:p>
          <w:p w14:paraId="5BF19BAE">
            <w:pPr>
              <w:spacing w:line="500" w:lineRule="exact"/>
              <w:jc w:val="center"/>
              <w:rPr>
                <w:color w:val="000000" w:themeColor="text1"/>
                <w:kern w:val="0"/>
                <w:sz w:val="24"/>
                <w14:textFill>
                  <w14:solidFill>
                    <w14:schemeClr w14:val="tx1"/>
                  </w14:solidFill>
                </w14:textFill>
              </w:rPr>
            </w:pPr>
          </w:p>
          <w:p w14:paraId="5EEE40C5">
            <w:pPr>
              <w:spacing w:line="500" w:lineRule="exact"/>
              <w:jc w:val="center"/>
              <w:rPr>
                <w:color w:val="000000" w:themeColor="text1"/>
                <w:kern w:val="0"/>
                <w:sz w:val="24"/>
                <w14:textFill>
                  <w14:solidFill>
                    <w14:schemeClr w14:val="tx1"/>
                  </w14:solidFill>
                </w14:textFill>
              </w:rPr>
            </w:pPr>
          </w:p>
          <w:p w14:paraId="7537A83E">
            <w:pPr>
              <w:spacing w:line="500" w:lineRule="exact"/>
              <w:rPr>
                <w:color w:val="000000" w:themeColor="text1"/>
                <w:kern w:val="0"/>
                <w:sz w:val="24"/>
                <w14:textFill>
                  <w14:solidFill>
                    <w14:schemeClr w14:val="tx1"/>
                  </w14:solidFill>
                </w14:textFill>
              </w:rPr>
            </w:pPr>
          </w:p>
        </w:tc>
      </w:tr>
      <w:tr w14:paraId="3319F3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4" w:hRule="atLeast"/>
          <w:jc w:val="center"/>
        </w:trPr>
        <w:tc>
          <w:tcPr>
            <w:tcW w:w="757" w:type="pct"/>
            <w:vAlign w:val="center"/>
          </w:tcPr>
          <w:p w14:paraId="3A3D4CA1">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 w:val="24"/>
                <w:szCs w:val="21"/>
                <w14:textFill>
                  <w14:solidFill>
                    <w14:schemeClr w14:val="tx1"/>
                  </w14:solidFill>
                </w14:textFill>
              </w:rPr>
              <w:t>规划及规划环境影响评价符合性分析</w:t>
            </w:r>
          </w:p>
        </w:tc>
        <w:tc>
          <w:tcPr>
            <w:tcW w:w="4242" w:type="pct"/>
            <w:gridSpan w:val="3"/>
            <w:vAlign w:val="center"/>
          </w:tcPr>
          <w:p w14:paraId="5CB190A2">
            <w:pPr>
              <w:spacing w:line="500" w:lineRule="atLeas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1、与规划符合性分析 </w:t>
            </w:r>
          </w:p>
          <w:p w14:paraId="23067005">
            <w:pPr>
              <w:spacing w:line="500" w:lineRule="atLeas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项目所在地</w:t>
            </w:r>
            <w:r>
              <w:rPr>
                <w:rFonts w:hint="eastAsia" w:ascii="宋体" w:hAnsi="宋体" w:cs="宋体"/>
                <w:color w:val="000000" w:themeColor="text1"/>
                <w:sz w:val="24"/>
                <w14:textFill>
                  <w14:solidFill>
                    <w14:schemeClr w14:val="tx1"/>
                  </w14:solidFill>
                </w14:textFill>
              </w:rPr>
              <w:t>用地</w:t>
            </w:r>
            <w:r>
              <w:rPr>
                <w:rFonts w:ascii="宋体" w:hAnsi="宋体" w:cs="宋体"/>
                <w:color w:val="000000" w:themeColor="text1"/>
                <w:sz w:val="24"/>
                <w14:textFill>
                  <w14:solidFill>
                    <w14:schemeClr w14:val="tx1"/>
                  </w14:solidFill>
                </w14:textFill>
              </w:rPr>
              <w:t>性质为</w:t>
            </w:r>
            <w:r>
              <w:rPr>
                <w:rFonts w:hint="eastAsia" w:ascii="宋体" w:hAnsi="宋体" w:cs="宋体"/>
                <w:color w:val="000000" w:themeColor="text1"/>
                <w:sz w:val="24"/>
                <w14:textFill>
                  <w14:solidFill>
                    <w14:schemeClr w14:val="tx1"/>
                  </w14:solidFill>
                </w14:textFill>
              </w:rPr>
              <w:t>批发零售用地</w:t>
            </w:r>
            <w:r>
              <w:rPr>
                <w:rFonts w:ascii="宋体" w:hAnsi="宋体" w:cs="宋体"/>
                <w:color w:val="000000" w:themeColor="text1"/>
                <w:sz w:val="24"/>
                <w14:textFill>
                  <w14:solidFill>
                    <w14:schemeClr w14:val="tx1"/>
                  </w14:solidFill>
                </w14:textFill>
              </w:rPr>
              <w:t>。所在地市政管网</w:t>
            </w:r>
            <w:r>
              <w:rPr>
                <w:rFonts w:hint="eastAsia" w:ascii="宋体" w:hAnsi="宋体" w:cs="宋体"/>
                <w:color w:val="000000" w:themeColor="text1"/>
                <w:sz w:val="24"/>
                <w14:textFill>
                  <w14:solidFill>
                    <w14:schemeClr w14:val="tx1"/>
                  </w14:solidFill>
                </w14:textFill>
              </w:rPr>
              <w:t>健全</w:t>
            </w:r>
            <w:r>
              <w:rPr>
                <w:rFonts w:ascii="宋体" w:hAnsi="宋体" w:cs="宋体"/>
                <w:color w:val="000000" w:themeColor="text1"/>
                <w:sz w:val="24"/>
                <w14:textFill>
                  <w14:solidFill>
                    <w14:schemeClr w14:val="tx1"/>
                  </w14:solidFill>
                </w14:textFill>
              </w:rPr>
              <w:t>，地理位置优越，交通便利，供水、供电、通讯、生活垃圾处理等基础设施较完善，且项目已</w:t>
            </w:r>
            <w:r>
              <w:rPr>
                <w:rFonts w:hint="eastAsia"/>
                <w:color w:val="000000" w:themeColor="text1"/>
                <w:sz w:val="24"/>
                <w14:textFill>
                  <w14:solidFill>
                    <w14:schemeClr w14:val="tx1"/>
                  </w14:solidFill>
                </w14:textFill>
              </w:rPr>
              <w:t>于2025年1月21日取得固镇县发改委备案文件，项目代码：2501-340323-04-05-668176。因此，项目用地符合《蚌埠市城市总体规划（2012—2030 年）》中用地要求。</w:t>
            </w:r>
          </w:p>
          <w:p w14:paraId="49042923">
            <w:pPr>
              <w:spacing w:line="500" w:lineRule="atLeas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 2、用地规划的符合性分析 </w:t>
            </w:r>
          </w:p>
          <w:p w14:paraId="3FAAFBD5">
            <w:pPr>
              <w:spacing w:line="500" w:lineRule="atLeas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本项目位于</w:t>
            </w:r>
            <w:r>
              <w:rPr>
                <w:sz w:val="24"/>
              </w:rPr>
              <w:t>蚌埠市</w:t>
            </w:r>
            <w:r>
              <w:rPr>
                <w:rFonts w:hint="eastAsia"/>
                <w:sz w:val="24"/>
              </w:rPr>
              <w:t>固镇</w:t>
            </w:r>
            <w:r>
              <w:rPr>
                <w:sz w:val="24"/>
              </w:rPr>
              <w:t>县</w:t>
            </w:r>
            <w:r>
              <w:rPr>
                <w:rFonts w:hint="eastAsia"/>
                <w:sz w:val="24"/>
              </w:rPr>
              <w:t>101省道</w:t>
            </w:r>
            <w:r>
              <w:rPr>
                <w:rFonts w:hint="eastAsia"/>
                <w:color w:val="000000" w:themeColor="text1"/>
                <w:sz w:val="24"/>
                <w14:textFill>
                  <w14:solidFill>
                    <w14:schemeClr w14:val="tx1"/>
                  </w14:solidFill>
                </w14:textFill>
              </w:rPr>
              <w:t>固镇城北现有加油站内</w:t>
            </w:r>
            <w:r>
              <w:rPr>
                <w:rFonts w:ascii="宋体" w:hAnsi="宋体" w:cs="宋体"/>
                <w:color w:val="000000" w:themeColor="text1"/>
                <w:sz w:val="24"/>
                <w14:textFill>
                  <w14:solidFill>
                    <w14:schemeClr w14:val="tx1"/>
                  </w14:solidFill>
                </w14:textFill>
              </w:rPr>
              <w:t>。根据</w:t>
            </w:r>
            <w:r>
              <w:rPr>
                <w:rFonts w:hint="eastAsia" w:ascii="宋体" w:hAnsi="宋体" w:cs="宋体"/>
                <w:color w:val="000000" w:themeColor="text1"/>
                <w:sz w:val="24"/>
                <w14:textFill>
                  <w14:solidFill>
                    <w14:schemeClr w14:val="tx1"/>
                  </w14:solidFill>
                </w14:textFill>
              </w:rPr>
              <w:t>产</w:t>
            </w:r>
            <w:r>
              <w:rPr>
                <w:rFonts w:ascii="宋体" w:hAnsi="宋体" w:cs="宋体"/>
                <w:color w:val="000000" w:themeColor="text1"/>
                <w:sz w:val="24"/>
                <w14:textFill>
                  <w14:solidFill>
                    <w14:schemeClr w14:val="tx1"/>
                  </w14:solidFill>
                </w14:textFill>
              </w:rPr>
              <w:t>权证，该地块建设用地性质为</w:t>
            </w:r>
            <w:r>
              <w:rPr>
                <w:rFonts w:hint="eastAsia" w:ascii="宋体" w:hAnsi="宋体" w:cs="宋体"/>
                <w:color w:val="000000" w:themeColor="text1"/>
                <w:sz w:val="24"/>
                <w14:textFill>
                  <w14:solidFill>
                    <w14:schemeClr w14:val="tx1"/>
                  </w14:solidFill>
                </w14:textFill>
              </w:rPr>
              <w:t>批发零售</w:t>
            </w:r>
            <w:r>
              <w:rPr>
                <w:rFonts w:ascii="宋体" w:hAnsi="宋体" w:cs="宋体"/>
                <w:color w:val="000000" w:themeColor="text1"/>
                <w:sz w:val="24"/>
                <w14:textFill>
                  <w14:solidFill>
                    <w14:schemeClr w14:val="tx1"/>
                  </w14:solidFill>
                </w14:textFill>
              </w:rPr>
              <w:t>用地，因此本项目建设符合用地规划要求。</w:t>
            </w:r>
          </w:p>
          <w:p w14:paraId="1D8BE53C">
            <w:pPr>
              <w:spacing w:line="500" w:lineRule="atLeast"/>
              <w:ind w:firstLine="480" w:firstLineChars="200"/>
              <w:rPr>
                <w:color w:val="000000" w:themeColor="text1"/>
                <w:kern w:val="0"/>
                <w:sz w:val="24"/>
                <w14:textFill>
                  <w14:solidFill>
                    <w14:schemeClr w14:val="tx1"/>
                  </w14:solidFill>
                </w14:textFill>
              </w:rPr>
            </w:pPr>
            <w:r>
              <w:rPr>
                <w:rFonts w:ascii="宋体" w:hAnsi="宋体" w:cs="宋体"/>
                <w:color w:val="000000" w:themeColor="text1"/>
                <w:sz w:val="24"/>
                <w14:textFill>
                  <w14:solidFill>
                    <w14:schemeClr w14:val="tx1"/>
                  </w14:solidFill>
                </w14:textFill>
              </w:rPr>
              <w:t>综上所述，本项目不属于《产业结构调整指导目录（20</w:t>
            </w:r>
            <w:r>
              <w:rPr>
                <w:rFonts w:hint="eastAsia" w:ascii="宋体" w:hAnsi="宋体" w:cs="宋体"/>
                <w:color w:val="000000" w:themeColor="text1"/>
                <w:sz w:val="24"/>
                <w14:textFill>
                  <w14:solidFill>
                    <w14:schemeClr w14:val="tx1"/>
                  </w14:solidFill>
                </w14:textFill>
              </w:rPr>
              <w:t>24</w:t>
            </w:r>
            <w:r>
              <w:rPr>
                <w:rFonts w:ascii="宋体" w:hAnsi="宋体" w:cs="宋体"/>
                <w:color w:val="000000" w:themeColor="text1"/>
                <w:sz w:val="24"/>
                <w14:textFill>
                  <w14:solidFill>
                    <w14:schemeClr w14:val="tx1"/>
                  </w14:solidFill>
                </w14:textFill>
              </w:rPr>
              <w:t>年本）》、《市场准入负面清单（2022年版）》等相关产业政策中禁止或淘汰类项目，不在负面清单内，故本项目符合发展规划要求。</w:t>
            </w:r>
          </w:p>
          <w:p w14:paraId="1AE5F3E2">
            <w:pPr>
              <w:spacing w:line="400" w:lineRule="exact"/>
              <w:rPr>
                <w:rFonts w:ascii="宋体" w:hAnsi="宋体" w:cs="宋体"/>
                <w:bCs/>
                <w:color w:val="000000" w:themeColor="text1"/>
                <w:szCs w:val="21"/>
                <w14:textFill>
                  <w14:solidFill>
                    <w14:schemeClr w14:val="tx1"/>
                  </w14:solidFill>
                </w14:textFill>
              </w:rPr>
            </w:pPr>
          </w:p>
          <w:p w14:paraId="02C9EAB7">
            <w:pPr>
              <w:spacing w:line="400" w:lineRule="exact"/>
              <w:rPr>
                <w:rFonts w:ascii="宋体" w:hAnsi="宋体" w:cs="宋体"/>
                <w:bCs/>
                <w:color w:val="000000" w:themeColor="text1"/>
                <w:szCs w:val="21"/>
                <w14:textFill>
                  <w14:solidFill>
                    <w14:schemeClr w14:val="tx1"/>
                  </w14:solidFill>
                </w14:textFill>
              </w:rPr>
            </w:pPr>
          </w:p>
          <w:p w14:paraId="2CF2227B">
            <w:pPr>
              <w:pStyle w:val="12"/>
              <w:rPr>
                <w:rFonts w:ascii="宋体" w:hAnsi="宋体" w:cs="宋体"/>
                <w:bCs/>
                <w:color w:val="000000" w:themeColor="text1"/>
                <w:szCs w:val="21"/>
                <w14:textFill>
                  <w14:solidFill>
                    <w14:schemeClr w14:val="tx1"/>
                  </w14:solidFill>
                </w14:textFill>
              </w:rPr>
            </w:pPr>
          </w:p>
          <w:p w14:paraId="41FC1297"/>
          <w:p w14:paraId="173E1825">
            <w:pPr>
              <w:spacing w:line="400" w:lineRule="exact"/>
              <w:rPr>
                <w:rFonts w:ascii="宋体" w:hAnsi="宋体" w:cs="宋体"/>
                <w:bCs/>
                <w:color w:val="000000" w:themeColor="text1"/>
                <w:szCs w:val="21"/>
                <w14:textFill>
                  <w14:solidFill>
                    <w14:schemeClr w14:val="tx1"/>
                  </w14:solidFill>
                </w14:textFill>
              </w:rPr>
            </w:pPr>
          </w:p>
          <w:p w14:paraId="4430F69F">
            <w:pPr>
              <w:spacing w:line="400" w:lineRule="exact"/>
              <w:rPr>
                <w:rFonts w:ascii="宋体" w:hAnsi="宋体" w:cs="宋体"/>
                <w:bCs/>
                <w:color w:val="000000" w:themeColor="text1"/>
                <w:szCs w:val="21"/>
                <w14:textFill>
                  <w14:solidFill>
                    <w14:schemeClr w14:val="tx1"/>
                  </w14:solidFill>
                </w14:textFill>
              </w:rPr>
            </w:pPr>
          </w:p>
          <w:p w14:paraId="2571FE91">
            <w:pPr>
              <w:spacing w:line="400" w:lineRule="exact"/>
              <w:rPr>
                <w:rFonts w:ascii="宋体" w:hAnsi="宋体" w:cs="宋体"/>
                <w:bCs/>
                <w:color w:val="000000" w:themeColor="text1"/>
                <w:szCs w:val="21"/>
                <w14:textFill>
                  <w14:solidFill>
                    <w14:schemeClr w14:val="tx1"/>
                  </w14:solidFill>
                </w14:textFill>
              </w:rPr>
            </w:pPr>
          </w:p>
          <w:p w14:paraId="213FBB1F">
            <w:pPr>
              <w:spacing w:line="400" w:lineRule="exact"/>
              <w:rPr>
                <w:rFonts w:ascii="宋体" w:hAnsi="宋体" w:cs="宋体"/>
                <w:bCs/>
                <w:color w:val="000000" w:themeColor="text1"/>
                <w:szCs w:val="21"/>
                <w14:textFill>
                  <w14:solidFill>
                    <w14:schemeClr w14:val="tx1"/>
                  </w14:solidFill>
                </w14:textFill>
              </w:rPr>
            </w:pPr>
          </w:p>
          <w:p w14:paraId="24FA61D1">
            <w:pPr>
              <w:spacing w:line="400" w:lineRule="exact"/>
              <w:rPr>
                <w:rFonts w:ascii="宋体" w:hAnsi="宋体" w:cs="宋体"/>
                <w:bCs/>
                <w:color w:val="000000" w:themeColor="text1"/>
                <w:szCs w:val="21"/>
                <w14:textFill>
                  <w14:solidFill>
                    <w14:schemeClr w14:val="tx1"/>
                  </w14:solidFill>
                </w14:textFill>
              </w:rPr>
            </w:pPr>
          </w:p>
          <w:p w14:paraId="34874254">
            <w:pPr>
              <w:spacing w:line="400" w:lineRule="exact"/>
              <w:rPr>
                <w:rFonts w:ascii="宋体" w:hAnsi="宋体" w:cs="宋体"/>
                <w:bCs/>
                <w:color w:val="000000" w:themeColor="text1"/>
                <w:szCs w:val="21"/>
                <w14:textFill>
                  <w14:solidFill>
                    <w14:schemeClr w14:val="tx1"/>
                  </w14:solidFill>
                </w14:textFill>
              </w:rPr>
            </w:pPr>
          </w:p>
          <w:p w14:paraId="44085B38">
            <w:pPr>
              <w:spacing w:line="400" w:lineRule="exact"/>
              <w:rPr>
                <w:rFonts w:ascii="宋体" w:hAnsi="宋体" w:cs="宋体"/>
                <w:bCs/>
                <w:color w:val="000000" w:themeColor="text1"/>
                <w:szCs w:val="21"/>
                <w14:textFill>
                  <w14:solidFill>
                    <w14:schemeClr w14:val="tx1"/>
                  </w14:solidFill>
                </w14:textFill>
              </w:rPr>
            </w:pPr>
          </w:p>
          <w:p w14:paraId="0FA050DC">
            <w:pPr>
              <w:spacing w:line="400" w:lineRule="exact"/>
              <w:rPr>
                <w:rFonts w:ascii="宋体" w:hAnsi="宋体" w:cs="宋体"/>
                <w:bCs/>
                <w:color w:val="000000" w:themeColor="text1"/>
                <w:szCs w:val="21"/>
                <w14:textFill>
                  <w14:solidFill>
                    <w14:schemeClr w14:val="tx1"/>
                  </w14:solidFill>
                </w14:textFill>
              </w:rPr>
            </w:pPr>
          </w:p>
          <w:p w14:paraId="144AAF69">
            <w:pPr>
              <w:spacing w:line="400" w:lineRule="exact"/>
              <w:rPr>
                <w:rFonts w:ascii="宋体" w:hAnsi="宋体" w:cs="宋体"/>
                <w:bCs/>
                <w:color w:val="000000" w:themeColor="text1"/>
                <w:szCs w:val="21"/>
                <w14:textFill>
                  <w14:solidFill>
                    <w14:schemeClr w14:val="tx1"/>
                  </w14:solidFill>
                </w14:textFill>
              </w:rPr>
            </w:pPr>
          </w:p>
          <w:p w14:paraId="10381E6C">
            <w:pPr>
              <w:spacing w:line="400" w:lineRule="exact"/>
              <w:rPr>
                <w:rFonts w:ascii="宋体" w:hAnsi="宋体" w:cs="宋体"/>
                <w:bCs/>
                <w:color w:val="000000" w:themeColor="text1"/>
                <w:szCs w:val="21"/>
                <w14:textFill>
                  <w14:solidFill>
                    <w14:schemeClr w14:val="tx1"/>
                  </w14:solidFill>
                </w14:textFill>
              </w:rPr>
            </w:pPr>
          </w:p>
          <w:p w14:paraId="53F3CF74">
            <w:pPr>
              <w:spacing w:line="400" w:lineRule="exact"/>
              <w:rPr>
                <w:rFonts w:ascii="宋体" w:hAnsi="宋体" w:cs="宋体"/>
                <w:bCs/>
                <w:color w:val="000000" w:themeColor="text1"/>
                <w:szCs w:val="21"/>
                <w14:textFill>
                  <w14:solidFill>
                    <w14:schemeClr w14:val="tx1"/>
                  </w14:solidFill>
                </w14:textFill>
              </w:rPr>
            </w:pPr>
          </w:p>
          <w:p w14:paraId="4B6A7426">
            <w:pPr>
              <w:spacing w:line="400" w:lineRule="exact"/>
              <w:rPr>
                <w:rFonts w:ascii="宋体" w:hAnsi="宋体" w:cs="宋体"/>
                <w:bCs/>
                <w:color w:val="000000" w:themeColor="text1"/>
                <w:szCs w:val="21"/>
                <w14:textFill>
                  <w14:solidFill>
                    <w14:schemeClr w14:val="tx1"/>
                  </w14:solidFill>
                </w14:textFill>
              </w:rPr>
            </w:pPr>
          </w:p>
          <w:p w14:paraId="4DF6BBEE">
            <w:pPr>
              <w:spacing w:line="400" w:lineRule="exact"/>
              <w:rPr>
                <w:rFonts w:ascii="宋体" w:hAnsi="宋体" w:cs="宋体"/>
                <w:bCs/>
                <w:color w:val="000000" w:themeColor="text1"/>
                <w:szCs w:val="21"/>
                <w14:textFill>
                  <w14:solidFill>
                    <w14:schemeClr w14:val="tx1"/>
                  </w14:solidFill>
                </w14:textFill>
              </w:rPr>
            </w:pPr>
          </w:p>
          <w:p w14:paraId="0D948968">
            <w:pPr>
              <w:spacing w:line="400" w:lineRule="exact"/>
              <w:rPr>
                <w:rFonts w:ascii="宋体" w:hAnsi="宋体" w:cs="宋体"/>
                <w:bCs/>
                <w:color w:val="000000" w:themeColor="text1"/>
                <w:szCs w:val="21"/>
                <w14:textFill>
                  <w14:solidFill>
                    <w14:schemeClr w14:val="tx1"/>
                  </w14:solidFill>
                </w14:textFill>
              </w:rPr>
            </w:pPr>
          </w:p>
          <w:p w14:paraId="16681C7F">
            <w:pPr>
              <w:spacing w:line="400" w:lineRule="exact"/>
              <w:rPr>
                <w:rFonts w:ascii="宋体" w:hAnsi="宋体" w:cs="宋体"/>
                <w:bCs/>
                <w:color w:val="000000" w:themeColor="text1"/>
                <w:szCs w:val="21"/>
                <w14:textFill>
                  <w14:solidFill>
                    <w14:schemeClr w14:val="tx1"/>
                  </w14:solidFill>
                </w14:textFill>
              </w:rPr>
            </w:pPr>
          </w:p>
        </w:tc>
      </w:tr>
      <w:tr w14:paraId="286745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24" w:hRule="atLeast"/>
          <w:jc w:val="center"/>
        </w:trPr>
        <w:tc>
          <w:tcPr>
            <w:tcW w:w="757" w:type="pct"/>
            <w:vAlign w:val="center"/>
          </w:tcPr>
          <w:p w14:paraId="058F0FED">
            <w:pPr>
              <w:autoSpaceDE w:val="0"/>
              <w:autoSpaceDN w:val="0"/>
              <w:adjustRightInd w:val="0"/>
              <w:snapToGrid w:val="0"/>
              <w:spacing w:line="500" w:lineRule="atLeast"/>
              <w:ind w:left="-92" w:leftChars="-44" w:right="-109" w:rightChars="-52"/>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4242" w:type="pct"/>
            <w:gridSpan w:val="3"/>
          </w:tcPr>
          <w:p w14:paraId="5C62996A">
            <w:pPr>
              <w:spacing w:line="50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 产业政策符合性</w:t>
            </w:r>
          </w:p>
          <w:p w14:paraId="4DA458B0">
            <w:pPr>
              <w:spacing w:line="500" w:lineRule="exac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不</w:t>
            </w:r>
            <w:r>
              <w:rPr>
                <w:color w:val="000000" w:themeColor="text1"/>
                <w:sz w:val="24"/>
                <w14:textFill>
                  <w14:solidFill>
                    <w14:schemeClr w14:val="tx1"/>
                  </w14:solidFill>
                </w14:textFill>
              </w:rPr>
              <w:t>属于《产业结构调整指导目录（20</w:t>
            </w:r>
            <w:r>
              <w:rPr>
                <w:rFonts w:hint="eastAsia"/>
                <w:color w:val="000000" w:themeColor="text1"/>
                <w:sz w:val="24"/>
                <w14:textFill>
                  <w14:solidFill>
                    <w14:schemeClr w14:val="tx1"/>
                  </w14:solidFill>
                </w14:textFill>
              </w:rPr>
              <w:t>24</w:t>
            </w:r>
            <w:r>
              <w:rPr>
                <w:color w:val="000000" w:themeColor="text1"/>
                <w:sz w:val="24"/>
                <w14:textFill>
                  <w14:solidFill>
                    <w14:schemeClr w14:val="tx1"/>
                  </w14:solidFill>
                </w14:textFill>
              </w:rPr>
              <w:t>年本）》</w:t>
            </w:r>
            <w:r>
              <w:rPr>
                <w:rFonts w:hint="eastAsia"/>
                <w:color w:val="000000" w:themeColor="text1"/>
                <w:sz w:val="24"/>
                <w14:textFill>
                  <w14:solidFill>
                    <w14:schemeClr w14:val="tx1"/>
                  </w14:solidFill>
                </w14:textFill>
              </w:rPr>
              <w:t>限制类、禁止类和淘汰类项目，属于允许</w:t>
            </w:r>
            <w:r>
              <w:rPr>
                <w:color w:val="000000" w:themeColor="text1"/>
                <w:sz w:val="24"/>
                <w14:textFill>
                  <w14:solidFill>
                    <w14:schemeClr w14:val="tx1"/>
                  </w14:solidFill>
                </w14:textFill>
              </w:rPr>
              <w:t>类</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w:t>
            </w:r>
          </w:p>
          <w:p w14:paraId="34EB4855">
            <w:p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②固镇县发改委</w:t>
            </w:r>
            <w:r>
              <w:rPr>
                <w:color w:val="000000" w:themeColor="text1"/>
                <w:sz w:val="24"/>
                <w14:textFill>
                  <w14:solidFill>
                    <w14:schemeClr w14:val="tx1"/>
                  </w14:solidFill>
                </w14:textFill>
              </w:rPr>
              <w:t>审核同意备案（项目编码：</w:t>
            </w:r>
            <w:r>
              <w:rPr>
                <w:rFonts w:hint="eastAsia"/>
                <w:color w:val="000000" w:themeColor="text1"/>
                <w:sz w:val="24"/>
                <w14:textFill>
                  <w14:solidFill>
                    <w14:schemeClr w14:val="tx1"/>
                  </w14:solidFill>
                </w14:textFill>
              </w:rPr>
              <w:t>2501-340323-04-05-668176）</w:t>
            </w:r>
            <w:r>
              <w:rPr>
                <w:color w:val="000000" w:themeColor="text1"/>
                <w:sz w:val="24"/>
                <w14:textFill>
                  <w14:solidFill>
                    <w14:schemeClr w14:val="tx1"/>
                  </w14:solidFill>
                </w14:textFill>
              </w:rPr>
              <w:t>，因此，该项目符合国家和地方产业政策。</w:t>
            </w:r>
          </w:p>
          <w:p w14:paraId="4142AA0A">
            <w:pPr>
              <w:spacing w:line="50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2、与《汽车加油加气加氢站技术标准》（</w:t>
            </w:r>
            <w:r>
              <w:rPr>
                <w:b/>
                <w:bCs/>
                <w:color w:val="000000" w:themeColor="text1"/>
                <w:sz w:val="24"/>
                <w14:textFill>
                  <w14:solidFill>
                    <w14:schemeClr w14:val="tx1"/>
                  </w14:solidFill>
                </w14:textFill>
              </w:rPr>
              <w:t>GB50156-202</w:t>
            </w:r>
            <w:r>
              <w:rPr>
                <w:rFonts w:hint="eastAsia"/>
                <w:b/>
                <w:bCs/>
                <w:color w:val="000000" w:themeColor="text1"/>
                <w:sz w:val="24"/>
                <w14:textFill>
                  <w14:solidFill>
                    <w14:schemeClr w14:val="tx1"/>
                  </w14:solidFill>
                </w14:textFill>
              </w:rPr>
              <w:t>1）选址符合性分析</w:t>
            </w:r>
          </w:p>
          <w:p w14:paraId="35820E36">
            <w:pPr>
              <w:spacing w:line="520" w:lineRule="exact"/>
              <w:jc w:val="center"/>
              <w:rPr>
                <w:b/>
                <w:sz w:val="24"/>
              </w:rPr>
            </w:pPr>
            <w:r>
              <w:rPr>
                <w:sz w:val="24"/>
              </w:rPr>
              <w:t>表</w:t>
            </w:r>
            <w:r>
              <w:rPr>
                <w:rFonts w:hint="eastAsia"/>
                <w:sz w:val="24"/>
              </w:rPr>
              <w:t xml:space="preserve">1-1   </w:t>
            </w:r>
            <w:r>
              <w:rPr>
                <w:rFonts w:hint="eastAsia"/>
                <w:b/>
                <w:sz w:val="24"/>
              </w:rPr>
              <w:t>《汽车加油加气加氢站技术标准》选址要求</w:t>
            </w:r>
            <w:r>
              <w:rPr>
                <w:b/>
                <w:sz w:val="24"/>
              </w:rPr>
              <w:t>相符性分析</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4480"/>
              <w:gridCol w:w="2498"/>
              <w:gridCol w:w="757"/>
            </w:tblGrid>
            <w:tr w14:paraId="4985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tcBorders>
                    <w:top w:val="single" w:color="auto" w:sz="4" w:space="0"/>
                    <w:left w:val="single" w:color="auto" w:sz="4" w:space="0"/>
                    <w:bottom w:val="single" w:color="auto" w:sz="4" w:space="0"/>
                    <w:right w:val="single" w:color="auto" w:sz="4" w:space="0"/>
                  </w:tcBorders>
                  <w:vAlign w:val="center"/>
                </w:tcPr>
                <w:p w14:paraId="5967F985">
                  <w:pPr>
                    <w:ind w:left="-105" w:leftChars="-50" w:right="-105" w:rightChars="-50"/>
                    <w:jc w:val="center"/>
                  </w:pPr>
                  <w:r>
                    <w:rPr>
                      <w:rFonts w:hint="eastAsia"/>
                    </w:rPr>
                    <w:t>序号</w:t>
                  </w:r>
                </w:p>
              </w:tc>
              <w:tc>
                <w:tcPr>
                  <w:tcW w:w="2741" w:type="pct"/>
                  <w:tcBorders>
                    <w:top w:val="single" w:color="auto" w:sz="4" w:space="0"/>
                    <w:left w:val="single" w:color="auto" w:sz="4" w:space="0"/>
                    <w:bottom w:val="single" w:color="auto" w:sz="4" w:space="0"/>
                    <w:right w:val="single" w:color="auto" w:sz="4" w:space="0"/>
                  </w:tcBorders>
                  <w:vAlign w:val="center"/>
                </w:tcPr>
                <w:p w14:paraId="04DC3D3C">
                  <w:pPr>
                    <w:ind w:left="-105" w:leftChars="-50" w:right="-105" w:rightChars="-50"/>
                    <w:jc w:val="center"/>
                  </w:pPr>
                  <w:r>
                    <w:rPr>
                      <w:rFonts w:hint="eastAsia"/>
                    </w:rPr>
                    <w:t>规范要求</w:t>
                  </w:r>
                </w:p>
              </w:tc>
              <w:tc>
                <w:tcPr>
                  <w:tcW w:w="1528" w:type="pct"/>
                  <w:tcBorders>
                    <w:top w:val="single" w:color="auto" w:sz="4" w:space="0"/>
                    <w:left w:val="single" w:color="auto" w:sz="4" w:space="0"/>
                    <w:bottom w:val="single" w:color="auto" w:sz="4" w:space="0"/>
                    <w:right w:val="single" w:color="auto" w:sz="4" w:space="0"/>
                  </w:tcBorders>
                  <w:vAlign w:val="center"/>
                </w:tcPr>
                <w:p w14:paraId="1025D914">
                  <w:pPr>
                    <w:ind w:left="-105" w:leftChars="-50" w:right="-105" w:rightChars="-50"/>
                    <w:jc w:val="center"/>
                  </w:pPr>
                  <w:r>
                    <w:rPr>
                      <w:rFonts w:hint="eastAsia"/>
                    </w:rPr>
                    <w:t>企业状况</w:t>
                  </w:r>
                </w:p>
              </w:tc>
              <w:tc>
                <w:tcPr>
                  <w:tcW w:w="463" w:type="pct"/>
                  <w:tcBorders>
                    <w:top w:val="single" w:color="auto" w:sz="4" w:space="0"/>
                    <w:left w:val="single" w:color="auto" w:sz="4" w:space="0"/>
                    <w:bottom w:val="single" w:color="auto" w:sz="4" w:space="0"/>
                    <w:right w:val="single" w:color="auto" w:sz="4" w:space="0"/>
                  </w:tcBorders>
                  <w:vAlign w:val="center"/>
                </w:tcPr>
                <w:p w14:paraId="1705832C">
                  <w:pPr>
                    <w:ind w:left="-105" w:leftChars="-50" w:right="-105" w:rightChars="-50"/>
                    <w:jc w:val="center"/>
                  </w:pPr>
                  <w:r>
                    <w:rPr>
                      <w:rFonts w:hint="eastAsia"/>
                    </w:rPr>
                    <w:t>相符性</w:t>
                  </w:r>
                </w:p>
              </w:tc>
            </w:tr>
            <w:tr w14:paraId="036B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tcBorders>
                    <w:top w:val="single" w:color="auto" w:sz="4" w:space="0"/>
                    <w:left w:val="single" w:color="auto" w:sz="4" w:space="0"/>
                    <w:bottom w:val="single" w:color="auto" w:sz="4" w:space="0"/>
                    <w:right w:val="single" w:color="auto" w:sz="4" w:space="0"/>
                  </w:tcBorders>
                  <w:vAlign w:val="center"/>
                </w:tcPr>
                <w:p w14:paraId="345E2BB9">
                  <w:pPr>
                    <w:jc w:val="center"/>
                  </w:pPr>
                  <w:r>
                    <w:t>1</w:t>
                  </w:r>
                </w:p>
              </w:tc>
              <w:tc>
                <w:tcPr>
                  <w:tcW w:w="2741" w:type="pct"/>
                  <w:tcBorders>
                    <w:top w:val="single" w:color="auto" w:sz="4" w:space="0"/>
                    <w:left w:val="single" w:color="auto" w:sz="4" w:space="0"/>
                    <w:bottom w:val="single" w:color="auto" w:sz="4" w:space="0"/>
                    <w:right w:val="single" w:color="auto" w:sz="4" w:space="0"/>
                  </w:tcBorders>
                  <w:vAlign w:val="center"/>
                </w:tcPr>
                <w:p w14:paraId="1BC035F2">
                  <w:pPr>
                    <w:ind w:left="-105" w:leftChars="-50" w:right="-105" w:rightChars="-50"/>
                    <w:jc w:val="center"/>
                  </w:pPr>
                  <w:r>
                    <w:rPr>
                      <w:rFonts w:hint="eastAsia"/>
                    </w:rPr>
                    <w:t>汽车加油加气加氢站的站址选择应符合有关规划、环境保护和防火安全的要求，并应选在交通便利、用户使用方便的地点。</w:t>
                  </w:r>
                </w:p>
              </w:tc>
              <w:tc>
                <w:tcPr>
                  <w:tcW w:w="1528" w:type="pct"/>
                  <w:vMerge w:val="restart"/>
                  <w:tcBorders>
                    <w:top w:val="single" w:color="auto" w:sz="4" w:space="0"/>
                    <w:left w:val="single" w:color="auto" w:sz="4" w:space="0"/>
                    <w:right w:val="single" w:color="auto" w:sz="4" w:space="0"/>
                  </w:tcBorders>
                  <w:vAlign w:val="center"/>
                </w:tcPr>
                <w:p w14:paraId="37E2414F">
                  <w:pPr>
                    <w:ind w:left="-105" w:leftChars="-50" w:right="-105" w:rightChars="-50"/>
                    <w:jc w:val="center"/>
                  </w:pPr>
                  <w:r>
                    <w:rPr>
                      <w:rFonts w:hint="eastAsia"/>
                    </w:rPr>
                    <w:t>本项目位于</w:t>
                  </w:r>
                  <w:r>
                    <w:t>蚌埠市</w:t>
                  </w:r>
                  <w:r>
                    <w:rPr>
                      <w:rFonts w:hint="eastAsia"/>
                    </w:rPr>
                    <w:t>固镇</w:t>
                  </w:r>
                  <w:r>
                    <w:t>县</w:t>
                  </w:r>
                  <w:r>
                    <w:rPr>
                      <w:rFonts w:hint="eastAsia"/>
                    </w:rPr>
                    <w:t>101省道固镇城北现有加油站内，等级为三级加油站</w:t>
                  </w:r>
                </w:p>
              </w:tc>
              <w:tc>
                <w:tcPr>
                  <w:tcW w:w="463" w:type="pct"/>
                  <w:tcBorders>
                    <w:top w:val="single" w:color="auto" w:sz="4" w:space="0"/>
                    <w:left w:val="single" w:color="auto" w:sz="4" w:space="0"/>
                    <w:bottom w:val="single" w:color="auto" w:sz="4" w:space="0"/>
                    <w:right w:val="single" w:color="auto" w:sz="4" w:space="0"/>
                  </w:tcBorders>
                  <w:vAlign w:val="center"/>
                </w:tcPr>
                <w:p w14:paraId="7DF0369B">
                  <w:pPr>
                    <w:jc w:val="center"/>
                  </w:pPr>
                  <w:r>
                    <w:rPr>
                      <w:rFonts w:hint="eastAsia"/>
                    </w:rPr>
                    <w:t>符合</w:t>
                  </w:r>
                </w:p>
              </w:tc>
            </w:tr>
            <w:tr w14:paraId="5931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tcBorders>
                    <w:top w:val="single" w:color="auto" w:sz="4" w:space="0"/>
                    <w:left w:val="single" w:color="auto" w:sz="4" w:space="0"/>
                    <w:bottom w:val="single" w:color="auto" w:sz="4" w:space="0"/>
                    <w:right w:val="single" w:color="auto" w:sz="4" w:space="0"/>
                  </w:tcBorders>
                  <w:vAlign w:val="center"/>
                </w:tcPr>
                <w:p w14:paraId="5C8BBDAE">
                  <w:pPr>
                    <w:jc w:val="center"/>
                  </w:pPr>
                  <w:r>
                    <w:t>2</w:t>
                  </w:r>
                </w:p>
              </w:tc>
              <w:tc>
                <w:tcPr>
                  <w:tcW w:w="2741" w:type="pct"/>
                  <w:tcBorders>
                    <w:top w:val="single" w:color="auto" w:sz="4" w:space="0"/>
                    <w:left w:val="single" w:color="auto" w:sz="4" w:space="0"/>
                    <w:bottom w:val="single" w:color="auto" w:sz="4" w:space="0"/>
                    <w:right w:val="single" w:color="auto" w:sz="4" w:space="0"/>
                  </w:tcBorders>
                  <w:vAlign w:val="center"/>
                </w:tcPr>
                <w:p w14:paraId="77F8B13F">
                  <w:pPr>
                    <w:ind w:left="-105" w:leftChars="-50" w:right="-105" w:rightChars="-50"/>
                    <w:jc w:val="center"/>
                  </w:pPr>
                  <w:r>
                    <w:rPr>
                      <w:rFonts w:hint="eastAsia"/>
                    </w:rPr>
                    <w:t>在城市中心区不应建一级汽车加油加气加氢站、</w:t>
                  </w:r>
                  <w:r>
                    <w:t xml:space="preserve">CNG </w:t>
                  </w:r>
                  <w:r>
                    <w:rPr>
                      <w:rFonts w:hint="eastAsia"/>
                    </w:rPr>
                    <w:t>加气站。</w:t>
                  </w:r>
                </w:p>
              </w:tc>
              <w:tc>
                <w:tcPr>
                  <w:tcW w:w="1528" w:type="pct"/>
                  <w:vMerge w:val="continue"/>
                  <w:tcBorders>
                    <w:left w:val="single" w:color="auto" w:sz="4" w:space="0"/>
                    <w:right w:val="single" w:color="auto" w:sz="4" w:space="0"/>
                  </w:tcBorders>
                  <w:vAlign w:val="center"/>
                </w:tcPr>
                <w:p w14:paraId="1AB4B374">
                  <w:pPr>
                    <w:ind w:left="-105" w:leftChars="-50" w:right="-105" w:rightChars="-50"/>
                    <w:jc w:val="center"/>
                  </w:pPr>
                </w:p>
              </w:tc>
              <w:tc>
                <w:tcPr>
                  <w:tcW w:w="463" w:type="pct"/>
                  <w:tcBorders>
                    <w:top w:val="single" w:color="auto" w:sz="4" w:space="0"/>
                    <w:left w:val="single" w:color="auto" w:sz="4" w:space="0"/>
                    <w:bottom w:val="single" w:color="auto" w:sz="4" w:space="0"/>
                    <w:right w:val="single" w:color="auto" w:sz="4" w:space="0"/>
                  </w:tcBorders>
                  <w:vAlign w:val="center"/>
                </w:tcPr>
                <w:p w14:paraId="21551C78">
                  <w:pPr>
                    <w:jc w:val="center"/>
                  </w:pPr>
                  <w:r>
                    <w:rPr>
                      <w:rFonts w:hint="eastAsia"/>
                    </w:rPr>
                    <w:t>符合</w:t>
                  </w:r>
                </w:p>
              </w:tc>
            </w:tr>
            <w:tr w14:paraId="40DF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66" w:type="pct"/>
                  <w:tcBorders>
                    <w:top w:val="single" w:color="auto" w:sz="4" w:space="0"/>
                    <w:left w:val="single" w:color="auto" w:sz="4" w:space="0"/>
                    <w:bottom w:val="single" w:color="auto" w:sz="4" w:space="0"/>
                    <w:right w:val="single" w:color="auto" w:sz="4" w:space="0"/>
                  </w:tcBorders>
                  <w:vAlign w:val="center"/>
                </w:tcPr>
                <w:p w14:paraId="6B1DD725">
                  <w:pPr>
                    <w:jc w:val="center"/>
                  </w:pPr>
                  <w:r>
                    <w:t>3</w:t>
                  </w:r>
                </w:p>
              </w:tc>
              <w:tc>
                <w:tcPr>
                  <w:tcW w:w="2741" w:type="pct"/>
                  <w:tcBorders>
                    <w:top w:val="single" w:color="auto" w:sz="4" w:space="0"/>
                    <w:left w:val="single" w:color="auto" w:sz="4" w:space="0"/>
                    <w:bottom w:val="single" w:color="auto" w:sz="4" w:space="0"/>
                    <w:right w:val="single" w:color="auto" w:sz="4" w:space="0"/>
                  </w:tcBorders>
                  <w:vAlign w:val="center"/>
                </w:tcPr>
                <w:p w14:paraId="72D39A47">
                  <w:pPr>
                    <w:ind w:left="-105" w:leftChars="-50" w:right="-105" w:rightChars="-50"/>
                    <w:jc w:val="center"/>
                  </w:pPr>
                  <w:r>
                    <w:rPr>
                      <w:rFonts w:hint="eastAsia"/>
                    </w:rPr>
                    <w:t>城市建成区内的汽车加油加气加氢站宜靠近城市道路，但不宜选在城市干道的交叉路口附近。</w:t>
                  </w:r>
                </w:p>
              </w:tc>
              <w:tc>
                <w:tcPr>
                  <w:tcW w:w="1528" w:type="pct"/>
                  <w:vMerge w:val="continue"/>
                  <w:tcBorders>
                    <w:left w:val="single" w:color="auto" w:sz="4" w:space="0"/>
                    <w:bottom w:val="single" w:color="auto" w:sz="4" w:space="0"/>
                    <w:right w:val="single" w:color="auto" w:sz="4" w:space="0"/>
                  </w:tcBorders>
                  <w:vAlign w:val="center"/>
                </w:tcPr>
                <w:p w14:paraId="3AD28F1A">
                  <w:pPr>
                    <w:ind w:left="-105" w:leftChars="-50" w:right="-105" w:rightChars="-50"/>
                    <w:jc w:val="center"/>
                  </w:pPr>
                </w:p>
              </w:tc>
              <w:tc>
                <w:tcPr>
                  <w:tcW w:w="463" w:type="pct"/>
                  <w:tcBorders>
                    <w:top w:val="single" w:color="auto" w:sz="4" w:space="0"/>
                    <w:left w:val="single" w:color="auto" w:sz="4" w:space="0"/>
                    <w:bottom w:val="single" w:color="auto" w:sz="4" w:space="0"/>
                    <w:right w:val="single" w:color="auto" w:sz="4" w:space="0"/>
                  </w:tcBorders>
                  <w:vAlign w:val="center"/>
                </w:tcPr>
                <w:p w14:paraId="3AC8B548">
                  <w:pPr>
                    <w:jc w:val="center"/>
                  </w:pPr>
                  <w:r>
                    <w:rPr>
                      <w:rFonts w:hint="eastAsia"/>
                    </w:rPr>
                    <w:t>符合</w:t>
                  </w:r>
                </w:p>
              </w:tc>
            </w:tr>
            <w:tr w14:paraId="0172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66" w:type="pct"/>
                  <w:tcBorders>
                    <w:top w:val="single" w:color="auto" w:sz="4" w:space="0"/>
                    <w:left w:val="single" w:color="auto" w:sz="4" w:space="0"/>
                    <w:bottom w:val="single" w:color="auto" w:sz="4" w:space="0"/>
                    <w:right w:val="single" w:color="auto" w:sz="4" w:space="0"/>
                  </w:tcBorders>
                  <w:vAlign w:val="center"/>
                </w:tcPr>
                <w:p w14:paraId="557FF8D1">
                  <w:pPr>
                    <w:jc w:val="center"/>
                  </w:pPr>
                  <w:r>
                    <w:rPr>
                      <w:rFonts w:hint="eastAsia"/>
                    </w:rPr>
                    <w:t>4</w:t>
                  </w:r>
                </w:p>
              </w:tc>
              <w:tc>
                <w:tcPr>
                  <w:tcW w:w="2741" w:type="pct"/>
                  <w:tcBorders>
                    <w:top w:val="single" w:color="auto" w:sz="4" w:space="0"/>
                    <w:left w:val="single" w:color="auto" w:sz="4" w:space="0"/>
                    <w:bottom w:val="single" w:color="auto" w:sz="4" w:space="0"/>
                    <w:right w:val="single" w:color="auto" w:sz="4" w:space="0"/>
                  </w:tcBorders>
                  <w:vAlign w:val="center"/>
                </w:tcPr>
                <w:p w14:paraId="29794723">
                  <w:pPr>
                    <w:ind w:left="-105" w:leftChars="-50" w:right="-105" w:rightChars="-50"/>
                    <w:jc w:val="center"/>
                  </w:pPr>
                  <w:r>
                    <w:rPr>
                      <w:rFonts w:hint="eastAsia"/>
                    </w:rPr>
                    <w:t>加油站、加油加气合建站的汽油设备与站外建</w:t>
                  </w:r>
                  <w:r>
                    <w:t>(</w:t>
                  </w:r>
                  <w:r>
                    <w:rPr>
                      <w:rFonts w:hint="eastAsia"/>
                    </w:rPr>
                    <w:t>构</w:t>
                  </w:r>
                  <w:r>
                    <w:t>)</w:t>
                  </w:r>
                  <w:r>
                    <w:rPr>
                      <w:rFonts w:hint="eastAsia"/>
                    </w:rPr>
                    <w:t>筑物的安全间距，不应小于表</w:t>
                  </w:r>
                  <w:r>
                    <w:t xml:space="preserve">4.0.4 </w:t>
                  </w:r>
                  <w:r>
                    <w:rPr>
                      <w:rFonts w:hint="eastAsia"/>
                    </w:rPr>
                    <w:t>的规定</w:t>
                  </w:r>
                </w:p>
              </w:tc>
              <w:tc>
                <w:tcPr>
                  <w:tcW w:w="1528" w:type="pct"/>
                  <w:tcBorders>
                    <w:top w:val="single" w:color="auto" w:sz="4" w:space="0"/>
                    <w:left w:val="single" w:color="auto" w:sz="4" w:space="0"/>
                    <w:bottom w:val="single" w:color="auto" w:sz="4" w:space="0"/>
                    <w:right w:val="single" w:color="auto" w:sz="4" w:space="0"/>
                  </w:tcBorders>
                  <w:vAlign w:val="center"/>
                </w:tcPr>
                <w:p w14:paraId="2CAAE20F">
                  <w:pPr>
                    <w:ind w:left="-105" w:leftChars="-50" w:right="-105" w:rightChars="-50"/>
                    <w:jc w:val="center"/>
                  </w:pPr>
                  <w:r>
                    <w:t>与站外建（构）筑物安全距离见表</w:t>
                  </w:r>
                  <w:r>
                    <w:rPr>
                      <w:rFonts w:hint="eastAsia"/>
                    </w:rPr>
                    <w:t>1-2和1-3</w:t>
                  </w:r>
                </w:p>
              </w:tc>
              <w:tc>
                <w:tcPr>
                  <w:tcW w:w="463" w:type="pct"/>
                  <w:tcBorders>
                    <w:top w:val="single" w:color="auto" w:sz="4" w:space="0"/>
                    <w:left w:val="single" w:color="auto" w:sz="4" w:space="0"/>
                    <w:bottom w:val="single" w:color="auto" w:sz="4" w:space="0"/>
                    <w:right w:val="single" w:color="auto" w:sz="4" w:space="0"/>
                  </w:tcBorders>
                  <w:vAlign w:val="center"/>
                </w:tcPr>
                <w:p w14:paraId="32AF12D8">
                  <w:pPr>
                    <w:jc w:val="center"/>
                  </w:pPr>
                  <w:r>
                    <w:rPr>
                      <w:rFonts w:hint="eastAsia"/>
                    </w:rPr>
                    <w:t>符合</w:t>
                  </w:r>
                </w:p>
              </w:tc>
            </w:tr>
          </w:tbl>
          <w:p w14:paraId="2B5E5952">
            <w:pPr>
              <w:spacing w:line="520" w:lineRule="exact"/>
              <w:jc w:val="center"/>
              <w:rPr>
                <w:b/>
                <w:sz w:val="24"/>
              </w:rPr>
            </w:pPr>
            <w:r>
              <w:rPr>
                <w:sz w:val="24"/>
              </w:rPr>
              <w:t>表</w:t>
            </w:r>
            <w:r>
              <w:rPr>
                <w:rFonts w:hint="eastAsia"/>
                <w:sz w:val="24"/>
              </w:rPr>
              <w:t xml:space="preserve">1-2   </w:t>
            </w:r>
            <w:r>
              <w:rPr>
                <w:rFonts w:hint="eastAsia"/>
                <w:b/>
                <w:sz w:val="24"/>
              </w:rPr>
              <w:t>汽油工艺设备与站外建（构）筑物的安全间距（m）</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44"/>
              <w:gridCol w:w="853"/>
              <w:gridCol w:w="863"/>
              <w:gridCol w:w="1679"/>
              <w:gridCol w:w="1650"/>
              <w:gridCol w:w="1574"/>
              <w:gridCol w:w="662"/>
            </w:tblGrid>
            <w:tr w14:paraId="072B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pct"/>
                  <w:gridSpan w:val="4"/>
                  <w:vMerge w:val="restart"/>
                  <w:tcBorders>
                    <w:top w:val="single" w:color="auto" w:sz="4" w:space="0"/>
                    <w:left w:val="single" w:color="auto" w:sz="4" w:space="0"/>
                    <w:right w:val="single" w:color="auto" w:sz="4" w:space="0"/>
                  </w:tcBorders>
                  <w:vAlign w:val="center"/>
                </w:tcPr>
                <w:p w14:paraId="5D95643F">
                  <w:pPr>
                    <w:ind w:left="-105" w:leftChars="-50" w:right="-105" w:rightChars="-50"/>
                    <w:jc w:val="center"/>
                  </w:pPr>
                  <w:r>
                    <w:rPr>
                      <w:rFonts w:hint="eastAsia"/>
                    </w:rPr>
                    <w:t>站外建（构）筑物</w:t>
                  </w:r>
                </w:p>
              </w:tc>
              <w:tc>
                <w:tcPr>
                  <w:tcW w:w="2999" w:type="pct"/>
                  <w:gridSpan w:val="3"/>
                  <w:tcBorders>
                    <w:top w:val="single" w:color="auto" w:sz="4" w:space="0"/>
                    <w:left w:val="single" w:color="auto" w:sz="4" w:space="0"/>
                    <w:bottom w:val="single" w:color="auto" w:sz="4" w:space="0"/>
                    <w:right w:val="single" w:color="auto" w:sz="4" w:space="0"/>
                  </w:tcBorders>
                  <w:vAlign w:val="center"/>
                </w:tcPr>
                <w:p w14:paraId="4733B8D7">
                  <w:pPr>
                    <w:ind w:left="-105" w:leftChars="-50" w:right="-105" w:rightChars="-50"/>
                    <w:jc w:val="center"/>
                  </w:pPr>
                  <w:r>
                    <w:t>站内汽油（柴油）工艺设备</w:t>
                  </w:r>
                </w:p>
              </w:tc>
              <w:tc>
                <w:tcPr>
                  <w:tcW w:w="405" w:type="pct"/>
                  <w:vMerge w:val="restart"/>
                  <w:tcBorders>
                    <w:top w:val="single" w:color="auto" w:sz="4" w:space="0"/>
                    <w:left w:val="single" w:color="auto" w:sz="4" w:space="0"/>
                    <w:right w:val="single" w:color="auto" w:sz="4" w:space="0"/>
                  </w:tcBorders>
                  <w:vAlign w:val="center"/>
                </w:tcPr>
                <w:p w14:paraId="2646DA23">
                  <w:pPr>
                    <w:ind w:left="-105" w:leftChars="-50" w:right="-105" w:rightChars="-50"/>
                    <w:jc w:val="center"/>
                  </w:pPr>
                  <w:r>
                    <w:t>符合性</w:t>
                  </w:r>
                </w:p>
              </w:tc>
            </w:tr>
            <w:tr w14:paraId="3D07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pct"/>
                  <w:gridSpan w:val="4"/>
                  <w:vMerge w:val="continue"/>
                  <w:tcBorders>
                    <w:left w:val="single" w:color="auto" w:sz="4" w:space="0"/>
                    <w:bottom w:val="single" w:color="auto" w:sz="4" w:space="0"/>
                    <w:right w:val="single" w:color="auto" w:sz="4" w:space="0"/>
                  </w:tcBorders>
                  <w:vAlign w:val="center"/>
                </w:tcPr>
                <w:p w14:paraId="1FBE9EF4">
                  <w:pPr>
                    <w:ind w:left="-105" w:leftChars="-50" w:right="-105" w:rightChars="-50"/>
                    <w:jc w:val="center"/>
                  </w:pPr>
                </w:p>
              </w:tc>
              <w:tc>
                <w:tcPr>
                  <w:tcW w:w="1027" w:type="pct"/>
                  <w:tcBorders>
                    <w:top w:val="single" w:color="auto" w:sz="4" w:space="0"/>
                    <w:left w:val="single" w:color="auto" w:sz="4" w:space="0"/>
                    <w:right w:val="single" w:color="auto" w:sz="4" w:space="0"/>
                  </w:tcBorders>
                  <w:vAlign w:val="center"/>
                </w:tcPr>
                <w:p w14:paraId="6EE4C28A">
                  <w:pPr>
                    <w:ind w:left="-105" w:leftChars="-50" w:right="-105" w:rightChars="-50"/>
                    <w:jc w:val="center"/>
                  </w:pPr>
                  <w:r>
                    <w:t>地埋油罐（</w:t>
                  </w:r>
                  <w:r>
                    <w:rPr>
                      <w:rFonts w:hint="eastAsia"/>
                    </w:rPr>
                    <w:t>三</w:t>
                  </w:r>
                  <w:r>
                    <w:t>级站）</w:t>
                  </w:r>
                </w:p>
              </w:tc>
              <w:tc>
                <w:tcPr>
                  <w:tcW w:w="1009" w:type="pct"/>
                  <w:tcBorders>
                    <w:top w:val="single" w:color="auto" w:sz="4" w:space="0"/>
                    <w:left w:val="single" w:color="auto" w:sz="4" w:space="0"/>
                    <w:right w:val="single" w:color="auto" w:sz="4" w:space="0"/>
                  </w:tcBorders>
                  <w:vAlign w:val="center"/>
                </w:tcPr>
                <w:p w14:paraId="59082869">
                  <w:pPr>
                    <w:ind w:left="-105" w:leftChars="-50" w:right="-105" w:rightChars="-50"/>
                    <w:jc w:val="center"/>
                  </w:pPr>
                  <w:r>
                    <w:t>油罐通气管口</w:t>
                  </w:r>
                </w:p>
              </w:tc>
              <w:tc>
                <w:tcPr>
                  <w:tcW w:w="963" w:type="pct"/>
                  <w:tcBorders>
                    <w:left w:val="single" w:color="auto" w:sz="4" w:space="0"/>
                    <w:bottom w:val="single" w:color="auto" w:sz="4" w:space="0"/>
                    <w:right w:val="single" w:color="auto" w:sz="4" w:space="0"/>
                  </w:tcBorders>
                  <w:vAlign w:val="center"/>
                </w:tcPr>
                <w:p w14:paraId="29031CC9">
                  <w:pPr>
                    <w:ind w:left="-105" w:leftChars="-50" w:right="-105" w:rightChars="-50"/>
                    <w:jc w:val="center"/>
                  </w:pPr>
                  <w:r>
                    <w:rPr>
                      <w:rFonts w:hint="eastAsia"/>
                    </w:rPr>
                    <w:t>加油机</w:t>
                  </w:r>
                </w:p>
              </w:tc>
              <w:tc>
                <w:tcPr>
                  <w:tcW w:w="405" w:type="pct"/>
                  <w:vMerge w:val="continue"/>
                  <w:tcBorders>
                    <w:left w:val="single" w:color="auto" w:sz="4" w:space="0"/>
                    <w:bottom w:val="single" w:color="auto" w:sz="4" w:space="0"/>
                    <w:right w:val="single" w:color="auto" w:sz="4" w:space="0"/>
                  </w:tcBorders>
                  <w:vAlign w:val="center"/>
                </w:tcPr>
                <w:p w14:paraId="77742049">
                  <w:pPr>
                    <w:jc w:val="center"/>
                  </w:pPr>
                </w:p>
              </w:tc>
            </w:tr>
            <w:tr w14:paraId="2EA0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6498AE5A">
                  <w:pPr>
                    <w:jc w:val="center"/>
                  </w:pPr>
                  <w:r>
                    <w:t>重要公共建筑物</w:t>
                  </w:r>
                </w:p>
              </w:tc>
              <w:tc>
                <w:tcPr>
                  <w:tcW w:w="528" w:type="pct"/>
                  <w:tcBorders>
                    <w:top w:val="single" w:color="auto" w:sz="4" w:space="0"/>
                    <w:left w:val="single" w:color="auto" w:sz="4" w:space="0"/>
                    <w:bottom w:val="single" w:color="auto" w:sz="4" w:space="0"/>
                    <w:right w:val="single" w:color="auto" w:sz="4" w:space="0"/>
                  </w:tcBorders>
                  <w:vAlign w:val="center"/>
                </w:tcPr>
                <w:p w14:paraId="50659766">
                  <w:pPr>
                    <w:ind w:left="-105" w:leftChars="-50" w:right="-105" w:rightChars="-50"/>
                    <w:jc w:val="center"/>
                  </w:pPr>
                  <w:r>
                    <w:t>标准</w:t>
                  </w:r>
                </w:p>
              </w:tc>
              <w:tc>
                <w:tcPr>
                  <w:tcW w:w="1027" w:type="pct"/>
                  <w:tcBorders>
                    <w:left w:val="single" w:color="auto" w:sz="4" w:space="0"/>
                    <w:right w:val="single" w:color="auto" w:sz="4" w:space="0"/>
                  </w:tcBorders>
                  <w:vAlign w:val="center"/>
                </w:tcPr>
                <w:p w14:paraId="646E02B0">
                  <w:pPr>
                    <w:ind w:left="-105" w:leftChars="-50" w:right="-105" w:rightChars="-50"/>
                    <w:jc w:val="center"/>
                  </w:pPr>
                  <w:r>
                    <w:rPr>
                      <w:rFonts w:hint="eastAsia"/>
                    </w:rPr>
                    <w:t>35</w:t>
                  </w:r>
                </w:p>
              </w:tc>
              <w:tc>
                <w:tcPr>
                  <w:tcW w:w="1009" w:type="pct"/>
                  <w:tcBorders>
                    <w:left w:val="single" w:color="auto" w:sz="4" w:space="0"/>
                    <w:right w:val="single" w:color="auto" w:sz="4" w:space="0"/>
                  </w:tcBorders>
                  <w:vAlign w:val="center"/>
                </w:tcPr>
                <w:p w14:paraId="6B6A0396">
                  <w:pPr>
                    <w:ind w:left="-105" w:leftChars="-50" w:right="-105" w:rightChars="-50"/>
                    <w:jc w:val="center"/>
                  </w:pPr>
                  <w:r>
                    <w:rPr>
                      <w:rFonts w:hint="eastAsia"/>
                    </w:rPr>
                    <w:t>35</w:t>
                  </w:r>
                </w:p>
              </w:tc>
              <w:tc>
                <w:tcPr>
                  <w:tcW w:w="963" w:type="pct"/>
                  <w:tcBorders>
                    <w:top w:val="single" w:color="auto" w:sz="4" w:space="0"/>
                    <w:left w:val="single" w:color="auto" w:sz="4" w:space="0"/>
                    <w:right w:val="single" w:color="auto" w:sz="4" w:space="0"/>
                  </w:tcBorders>
                  <w:vAlign w:val="center"/>
                </w:tcPr>
                <w:p w14:paraId="5D186FAD">
                  <w:pPr>
                    <w:ind w:left="-105" w:leftChars="-50" w:right="-105" w:rightChars="-50"/>
                    <w:jc w:val="center"/>
                  </w:pPr>
                  <w:r>
                    <w:rPr>
                      <w:rFonts w:hint="eastAsia"/>
                    </w:rPr>
                    <w:t>35</w:t>
                  </w:r>
                </w:p>
              </w:tc>
              <w:tc>
                <w:tcPr>
                  <w:tcW w:w="405" w:type="pct"/>
                  <w:vMerge w:val="restart"/>
                  <w:tcBorders>
                    <w:top w:val="single" w:color="auto" w:sz="4" w:space="0"/>
                    <w:left w:val="single" w:color="auto" w:sz="4" w:space="0"/>
                    <w:right w:val="single" w:color="auto" w:sz="4" w:space="0"/>
                  </w:tcBorders>
                  <w:vAlign w:val="center"/>
                </w:tcPr>
                <w:p w14:paraId="0D812621">
                  <w:pPr>
                    <w:jc w:val="center"/>
                  </w:pPr>
                  <w:r>
                    <w:t>符合</w:t>
                  </w:r>
                </w:p>
              </w:tc>
            </w:tr>
            <w:tr w14:paraId="6455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5C2151E9">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05503DB3">
                  <w:pPr>
                    <w:ind w:left="-105" w:leftChars="-50" w:right="-105" w:rightChars="-50"/>
                    <w:jc w:val="center"/>
                  </w:pPr>
                  <w:r>
                    <w:t>本项目</w:t>
                  </w:r>
                </w:p>
              </w:tc>
              <w:tc>
                <w:tcPr>
                  <w:tcW w:w="1027" w:type="pct"/>
                  <w:tcBorders>
                    <w:left w:val="single" w:color="auto" w:sz="4" w:space="0"/>
                    <w:bottom w:val="single" w:color="auto" w:sz="4" w:space="0"/>
                    <w:right w:val="single" w:color="auto" w:sz="4" w:space="0"/>
                  </w:tcBorders>
                  <w:vAlign w:val="center"/>
                </w:tcPr>
                <w:p w14:paraId="725BBEA3">
                  <w:pPr>
                    <w:ind w:left="-105" w:leftChars="-50" w:right="-105" w:rightChars="-50"/>
                    <w:jc w:val="center"/>
                  </w:pPr>
                  <w:r>
                    <w:t>不涉及</w:t>
                  </w:r>
                </w:p>
              </w:tc>
              <w:tc>
                <w:tcPr>
                  <w:tcW w:w="1009" w:type="pct"/>
                  <w:tcBorders>
                    <w:left w:val="single" w:color="auto" w:sz="4" w:space="0"/>
                    <w:bottom w:val="single" w:color="auto" w:sz="4" w:space="0"/>
                    <w:right w:val="single" w:color="auto" w:sz="4" w:space="0"/>
                  </w:tcBorders>
                  <w:vAlign w:val="center"/>
                </w:tcPr>
                <w:p w14:paraId="44AD5F69">
                  <w:pPr>
                    <w:ind w:left="-105" w:leftChars="-50" w:right="-105" w:rightChars="-50"/>
                    <w:jc w:val="center"/>
                  </w:pPr>
                  <w:r>
                    <w:t>不涉及</w:t>
                  </w:r>
                </w:p>
              </w:tc>
              <w:tc>
                <w:tcPr>
                  <w:tcW w:w="963" w:type="pct"/>
                  <w:tcBorders>
                    <w:left w:val="single" w:color="auto" w:sz="4" w:space="0"/>
                    <w:bottom w:val="single" w:color="auto" w:sz="4" w:space="0"/>
                    <w:right w:val="single" w:color="auto" w:sz="4" w:space="0"/>
                  </w:tcBorders>
                  <w:vAlign w:val="center"/>
                </w:tcPr>
                <w:p w14:paraId="4A322413">
                  <w:pPr>
                    <w:ind w:left="-105" w:leftChars="-50" w:right="-105" w:rightChars="-50"/>
                    <w:jc w:val="center"/>
                  </w:pPr>
                  <w:r>
                    <w:t>不涉及</w:t>
                  </w:r>
                </w:p>
              </w:tc>
              <w:tc>
                <w:tcPr>
                  <w:tcW w:w="405" w:type="pct"/>
                  <w:vMerge w:val="continue"/>
                  <w:tcBorders>
                    <w:left w:val="single" w:color="auto" w:sz="4" w:space="0"/>
                    <w:bottom w:val="single" w:color="auto" w:sz="4" w:space="0"/>
                    <w:right w:val="single" w:color="auto" w:sz="4" w:space="0"/>
                  </w:tcBorders>
                  <w:vAlign w:val="center"/>
                </w:tcPr>
                <w:p w14:paraId="009EBA15">
                  <w:pPr>
                    <w:jc w:val="center"/>
                  </w:pPr>
                </w:p>
              </w:tc>
            </w:tr>
            <w:tr w14:paraId="16C0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3C7EF688">
                  <w:pPr>
                    <w:jc w:val="center"/>
                  </w:pPr>
                  <w:r>
                    <w:t>明火地点或散发火花地点</w:t>
                  </w:r>
                </w:p>
              </w:tc>
              <w:tc>
                <w:tcPr>
                  <w:tcW w:w="528" w:type="pct"/>
                  <w:tcBorders>
                    <w:top w:val="single" w:color="auto" w:sz="4" w:space="0"/>
                    <w:left w:val="single" w:color="auto" w:sz="4" w:space="0"/>
                    <w:bottom w:val="single" w:color="auto" w:sz="4" w:space="0"/>
                    <w:right w:val="single" w:color="auto" w:sz="4" w:space="0"/>
                  </w:tcBorders>
                  <w:vAlign w:val="center"/>
                </w:tcPr>
                <w:p w14:paraId="6DC4A681">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2C34A0AB">
                  <w:pPr>
                    <w:ind w:left="-105" w:leftChars="-50" w:right="-105" w:rightChars="-50"/>
                    <w:jc w:val="center"/>
                  </w:pPr>
                  <w:r>
                    <w:rPr>
                      <w:rFonts w:hint="eastAsia"/>
                    </w:rPr>
                    <w:t>12.5</w:t>
                  </w:r>
                </w:p>
              </w:tc>
              <w:tc>
                <w:tcPr>
                  <w:tcW w:w="1009" w:type="pct"/>
                  <w:tcBorders>
                    <w:top w:val="single" w:color="auto" w:sz="4" w:space="0"/>
                    <w:left w:val="single" w:color="auto" w:sz="4" w:space="0"/>
                    <w:bottom w:val="single" w:color="auto" w:sz="4" w:space="0"/>
                    <w:right w:val="single" w:color="auto" w:sz="4" w:space="0"/>
                  </w:tcBorders>
                  <w:vAlign w:val="center"/>
                </w:tcPr>
                <w:p w14:paraId="7A04990F">
                  <w:pPr>
                    <w:ind w:left="-105" w:leftChars="-50" w:right="-105" w:rightChars="-50"/>
                    <w:jc w:val="center"/>
                  </w:pPr>
                  <w:r>
                    <w:rPr>
                      <w:rFonts w:hint="eastAsia"/>
                    </w:rPr>
                    <w:t>12.5</w:t>
                  </w:r>
                </w:p>
              </w:tc>
              <w:tc>
                <w:tcPr>
                  <w:tcW w:w="963" w:type="pct"/>
                  <w:tcBorders>
                    <w:top w:val="single" w:color="auto" w:sz="4" w:space="0"/>
                    <w:left w:val="single" w:color="auto" w:sz="4" w:space="0"/>
                    <w:right w:val="single" w:color="auto" w:sz="4" w:space="0"/>
                  </w:tcBorders>
                  <w:vAlign w:val="center"/>
                </w:tcPr>
                <w:p w14:paraId="1D70C598">
                  <w:pPr>
                    <w:ind w:left="-105" w:leftChars="-50" w:right="-105" w:rightChars="-50"/>
                    <w:jc w:val="center"/>
                  </w:pPr>
                  <w:r>
                    <w:rPr>
                      <w:rFonts w:hint="eastAsia"/>
                    </w:rPr>
                    <w:t>12.5</w:t>
                  </w:r>
                </w:p>
              </w:tc>
              <w:tc>
                <w:tcPr>
                  <w:tcW w:w="405" w:type="pct"/>
                  <w:vMerge w:val="restart"/>
                  <w:tcBorders>
                    <w:top w:val="single" w:color="auto" w:sz="4" w:space="0"/>
                    <w:left w:val="single" w:color="auto" w:sz="4" w:space="0"/>
                    <w:right w:val="single" w:color="auto" w:sz="4" w:space="0"/>
                  </w:tcBorders>
                  <w:vAlign w:val="center"/>
                </w:tcPr>
                <w:p w14:paraId="0A59167D">
                  <w:pPr>
                    <w:jc w:val="center"/>
                  </w:pPr>
                  <w:r>
                    <w:t>符合</w:t>
                  </w:r>
                </w:p>
              </w:tc>
            </w:tr>
            <w:tr w14:paraId="6858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6ECAB5E2">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71B0A346">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20749E28">
                  <w:pPr>
                    <w:ind w:left="-105" w:leftChars="-50" w:right="-105" w:rightChars="-50"/>
                    <w:jc w:val="center"/>
                  </w:pPr>
                  <w:r>
                    <w:t>不涉及</w:t>
                  </w:r>
                </w:p>
              </w:tc>
              <w:tc>
                <w:tcPr>
                  <w:tcW w:w="1009" w:type="pct"/>
                  <w:tcBorders>
                    <w:top w:val="single" w:color="auto" w:sz="4" w:space="0"/>
                    <w:left w:val="single" w:color="auto" w:sz="4" w:space="0"/>
                    <w:bottom w:val="single" w:color="auto" w:sz="4" w:space="0"/>
                    <w:right w:val="single" w:color="auto" w:sz="4" w:space="0"/>
                  </w:tcBorders>
                  <w:vAlign w:val="center"/>
                </w:tcPr>
                <w:p w14:paraId="34E42366">
                  <w:pPr>
                    <w:ind w:left="-105" w:leftChars="-50" w:right="-105" w:rightChars="-50"/>
                    <w:jc w:val="center"/>
                  </w:pPr>
                  <w:r>
                    <w:t>不涉及</w:t>
                  </w:r>
                </w:p>
              </w:tc>
              <w:tc>
                <w:tcPr>
                  <w:tcW w:w="963" w:type="pct"/>
                  <w:tcBorders>
                    <w:left w:val="single" w:color="auto" w:sz="4" w:space="0"/>
                    <w:bottom w:val="single" w:color="auto" w:sz="4" w:space="0"/>
                    <w:right w:val="single" w:color="auto" w:sz="4" w:space="0"/>
                  </w:tcBorders>
                  <w:vAlign w:val="center"/>
                </w:tcPr>
                <w:p w14:paraId="2F2EC2BE">
                  <w:pPr>
                    <w:ind w:left="-105" w:leftChars="-50" w:right="-105" w:rightChars="-50"/>
                    <w:jc w:val="center"/>
                  </w:pPr>
                  <w:r>
                    <w:t>不涉及</w:t>
                  </w:r>
                </w:p>
              </w:tc>
              <w:tc>
                <w:tcPr>
                  <w:tcW w:w="405" w:type="pct"/>
                  <w:vMerge w:val="continue"/>
                  <w:tcBorders>
                    <w:left w:val="single" w:color="auto" w:sz="4" w:space="0"/>
                    <w:bottom w:val="single" w:color="auto" w:sz="4" w:space="0"/>
                    <w:right w:val="single" w:color="auto" w:sz="4" w:space="0"/>
                  </w:tcBorders>
                  <w:vAlign w:val="center"/>
                </w:tcPr>
                <w:p w14:paraId="2FF1BFD4">
                  <w:pPr>
                    <w:jc w:val="center"/>
                  </w:pPr>
                </w:p>
              </w:tc>
            </w:tr>
            <w:tr w14:paraId="5FF3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518" w:type="pct"/>
                  <w:vMerge w:val="restart"/>
                  <w:tcBorders>
                    <w:top w:val="single" w:color="auto" w:sz="4" w:space="0"/>
                    <w:left w:val="single" w:color="auto" w:sz="4" w:space="0"/>
                    <w:right w:val="single" w:color="auto" w:sz="4" w:space="0"/>
                  </w:tcBorders>
                  <w:vAlign w:val="center"/>
                </w:tcPr>
                <w:p w14:paraId="34F4966B">
                  <w:pPr>
                    <w:jc w:val="center"/>
                  </w:pPr>
                  <w:r>
                    <w:t>民用建筑物保护类别</w:t>
                  </w:r>
                </w:p>
              </w:tc>
              <w:tc>
                <w:tcPr>
                  <w:tcW w:w="548" w:type="pct"/>
                  <w:gridSpan w:val="2"/>
                  <w:vMerge w:val="restart"/>
                  <w:tcBorders>
                    <w:top w:val="single" w:color="auto" w:sz="4" w:space="0"/>
                    <w:left w:val="single" w:color="auto" w:sz="4" w:space="0"/>
                    <w:right w:val="single" w:color="auto" w:sz="4" w:space="0"/>
                  </w:tcBorders>
                  <w:vAlign w:val="center"/>
                </w:tcPr>
                <w:p w14:paraId="263B60A3">
                  <w:pPr>
                    <w:jc w:val="center"/>
                  </w:pPr>
                  <w:r>
                    <w:t>一类保护物</w:t>
                  </w:r>
                </w:p>
              </w:tc>
              <w:tc>
                <w:tcPr>
                  <w:tcW w:w="528" w:type="pct"/>
                  <w:tcBorders>
                    <w:top w:val="single" w:color="auto" w:sz="4" w:space="0"/>
                    <w:left w:val="single" w:color="auto" w:sz="4" w:space="0"/>
                    <w:bottom w:val="single" w:color="auto" w:sz="4" w:space="0"/>
                    <w:right w:val="single" w:color="auto" w:sz="4" w:space="0"/>
                  </w:tcBorders>
                  <w:vAlign w:val="center"/>
                </w:tcPr>
                <w:p w14:paraId="4EF717EB">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785D6FE1">
                  <w:pPr>
                    <w:ind w:left="-105" w:leftChars="-50" w:right="-105" w:rightChars="-50"/>
                    <w:jc w:val="center"/>
                  </w:pPr>
                  <w:r>
                    <w:rPr>
                      <w:rFonts w:hint="eastAsia"/>
                    </w:rPr>
                    <w:t>11</w:t>
                  </w:r>
                </w:p>
              </w:tc>
              <w:tc>
                <w:tcPr>
                  <w:tcW w:w="1009" w:type="pct"/>
                  <w:tcBorders>
                    <w:top w:val="single" w:color="auto" w:sz="4" w:space="0"/>
                    <w:left w:val="single" w:color="auto" w:sz="4" w:space="0"/>
                    <w:bottom w:val="single" w:color="auto" w:sz="4" w:space="0"/>
                    <w:right w:val="single" w:color="auto" w:sz="4" w:space="0"/>
                  </w:tcBorders>
                  <w:vAlign w:val="center"/>
                </w:tcPr>
                <w:p w14:paraId="3399FEF4">
                  <w:pPr>
                    <w:ind w:left="-105" w:leftChars="-50" w:right="-105" w:rightChars="-50"/>
                    <w:jc w:val="center"/>
                  </w:pPr>
                  <w:r>
                    <w:rPr>
                      <w:rFonts w:hint="eastAsia"/>
                    </w:rPr>
                    <w:t>11</w:t>
                  </w:r>
                </w:p>
              </w:tc>
              <w:tc>
                <w:tcPr>
                  <w:tcW w:w="963" w:type="pct"/>
                  <w:tcBorders>
                    <w:top w:val="single" w:color="auto" w:sz="4" w:space="0"/>
                    <w:left w:val="single" w:color="auto" w:sz="4" w:space="0"/>
                    <w:right w:val="single" w:color="auto" w:sz="4" w:space="0"/>
                  </w:tcBorders>
                  <w:vAlign w:val="center"/>
                </w:tcPr>
                <w:p w14:paraId="35D6A5FE">
                  <w:pPr>
                    <w:ind w:left="-105" w:leftChars="-50" w:right="-105" w:rightChars="-50"/>
                    <w:jc w:val="center"/>
                  </w:pPr>
                  <w:r>
                    <w:rPr>
                      <w:rFonts w:hint="eastAsia"/>
                    </w:rPr>
                    <w:t>11</w:t>
                  </w:r>
                </w:p>
              </w:tc>
              <w:tc>
                <w:tcPr>
                  <w:tcW w:w="405" w:type="pct"/>
                  <w:vMerge w:val="restart"/>
                  <w:tcBorders>
                    <w:top w:val="single" w:color="auto" w:sz="4" w:space="0"/>
                    <w:left w:val="single" w:color="auto" w:sz="4" w:space="0"/>
                    <w:right w:val="single" w:color="auto" w:sz="4" w:space="0"/>
                  </w:tcBorders>
                  <w:vAlign w:val="center"/>
                </w:tcPr>
                <w:p w14:paraId="06AAC277">
                  <w:pPr>
                    <w:jc w:val="center"/>
                  </w:pPr>
                  <w:r>
                    <w:t>符合</w:t>
                  </w:r>
                </w:p>
              </w:tc>
            </w:tr>
            <w:tr w14:paraId="0476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18" w:type="pct"/>
                  <w:vMerge w:val="continue"/>
                  <w:tcBorders>
                    <w:left w:val="single" w:color="auto" w:sz="4" w:space="0"/>
                    <w:right w:val="single" w:color="auto" w:sz="4" w:space="0"/>
                  </w:tcBorders>
                  <w:vAlign w:val="center"/>
                </w:tcPr>
                <w:p w14:paraId="08E3E99E">
                  <w:pPr>
                    <w:jc w:val="center"/>
                  </w:pPr>
                </w:p>
              </w:tc>
              <w:tc>
                <w:tcPr>
                  <w:tcW w:w="548" w:type="pct"/>
                  <w:gridSpan w:val="2"/>
                  <w:vMerge w:val="continue"/>
                  <w:tcBorders>
                    <w:left w:val="single" w:color="auto" w:sz="4" w:space="0"/>
                    <w:right w:val="single" w:color="auto" w:sz="4" w:space="0"/>
                  </w:tcBorders>
                  <w:vAlign w:val="center"/>
                </w:tcPr>
                <w:p w14:paraId="2A861875">
                  <w:pPr>
                    <w:jc w:val="center"/>
                  </w:pPr>
                </w:p>
              </w:tc>
              <w:tc>
                <w:tcPr>
                  <w:tcW w:w="528" w:type="pct"/>
                  <w:tcBorders>
                    <w:top w:val="single" w:color="auto" w:sz="4" w:space="0"/>
                    <w:left w:val="single" w:color="auto" w:sz="4" w:space="0"/>
                    <w:right w:val="single" w:color="auto" w:sz="4" w:space="0"/>
                  </w:tcBorders>
                  <w:vAlign w:val="center"/>
                </w:tcPr>
                <w:p w14:paraId="756513F9">
                  <w:pPr>
                    <w:ind w:left="-105" w:leftChars="-50" w:right="-105" w:rightChars="-50"/>
                    <w:jc w:val="center"/>
                  </w:pPr>
                  <w:r>
                    <w:t>本项目</w:t>
                  </w:r>
                </w:p>
              </w:tc>
              <w:tc>
                <w:tcPr>
                  <w:tcW w:w="1027" w:type="pct"/>
                  <w:tcBorders>
                    <w:top w:val="single" w:color="auto" w:sz="4" w:space="0"/>
                    <w:left w:val="single" w:color="auto" w:sz="4" w:space="0"/>
                    <w:right w:val="single" w:color="auto" w:sz="4" w:space="0"/>
                  </w:tcBorders>
                  <w:vAlign w:val="center"/>
                </w:tcPr>
                <w:p w14:paraId="41BC1EA2">
                  <w:pPr>
                    <w:ind w:left="-105" w:leftChars="-50" w:right="-105" w:rightChars="-50"/>
                    <w:jc w:val="center"/>
                    <w:rPr>
                      <w:szCs w:val="21"/>
                    </w:rPr>
                  </w:pPr>
                  <w:r>
                    <w:t>不涉及</w:t>
                  </w:r>
                </w:p>
              </w:tc>
              <w:tc>
                <w:tcPr>
                  <w:tcW w:w="1009" w:type="pct"/>
                  <w:tcBorders>
                    <w:top w:val="single" w:color="auto" w:sz="4" w:space="0"/>
                    <w:left w:val="single" w:color="auto" w:sz="4" w:space="0"/>
                    <w:right w:val="single" w:color="auto" w:sz="4" w:space="0"/>
                  </w:tcBorders>
                  <w:vAlign w:val="center"/>
                </w:tcPr>
                <w:p w14:paraId="68F00B55">
                  <w:pPr>
                    <w:ind w:left="-105" w:leftChars="-50" w:right="-105" w:rightChars="-50"/>
                    <w:jc w:val="center"/>
                    <w:rPr>
                      <w:szCs w:val="21"/>
                    </w:rPr>
                  </w:pPr>
                  <w:r>
                    <w:t>不涉及</w:t>
                  </w:r>
                </w:p>
              </w:tc>
              <w:tc>
                <w:tcPr>
                  <w:tcW w:w="963" w:type="pct"/>
                  <w:tcBorders>
                    <w:left w:val="single" w:color="auto" w:sz="4" w:space="0"/>
                    <w:bottom w:val="single" w:color="auto" w:sz="4" w:space="0"/>
                    <w:right w:val="single" w:color="auto" w:sz="4" w:space="0"/>
                  </w:tcBorders>
                  <w:vAlign w:val="center"/>
                </w:tcPr>
                <w:p w14:paraId="5BEFBDF4">
                  <w:pPr>
                    <w:ind w:left="-105" w:leftChars="-50" w:right="-105" w:rightChars="-50"/>
                    <w:jc w:val="center"/>
                    <w:rPr>
                      <w:szCs w:val="21"/>
                    </w:rPr>
                  </w:pPr>
                  <w:r>
                    <w:t>不涉及</w:t>
                  </w:r>
                </w:p>
              </w:tc>
              <w:tc>
                <w:tcPr>
                  <w:tcW w:w="405" w:type="pct"/>
                  <w:vMerge w:val="continue"/>
                  <w:tcBorders>
                    <w:left w:val="single" w:color="auto" w:sz="4" w:space="0"/>
                    <w:right w:val="single" w:color="auto" w:sz="4" w:space="0"/>
                  </w:tcBorders>
                  <w:vAlign w:val="center"/>
                </w:tcPr>
                <w:p w14:paraId="17572012">
                  <w:pPr>
                    <w:jc w:val="center"/>
                  </w:pPr>
                </w:p>
              </w:tc>
            </w:tr>
            <w:tr w14:paraId="24FB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7" w:hRule="atLeast"/>
                <w:jc w:val="center"/>
              </w:trPr>
              <w:tc>
                <w:tcPr>
                  <w:tcW w:w="518" w:type="pct"/>
                  <w:vMerge w:val="continue"/>
                  <w:tcBorders>
                    <w:left w:val="single" w:color="auto" w:sz="4" w:space="0"/>
                    <w:right w:val="single" w:color="auto" w:sz="4" w:space="0"/>
                  </w:tcBorders>
                  <w:vAlign w:val="center"/>
                </w:tcPr>
                <w:p w14:paraId="408F2514">
                  <w:pPr>
                    <w:jc w:val="center"/>
                  </w:pPr>
                </w:p>
              </w:tc>
              <w:tc>
                <w:tcPr>
                  <w:tcW w:w="548" w:type="pct"/>
                  <w:gridSpan w:val="2"/>
                  <w:vMerge w:val="restart"/>
                  <w:tcBorders>
                    <w:top w:val="single" w:color="auto" w:sz="4" w:space="0"/>
                    <w:left w:val="single" w:color="auto" w:sz="4" w:space="0"/>
                    <w:right w:val="single" w:color="auto" w:sz="4" w:space="0"/>
                  </w:tcBorders>
                  <w:vAlign w:val="center"/>
                </w:tcPr>
                <w:p w14:paraId="4E8E5711">
                  <w:pPr>
                    <w:jc w:val="center"/>
                  </w:pPr>
                  <w:r>
                    <w:t>二类保护物</w:t>
                  </w:r>
                </w:p>
              </w:tc>
              <w:tc>
                <w:tcPr>
                  <w:tcW w:w="528" w:type="pct"/>
                  <w:tcBorders>
                    <w:top w:val="single" w:color="auto" w:sz="4" w:space="0"/>
                    <w:left w:val="single" w:color="auto" w:sz="4" w:space="0"/>
                    <w:bottom w:val="single" w:color="auto" w:sz="4" w:space="0"/>
                    <w:right w:val="single" w:color="auto" w:sz="4" w:space="0"/>
                  </w:tcBorders>
                  <w:vAlign w:val="center"/>
                </w:tcPr>
                <w:p w14:paraId="45AF091B">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66FD3A28">
                  <w:pPr>
                    <w:ind w:left="-105" w:leftChars="-50" w:right="-105" w:rightChars="-50"/>
                    <w:jc w:val="center"/>
                  </w:pPr>
                  <w:r>
                    <w:rPr>
                      <w:rFonts w:hint="eastAsia"/>
                    </w:rPr>
                    <w:t>8.5</w:t>
                  </w:r>
                </w:p>
              </w:tc>
              <w:tc>
                <w:tcPr>
                  <w:tcW w:w="1009" w:type="pct"/>
                  <w:tcBorders>
                    <w:top w:val="single" w:color="auto" w:sz="4" w:space="0"/>
                    <w:left w:val="single" w:color="auto" w:sz="4" w:space="0"/>
                    <w:bottom w:val="single" w:color="auto" w:sz="4" w:space="0"/>
                    <w:right w:val="single" w:color="auto" w:sz="4" w:space="0"/>
                  </w:tcBorders>
                  <w:vAlign w:val="center"/>
                </w:tcPr>
                <w:p w14:paraId="1BACF935">
                  <w:pPr>
                    <w:ind w:left="-105" w:leftChars="-50" w:right="-105" w:rightChars="-50"/>
                    <w:jc w:val="center"/>
                  </w:pPr>
                  <w:r>
                    <w:rPr>
                      <w:rFonts w:hint="eastAsia"/>
                    </w:rPr>
                    <w:t>8.5</w:t>
                  </w:r>
                </w:p>
              </w:tc>
              <w:tc>
                <w:tcPr>
                  <w:tcW w:w="963" w:type="pct"/>
                  <w:tcBorders>
                    <w:top w:val="single" w:color="auto" w:sz="4" w:space="0"/>
                    <w:left w:val="single" w:color="auto" w:sz="4" w:space="0"/>
                    <w:right w:val="single" w:color="auto" w:sz="4" w:space="0"/>
                  </w:tcBorders>
                  <w:vAlign w:val="center"/>
                </w:tcPr>
                <w:p w14:paraId="55E13693">
                  <w:pPr>
                    <w:ind w:left="-105" w:leftChars="-50" w:right="-105" w:rightChars="-50"/>
                    <w:jc w:val="center"/>
                  </w:pPr>
                  <w:r>
                    <w:rPr>
                      <w:rFonts w:hint="eastAsia"/>
                    </w:rPr>
                    <w:t>8.5</w:t>
                  </w:r>
                </w:p>
              </w:tc>
              <w:tc>
                <w:tcPr>
                  <w:tcW w:w="405" w:type="pct"/>
                  <w:vMerge w:val="restart"/>
                  <w:tcBorders>
                    <w:top w:val="single" w:color="auto" w:sz="4" w:space="0"/>
                    <w:left w:val="single" w:color="auto" w:sz="4" w:space="0"/>
                    <w:right w:val="single" w:color="auto" w:sz="4" w:space="0"/>
                  </w:tcBorders>
                  <w:vAlign w:val="center"/>
                </w:tcPr>
                <w:p w14:paraId="3BF79AD1">
                  <w:pPr>
                    <w:jc w:val="center"/>
                  </w:pPr>
                  <w:r>
                    <w:t>符合</w:t>
                  </w:r>
                </w:p>
              </w:tc>
            </w:tr>
            <w:tr w14:paraId="17EA9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18" w:type="pct"/>
                  <w:vMerge w:val="continue"/>
                  <w:tcBorders>
                    <w:left w:val="single" w:color="auto" w:sz="4" w:space="0"/>
                    <w:right w:val="single" w:color="auto" w:sz="4" w:space="0"/>
                  </w:tcBorders>
                  <w:vAlign w:val="center"/>
                </w:tcPr>
                <w:p w14:paraId="4E927251">
                  <w:pPr>
                    <w:jc w:val="center"/>
                  </w:pPr>
                </w:p>
              </w:tc>
              <w:tc>
                <w:tcPr>
                  <w:tcW w:w="548" w:type="pct"/>
                  <w:gridSpan w:val="2"/>
                  <w:vMerge w:val="continue"/>
                  <w:tcBorders>
                    <w:left w:val="single" w:color="auto" w:sz="4" w:space="0"/>
                    <w:bottom w:val="single" w:color="auto" w:sz="4" w:space="0"/>
                    <w:right w:val="single" w:color="auto" w:sz="4" w:space="0"/>
                  </w:tcBorders>
                  <w:vAlign w:val="center"/>
                </w:tcPr>
                <w:p w14:paraId="6338726D">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078ABA1C">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701276F8">
                  <w:pPr>
                    <w:ind w:left="-105" w:leftChars="-50" w:right="-105" w:rightChars="-50"/>
                    <w:jc w:val="center"/>
                    <w:rPr>
                      <w:szCs w:val="21"/>
                    </w:rPr>
                  </w:pPr>
                  <w:r>
                    <w:rPr>
                      <w:rFonts w:hint="eastAsia"/>
                      <w:szCs w:val="21"/>
                    </w:rPr>
                    <w:t>北侧民建59.4</w:t>
                  </w:r>
                </w:p>
              </w:tc>
              <w:tc>
                <w:tcPr>
                  <w:tcW w:w="1009" w:type="pct"/>
                  <w:tcBorders>
                    <w:top w:val="single" w:color="auto" w:sz="4" w:space="0"/>
                    <w:left w:val="single" w:color="auto" w:sz="4" w:space="0"/>
                    <w:bottom w:val="single" w:color="auto" w:sz="4" w:space="0"/>
                    <w:right w:val="single" w:color="auto" w:sz="4" w:space="0"/>
                  </w:tcBorders>
                  <w:vAlign w:val="center"/>
                </w:tcPr>
                <w:p w14:paraId="0F6B0E25">
                  <w:pPr>
                    <w:ind w:left="-105" w:leftChars="-50" w:right="-105" w:rightChars="-50"/>
                    <w:jc w:val="center"/>
                  </w:pPr>
                  <w:r>
                    <w:rPr>
                      <w:rFonts w:hint="eastAsia"/>
                      <w:szCs w:val="21"/>
                    </w:rPr>
                    <w:t>北侧民建59.8</w:t>
                  </w:r>
                </w:p>
              </w:tc>
              <w:tc>
                <w:tcPr>
                  <w:tcW w:w="963" w:type="pct"/>
                  <w:tcBorders>
                    <w:left w:val="single" w:color="auto" w:sz="4" w:space="0"/>
                    <w:bottom w:val="single" w:color="auto" w:sz="4" w:space="0"/>
                    <w:right w:val="single" w:color="auto" w:sz="4" w:space="0"/>
                  </w:tcBorders>
                  <w:vAlign w:val="center"/>
                </w:tcPr>
                <w:p w14:paraId="190A5345">
                  <w:pPr>
                    <w:ind w:left="-105" w:leftChars="-50" w:right="-105" w:rightChars="-50"/>
                    <w:jc w:val="center"/>
                    <w:rPr>
                      <w:szCs w:val="21"/>
                    </w:rPr>
                  </w:pPr>
                  <w:r>
                    <w:rPr>
                      <w:rFonts w:hint="eastAsia"/>
                      <w:szCs w:val="21"/>
                    </w:rPr>
                    <w:t>北侧民建96.4</w:t>
                  </w:r>
                </w:p>
              </w:tc>
              <w:tc>
                <w:tcPr>
                  <w:tcW w:w="405" w:type="pct"/>
                  <w:vMerge w:val="continue"/>
                  <w:tcBorders>
                    <w:left w:val="single" w:color="auto" w:sz="4" w:space="0"/>
                    <w:bottom w:val="single" w:color="auto" w:sz="4" w:space="0"/>
                    <w:right w:val="single" w:color="auto" w:sz="4" w:space="0"/>
                  </w:tcBorders>
                  <w:vAlign w:val="center"/>
                </w:tcPr>
                <w:p w14:paraId="3C294FE3">
                  <w:pPr>
                    <w:jc w:val="center"/>
                  </w:pPr>
                </w:p>
              </w:tc>
            </w:tr>
            <w:tr w14:paraId="7A99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jc w:val="center"/>
              </w:trPr>
              <w:tc>
                <w:tcPr>
                  <w:tcW w:w="518" w:type="pct"/>
                  <w:vMerge w:val="continue"/>
                  <w:tcBorders>
                    <w:left w:val="single" w:color="auto" w:sz="4" w:space="0"/>
                    <w:right w:val="single" w:color="auto" w:sz="4" w:space="0"/>
                  </w:tcBorders>
                  <w:vAlign w:val="center"/>
                </w:tcPr>
                <w:p w14:paraId="1EDA97BB">
                  <w:pPr>
                    <w:jc w:val="center"/>
                  </w:pPr>
                </w:p>
              </w:tc>
              <w:tc>
                <w:tcPr>
                  <w:tcW w:w="548" w:type="pct"/>
                  <w:gridSpan w:val="2"/>
                  <w:vMerge w:val="restart"/>
                  <w:tcBorders>
                    <w:top w:val="single" w:color="auto" w:sz="4" w:space="0"/>
                    <w:left w:val="single" w:color="auto" w:sz="4" w:space="0"/>
                    <w:right w:val="single" w:color="auto" w:sz="4" w:space="0"/>
                  </w:tcBorders>
                  <w:vAlign w:val="center"/>
                </w:tcPr>
                <w:p w14:paraId="42FBAD6F">
                  <w:pPr>
                    <w:jc w:val="center"/>
                  </w:pPr>
                  <w:r>
                    <w:t>三类保护物</w:t>
                  </w:r>
                </w:p>
              </w:tc>
              <w:tc>
                <w:tcPr>
                  <w:tcW w:w="528" w:type="pct"/>
                  <w:tcBorders>
                    <w:top w:val="single" w:color="auto" w:sz="4" w:space="0"/>
                    <w:left w:val="single" w:color="auto" w:sz="4" w:space="0"/>
                    <w:bottom w:val="single" w:color="auto" w:sz="4" w:space="0"/>
                    <w:right w:val="single" w:color="auto" w:sz="4" w:space="0"/>
                  </w:tcBorders>
                  <w:vAlign w:val="center"/>
                </w:tcPr>
                <w:p w14:paraId="4C39669F">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5122BFCC">
                  <w:pPr>
                    <w:ind w:left="-105" w:leftChars="-50" w:right="-105" w:rightChars="-50"/>
                    <w:jc w:val="center"/>
                  </w:pPr>
                  <w:r>
                    <w:rPr>
                      <w:rFonts w:hint="eastAsia"/>
                    </w:rPr>
                    <w:t>7</w:t>
                  </w:r>
                </w:p>
              </w:tc>
              <w:tc>
                <w:tcPr>
                  <w:tcW w:w="1009" w:type="pct"/>
                  <w:tcBorders>
                    <w:top w:val="single" w:color="auto" w:sz="4" w:space="0"/>
                    <w:left w:val="single" w:color="auto" w:sz="4" w:space="0"/>
                    <w:bottom w:val="single" w:color="auto" w:sz="4" w:space="0"/>
                    <w:right w:val="single" w:color="auto" w:sz="4" w:space="0"/>
                  </w:tcBorders>
                  <w:vAlign w:val="center"/>
                </w:tcPr>
                <w:p w14:paraId="3D24CD60">
                  <w:pPr>
                    <w:ind w:left="-105" w:leftChars="-50" w:right="-105" w:rightChars="-50"/>
                    <w:jc w:val="center"/>
                  </w:pPr>
                  <w:r>
                    <w:rPr>
                      <w:rFonts w:hint="eastAsia"/>
                    </w:rPr>
                    <w:t>7</w:t>
                  </w:r>
                </w:p>
              </w:tc>
              <w:tc>
                <w:tcPr>
                  <w:tcW w:w="963" w:type="pct"/>
                  <w:tcBorders>
                    <w:top w:val="single" w:color="auto" w:sz="4" w:space="0"/>
                    <w:left w:val="single" w:color="auto" w:sz="4" w:space="0"/>
                    <w:right w:val="single" w:color="auto" w:sz="4" w:space="0"/>
                  </w:tcBorders>
                  <w:vAlign w:val="center"/>
                </w:tcPr>
                <w:p w14:paraId="47E7B4AA">
                  <w:pPr>
                    <w:ind w:left="-105" w:leftChars="-50" w:right="-105" w:rightChars="-50"/>
                    <w:jc w:val="center"/>
                  </w:pPr>
                  <w:r>
                    <w:rPr>
                      <w:rFonts w:hint="eastAsia"/>
                    </w:rPr>
                    <w:t>7</w:t>
                  </w:r>
                </w:p>
              </w:tc>
              <w:tc>
                <w:tcPr>
                  <w:tcW w:w="405" w:type="pct"/>
                  <w:vMerge w:val="restart"/>
                  <w:tcBorders>
                    <w:top w:val="single" w:color="auto" w:sz="4" w:space="0"/>
                    <w:left w:val="single" w:color="auto" w:sz="4" w:space="0"/>
                    <w:right w:val="single" w:color="auto" w:sz="4" w:space="0"/>
                  </w:tcBorders>
                  <w:vAlign w:val="center"/>
                </w:tcPr>
                <w:p w14:paraId="1F0AC0F7">
                  <w:pPr>
                    <w:jc w:val="center"/>
                  </w:pPr>
                  <w:r>
                    <w:t>符合</w:t>
                  </w:r>
                </w:p>
              </w:tc>
            </w:tr>
            <w:tr w14:paraId="2233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18" w:type="pct"/>
                  <w:vMerge w:val="continue"/>
                  <w:tcBorders>
                    <w:left w:val="single" w:color="auto" w:sz="4" w:space="0"/>
                    <w:right w:val="single" w:color="auto" w:sz="4" w:space="0"/>
                  </w:tcBorders>
                  <w:vAlign w:val="center"/>
                </w:tcPr>
                <w:p w14:paraId="6F535D55">
                  <w:pPr>
                    <w:jc w:val="center"/>
                  </w:pPr>
                </w:p>
              </w:tc>
              <w:tc>
                <w:tcPr>
                  <w:tcW w:w="548" w:type="pct"/>
                  <w:gridSpan w:val="2"/>
                  <w:vMerge w:val="continue"/>
                  <w:tcBorders>
                    <w:left w:val="single" w:color="auto" w:sz="4" w:space="0"/>
                    <w:bottom w:val="single" w:color="auto" w:sz="4" w:space="0"/>
                    <w:right w:val="single" w:color="auto" w:sz="4" w:space="0"/>
                  </w:tcBorders>
                  <w:vAlign w:val="center"/>
                </w:tcPr>
                <w:p w14:paraId="6C308315">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1C21AA8D">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5298A8AE">
                  <w:pPr>
                    <w:ind w:left="-105" w:leftChars="-50" w:right="-105" w:rightChars="-50"/>
                    <w:jc w:val="center"/>
                  </w:pPr>
                  <w:r>
                    <w:rPr>
                      <w:rFonts w:hint="eastAsia"/>
                    </w:rPr>
                    <w:t>西侧货车停车场38.5</w:t>
                  </w:r>
                </w:p>
              </w:tc>
              <w:tc>
                <w:tcPr>
                  <w:tcW w:w="1009" w:type="pct"/>
                  <w:tcBorders>
                    <w:top w:val="single" w:color="auto" w:sz="4" w:space="0"/>
                    <w:left w:val="single" w:color="auto" w:sz="4" w:space="0"/>
                    <w:bottom w:val="single" w:color="auto" w:sz="4" w:space="0"/>
                    <w:right w:val="single" w:color="auto" w:sz="4" w:space="0"/>
                  </w:tcBorders>
                  <w:vAlign w:val="center"/>
                </w:tcPr>
                <w:p w14:paraId="458C03A9">
                  <w:pPr>
                    <w:ind w:left="-105" w:leftChars="-50" w:right="-105" w:rightChars="-50"/>
                    <w:jc w:val="center"/>
                  </w:pPr>
                  <w:r>
                    <w:rPr>
                      <w:rFonts w:hint="eastAsia"/>
                    </w:rPr>
                    <w:t>西侧货车停车场42.1</w:t>
                  </w:r>
                </w:p>
              </w:tc>
              <w:tc>
                <w:tcPr>
                  <w:tcW w:w="963" w:type="pct"/>
                  <w:tcBorders>
                    <w:left w:val="single" w:color="auto" w:sz="4" w:space="0"/>
                    <w:bottom w:val="single" w:color="auto" w:sz="4" w:space="0"/>
                    <w:right w:val="single" w:color="auto" w:sz="4" w:space="0"/>
                  </w:tcBorders>
                  <w:vAlign w:val="center"/>
                </w:tcPr>
                <w:p w14:paraId="27754C2E">
                  <w:pPr>
                    <w:ind w:left="-105" w:leftChars="-50" w:right="-105" w:rightChars="-50"/>
                    <w:jc w:val="center"/>
                  </w:pPr>
                  <w:r>
                    <w:rPr>
                      <w:rFonts w:hint="eastAsia"/>
                    </w:rPr>
                    <w:t>西侧货车停车场37.2</w:t>
                  </w:r>
                </w:p>
              </w:tc>
              <w:tc>
                <w:tcPr>
                  <w:tcW w:w="405" w:type="pct"/>
                  <w:vMerge w:val="continue"/>
                  <w:tcBorders>
                    <w:left w:val="single" w:color="auto" w:sz="4" w:space="0"/>
                    <w:bottom w:val="single" w:color="auto" w:sz="4" w:space="0"/>
                    <w:right w:val="single" w:color="auto" w:sz="4" w:space="0"/>
                  </w:tcBorders>
                  <w:vAlign w:val="center"/>
                </w:tcPr>
                <w:p w14:paraId="59F835C2">
                  <w:pPr>
                    <w:jc w:val="center"/>
                  </w:pPr>
                </w:p>
              </w:tc>
            </w:tr>
            <w:tr w14:paraId="7E64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18" w:type="pct"/>
                  <w:vMerge w:val="continue"/>
                  <w:tcBorders>
                    <w:left w:val="single" w:color="auto" w:sz="4" w:space="0"/>
                    <w:bottom w:val="single" w:color="auto" w:sz="4" w:space="0"/>
                    <w:right w:val="single" w:color="auto" w:sz="4" w:space="0"/>
                  </w:tcBorders>
                  <w:vAlign w:val="center"/>
                </w:tcPr>
                <w:p w14:paraId="23D3A644">
                  <w:pPr>
                    <w:jc w:val="center"/>
                  </w:pPr>
                </w:p>
              </w:tc>
              <w:tc>
                <w:tcPr>
                  <w:tcW w:w="548" w:type="pct"/>
                  <w:gridSpan w:val="2"/>
                  <w:vMerge w:val="restart"/>
                  <w:tcBorders>
                    <w:left w:val="single" w:color="auto" w:sz="4" w:space="0"/>
                    <w:right w:val="single" w:color="auto" w:sz="4" w:space="0"/>
                  </w:tcBorders>
                  <w:vAlign w:val="center"/>
                </w:tcPr>
                <w:p w14:paraId="099E54CD">
                  <w:pPr>
                    <w:jc w:val="center"/>
                  </w:pPr>
                  <w:r>
                    <w:t>三类保护物</w:t>
                  </w:r>
                </w:p>
              </w:tc>
              <w:tc>
                <w:tcPr>
                  <w:tcW w:w="528" w:type="pct"/>
                  <w:tcBorders>
                    <w:top w:val="single" w:color="auto" w:sz="4" w:space="0"/>
                    <w:left w:val="single" w:color="auto" w:sz="4" w:space="0"/>
                    <w:bottom w:val="single" w:color="auto" w:sz="4" w:space="0"/>
                    <w:right w:val="single" w:color="auto" w:sz="4" w:space="0"/>
                  </w:tcBorders>
                  <w:vAlign w:val="center"/>
                </w:tcPr>
                <w:p w14:paraId="1A27E4A3">
                  <w:pPr>
                    <w:ind w:left="-105" w:leftChars="-50" w:right="-105" w:rightChars="-50"/>
                    <w:jc w:val="center"/>
                  </w:pPr>
                  <w:r>
                    <w:t>标准</w:t>
                  </w:r>
                </w:p>
              </w:tc>
              <w:tc>
                <w:tcPr>
                  <w:tcW w:w="1027" w:type="pct"/>
                  <w:tcBorders>
                    <w:top w:val="single" w:color="auto" w:sz="4" w:space="0"/>
                    <w:left w:val="single" w:color="auto" w:sz="4" w:space="0"/>
                    <w:right w:val="single" w:color="auto" w:sz="4" w:space="0"/>
                  </w:tcBorders>
                  <w:vAlign w:val="center"/>
                </w:tcPr>
                <w:p w14:paraId="077B027B">
                  <w:pPr>
                    <w:ind w:left="-105" w:leftChars="-50" w:right="-105" w:rightChars="-50"/>
                    <w:jc w:val="center"/>
                  </w:pPr>
                  <w:r>
                    <w:rPr>
                      <w:rFonts w:hint="eastAsia"/>
                    </w:rPr>
                    <w:t>7</w:t>
                  </w:r>
                </w:p>
              </w:tc>
              <w:tc>
                <w:tcPr>
                  <w:tcW w:w="1009" w:type="pct"/>
                  <w:tcBorders>
                    <w:top w:val="single" w:color="auto" w:sz="4" w:space="0"/>
                    <w:left w:val="single" w:color="auto" w:sz="4" w:space="0"/>
                    <w:right w:val="single" w:color="auto" w:sz="4" w:space="0"/>
                  </w:tcBorders>
                  <w:vAlign w:val="center"/>
                </w:tcPr>
                <w:p w14:paraId="151AE42E">
                  <w:pPr>
                    <w:ind w:left="-105" w:leftChars="-50" w:right="-105" w:rightChars="-50"/>
                    <w:jc w:val="center"/>
                  </w:pPr>
                  <w:r>
                    <w:rPr>
                      <w:rFonts w:hint="eastAsia"/>
                    </w:rPr>
                    <w:t>7</w:t>
                  </w:r>
                </w:p>
              </w:tc>
              <w:tc>
                <w:tcPr>
                  <w:tcW w:w="963" w:type="pct"/>
                  <w:tcBorders>
                    <w:left w:val="single" w:color="auto" w:sz="4" w:space="0"/>
                    <w:right w:val="single" w:color="auto" w:sz="4" w:space="0"/>
                  </w:tcBorders>
                  <w:vAlign w:val="center"/>
                </w:tcPr>
                <w:p w14:paraId="43B074BB">
                  <w:pPr>
                    <w:ind w:left="-105" w:leftChars="-50" w:right="-105" w:rightChars="-50"/>
                    <w:jc w:val="center"/>
                  </w:pPr>
                  <w:r>
                    <w:rPr>
                      <w:rFonts w:hint="eastAsia"/>
                    </w:rPr>
                    <w:t>7</w:t>
                  </w:r>
                </w:p>
              </w:tc>
              <w:tc>
                <w:tcPr>
                  <w:tcW w:w="405" w:type="pct"/>
                  <w:vMerge w:val="restart"/>
                  <w:tcBorders>
                    <w:left w:val="single" w:color="auto" w:sz="4" w:space="0"/>
                    <w:right w:val="single" w:color="auto" w:sz="4" w:space="0"/>
                  </w:tcBorders>
                  <w:vAlign w:val="center"/>
                </w:tcPr>
                <w:p w14:paraId="637AF05D">
                  <w:pPr>
                    <w:jc w:val="center"/>
                  </w:pPr>
                  <w:r>
                    <w:t>符合</w:t>
                  </w:r>
                </w:p>
              </w:tc>
            </w:tr>
            <w:tr w14:paraId="1B7A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18" w:type="pct"/>
                  <w:vMerge w:val="continue"/>
                  <w:tcBorders>
                    <w:left w:val="single" w:color="auto" w:sz="4" w:space="0"/>
                    <w:bottom w:val="single" w:color="auto" w:sz="4" w:space="0"/>
                    <w:right w:val="single" w:color="auto" w:sz="4" w:space="0"/>
                  </w:tcBorders>
                  <w:vAlign w:val="center"/>
                </w:tcPr>
                <w:p w14:paraId="60B08FA7">
                  <w:pPr>
                    <w:ind w:left="-105" w:leftChars="-50" w:right="-105" w:rightChars="-50"/>
                    <w:jc w:val="center"/>
                  </w:pPr>
                </w:p>
              </w:tc>
              <w:tc>
                <w:tcPr>
                  <w:tcW w:w="548" w:type="pct"/>
                  <w:gridSpan w:val="2"/>
                  <w:vMerge w:val="continue"/>
                  <w:tcBorders>
                    <w:left w:val="single" w:color="auto" w:sz="4" w:space="0"/>
                    <w:bottom w:val="single" w:color="auto" w:sz="4" w:space="0"/>
                    <w:right w:val="single" w:color="auto" w:sz="4" w:space="0"/>
                  </w:tcBorders>
                  <w:vAlign w:val="center"/>
                </w:tcPr>
                <w:p w14:paraId="7083DA19">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0D52E885">
                  <w:pPr>
                    <w:ind w:left="-105" w:leftChars="-50" w:right="-105" w:rightChars="-50"/>
                    <w:jc w:val="center"/>
                  </w:pPr>
                  <w:r>
                    <w:t>本项目</w:t>
                  </w:r>
                </w:p>
              </w:tc>
              <w:tc>
                <w:tcPr>
                  <w:tcW w:w="1027" w:type="pct"/>
                  <w:tcBorders>
                    <w:left w:val="single" w:color="auto" w:sz="4" w:space="0"/>
                    <w:bottom w:val="single" w:color="auto" w:sz="4" w:space="0"/>
                    <w:right w:val="single" w:color="auto" w:sz="4" w:space="0"/>
                  </w:tcBorders>
                  <w:vAlign w:val="center"/>
                </w:tcPr>
                <w:p w14:paraId="40AEFE79">
                  <w:pPr>
                    <w:ind w:left="-105" w:leftChars="-50" w:right="-105" w:rightChars="-50"/>
                    <w:jc w:val="center"/>
                  </w:pPr>
                  <w:r>
                    <w:rPr>
                      <w:rFonts w:hint="eastAsia"/>
                    </w:rPr>
                    <w:t>东侧民建52.7</w:t>
                  </w:r>
                </w:p>
              </w:tc>
              <w:tc>
                <w:tcPr>
                  <w:tcW w:w="1009" w:type="pct"/>
                  <w:tcBorders>
                    <w:left w:val="single" w:color="auto" w:sz="4" w:space="0"/>
                    <w:bottom w:val="single" w:color="auto" w:sz="4" w:space="0"/>
                    <w:right w:val="single" w:color="auto" w:sz="4" w:space="0"/>
                  </w:tcBorders>
                  <w:vAlign w:val="center"/>
                </w:tcPr>
                <w:p w14:paraId="14653EBA">
                  <w:pPr>
                    <w:ind w:left="-105" w:leftChars="-50" w:right="-105" w:rightChars="-50"/>
                    <w:jc w:val="center"/>
                  </w:pPr>
                  <w:r>
                    <w:rPr>
                      <w:rFonts w:hint="eastAsia"/>
                    </w:rPr>
                    <w:t>东侧民建64.2</w:t>
                  </w:r>
                </w:p>
              </w:tc>
              <w:tc>
                <w:tcPr>
                  <w:tcW w:w="963" w:type="pct"/>
                  <w:tcBorders>
                    <w:left w:val="single" w:color="auto" w:sz="4" w:space="0"/>
                    <w:bottom w:val="single" w:color="auto" w:sz="4" w:space="0"/>
                    <w:right w:val="single" w:color="auto" w:sz="4" w:space="0"/>
                  </w:tcBorders>
                  <w:vAlign w:val="center"/>
                </w:tcPr>
                <w:p w14:paraId="0B242616">
                  <w:pPr>
                    <w:ind w:left="-105" w:leftChars="-50" w:right="-105" w:rightChars="-50"/>
                    <w:jc w:val="center"/>
                  </w:pPr>
                  <w:r>
                    <w:rPr>
                      <w:rFonts w:hint="eastAsia"/>
                    </w:rPr>
                    <w:t>东侧民建35.4</w:t>
                  </w:r>
                </w:p>
              </w:tc>
              <w:tc>
                <w:tcPr>
                  <w:tcW w:w="405" w:type="pct"/>
                  <w:vMerge w:val="continue"/>
                  <w:tcBorders>
                    <w:left w:val="single" w:color="auto" w:sz="4" w:space="0"/>
                    <w:bottom w:val="single" w:color="auto" w:sz="4" w:space="0"/>
                    <w:right w:val="single" w:color="auto" w:sz="4" w:space="0"/>
                  </w:tcBorders>
                  <w:vAlign w:val="center"/>
                </w:tcPr>
                <w:p w14:paraId="04D5DC88">
                  <w:pPr>
                    <w:ind w:left="-105" w:leftChars="-50" w:right="-105" w:rightChars="-50"/>
                    <w:jc w:val="center"/>
                  </w:pPr>
                </w:p>
              </w:tc>
            </w:tr>
            <w:tr w14:paraId="63CD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34359C1E">
                  <w:pPr>
                    <w:jc w:val="center"/>
                  </w:pPr>
                  <w:r>
                    <w:rPr>
                      <w:rFonts w:hint="eastAsia"/>
                    </w:rPr>
                    <w:t>甲、乙类物品生产厂房、库房和甲、乙类液体储罐</w:t>
                  </w:r>
                </w:p>
              </w:tc>
              <w:tc>
                <w:tcPr>
                  <w:tcW w:w="528" w:type="pct"/>
                  <w:tcBorders>
                    <w:top w:val="single" w:color="auto" w:sz="4" w:space="0"/>
                    <w:left w:val="single" w:color="auto" w:sz="4" w:space="0"/>
                    <w:bottom w:val="single" w:color="auto" w:sz="4" w:space="0"/>
                    <w:right w:val="single" w:color="auto" w:sz="4" w:space="0"/>
                  </w:tcBorders>
                  <w:vAlign w:val="center"/>
                </w:tcPr>
                <w:p w14:paraId="07B2F7B4">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77D56ED5">
                  <w:pPr>
                    <w:ind w:left="-105" w:leftChars="-50" w:right="-105" w:rightChars="-50"/>
                    <w:jc w:val="center"/>
                  </w:pPr>
                  <w:r>
                    <w:rPr>
                      <w:rFonts w:hint="eastAsia"/>
                    </w:rPr>
                    <w:t>12.5</w:t>
                  </w:r>
                </w:p>
              </w:tc>
              <w:tc>
                <w:tcPr>
                  <w:tcW w:w="1009" w:type="pct"/>
                  <w:tcBorders>
                    <w:top w:val="single" w:color="auto" w:sz="4" w:space="0"/>
                    <w:left w:val="single" w:color="auto" w:sz="4" w:space="0"/>
                    <w:bottom w:val="single" w:color="auto" w:sz="4" w:space="0"/>
                    <w:right w:val="single" w:color="auto" w:sz="4" w:space="0"/>
                  </w:tcBorders>
                  <w:vAlign w:val="center"/>
                </w:tcPr>
                <w:p w14:paraId="5209D54B">
                  <w:pPr>
                    <w:ind w:left="-105" w:leftChars="-50" w:right="-105" w:rightChars="-50"/>
                    <w:jc w:val="center"/>
                  </w:pPr>
                  <w:r>
                    <w:rPr>
                      <w:rFonts w:hint="eastAsia"/>
                    </w:rPr>
                    <w:t>12.5</w:t>
                  </w:r>
                </w:p>
              </w:tc>
              <w:tc>
                <w:tcPr>
                  <w:tcW w:w="963" w:type="pct"/>
                  <w:tcBorders>
                    <w:top w:val="single" w:color="auto" w:sz="4" w:space="0"/>
                    <w:left w:val="single" w:color="auto" w:sz="4" w:space="0"/>
                    <w:right w:val="single" w:color="auto" w:sz="4" w:space="0"/>
                  </w:tcBorders>
                  <w:vAlign w:val="center"/>
                </w:tcPr>
                <w:p w14:paraId="5E487815">
                  <w:pPr>
                    <w:ind w:left="-105" w:leftChars="-50" w:right="-105" w:rightChars="-50"/>
                    <w:jc w:val="center"/>
                  </w:pPr>
                  <w:r>
                    <w:rPr>
                      <w:rFonts w:hint="eastAsia"/>
                    </w:rPr>
                    <w:t>12.5</w:t>
                  </w:r>
                </w:p>
              </w:tc>
              <w:tc>
                <w:tcPr>
                  <w:tcW w:w="405" w:type="pct"/>
                  <w:vMerge w:val="restart"/>
                  <w:tcBorders>
                    <w:top w:val="single" w:color="auto" w:sz="4" w:space="0"/>
                    <w:left w:val="single" w:color="auto" w:sz="4" w:space="0"/>
                    <w:right w:val="single" w:color="auto" w:sz="4" w:space="0"/>
                  </w:tcBorders>
                  <w:vAlign w:val="center"/>
                </w:tcPr>
                <w:p w14:paraId="1D33B5AB">
                  <w:pPr>
                    <w:jc w:val="center"/>
                  </w:pPr>
                  <w:r>
                    <w:t>符合</w:t>
                  </w:r>
                </w:p>
              </w:tc>
            </w:tr>
            <w:tr w14:paraId="5E40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4D8AC408">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5F8F32A8">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13974960">
                  <w:pPr>
                    <w:ind w:left="-105" w:leftChars="-50" w:right="-105" w:rightChars="-50"/>
                    <w:jc w:val="center"/>
                  </w:pPr>
                  <w:r>
                    <w:t>不涉及</w:t>
                  </w:r>
                </w:p>
              </w:tc>
              <w:tc>
                <w:tcPr>
                  <w:tcW w:w="1009" w:type="pct"/>
                  <w:tcBorders>
                    <w:top w:val="single" w:color="auto" w:sz="4" w:space="0"/>
                    <w:left w:val="single" w:color="auto" w:sz="4" w:space="0"/>
                    <w:bottom w:val="single" w:color="auto" w:sz="4" w:space="0"/>
                    <w:right w:val="single" w:color="auto" w:sz="4" w:space="0"/>
                  </w:tcBorders>
                  <w:vAlign w:val="center"/>
                </w:tcPr>
                <w:p w14:paraId="2DE6A265">
                  <w:pPr>
                    <w:ind w:left="-105" w:leftChars="-50" w:right="-105" w:rightChars="-50"/>
                    <w:jc w:val="center"/>
                  </w:pPr>
                  <w:r>
                    <w:t>不涉及</w:t>
                  </w:r>
                </w:p>
              </w:tc>
              <w:tc>
                <w:tcPr>
                  <w:tcW w:w="963" w:type="pct"/>
                  <w:tcBorders>
                    <w:left w:val="single" w:color="auto" w:sz="4" w:space="0"/>
                    <w:bottom w:val="single" w:color="auto" w:sz="4" w:space="0"/>
                    <w:right w:val="single" w:color="auto" w:sz="4" w:space="0"/>
                  </w:tcBorders>
                  <w:vAlign w:val="center"/>
                </w:tcPr>
                <w:p w14:paraId="03F0D137">
                  <w:pPr>
                    <w:ind w:left="-105" w:leftChars="-50" w:right="-105" w:rightChars="-50"/>
                    <w:jc w:val="center"/>
                  </w:pPr>
                  <w:r>
                    <w:t>不涉及</w:t>
                  </w:r>
                </w:p>
              </w:tc>
              <w:tc>
                <w:tcPr>
                  <w:tcW w:w="405" w:type="pct"/>
                  <w:vMerge w:val="continue"/>
                  <w:tcBorders>
                    <w:left w:val="single" w:color="auto" w:sz="4" w:space="0"/>
                    <w:bottom w:val="single" w:color="auto" w:sz="4" w:space="0"/>
                    <w:right w:val="single" w:color="auto" w:sz="4" w:space="0"/>
                  </w:tcBorders>
                  <w:vAlign w:val="center"/>
                </w:tcPr>
                <w:p w14:paraId="4896DA43">
                  <w:pPr>
                    <w:jc w:val="center"/>
                  </w:pPr>
                </w:p>
              </w:tc>
            </w:tr>
            <w:tr w14:paraId="0DFC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59696DDC">
                  <w:pPr>
                    <w:jc w:val="center"/>
                  </w:pPr>
                  <w:r>
                    <w:rPr>
                      <w:rFonts w:hint="eastAsia"/>
                    </w:rPr>
                    <w:t>丙、丁、戊类物品生产厂房、库房和丙类液体储罐以及单罐容积不大于</w:t>
                  </w:r>
                  <w:r>
                    <w:t>50m</w:t>
                  </w:r>
                  <w:r>
                    <w:rPr>
                      <w:vertAlign w:val="superscript"/>
                    </w:rPr>
                    <w:t>3</w:t>
                  </w:r>
                  <w:r>
                    <w:rPr>
                      <w:rFonts w:hint="eastAsia"/>
                    </w:rPr>
                    <w:t>的埋地甲、乙类液体储罐</w:t>
                  </w:r>
                </w:p>
              </w:tc>
              <w:tc>
                <w:tcPr>
                  <w:tcW w:w="528" w:type="pct"/>
                  <w:tcBorders>
                    <w:top w:val="single" w:color="auto" w:sz="4" w:space="0"/>
                    <w:left w:val="single" w:color="auto" w:sz="4" w:space="0"/>
                    <w:bottom w:val="single" w:color="auto" w:sz="4" w:space="0"/>
                    <w:right w:val="single" w:color="auto" w:sz="4" w:space="0"/>
                  </w:tcBorders>
                  <w:vAlign w:val="center"/>
                </w:tcPr>
                <w:p w14:paraId="3CA87088">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24F1E28E">
                  <w:pPr>
                    <w:ind w:left="-105" w:leftChars="-50" w:right="-105" w:rightChars="-50"/>
                    <w:jc w:val="center"/>
                  </w:pPr>
                  <w:r>
                    <w:rPr>
                      <w:rFonts w:hint="eastAsia"/>
                    </w:rPr>
                    <w:t>10.5</w:t>
                  </w:r>
                </w:p>
              </w:tc>
              <w:tc>
                <w:tcPr>
                  <w:tcW w:w="1009" w:type="pct"/>
                  <w:tcBorders>
                    <w:top w:val="single" w:color="auto" w:sz="4" w:space="0"/>
                    <w:left w:val="single" w:color="auto" w:sz="4" w:space="0"/>
                    <w:bottom w:val="single" w:color="auto" w:sz="4" w:space="0"/>
                    <w:right w:val="single" w:color="auto" w:sz="4" w:space="0"/>
                  </w:tcBorders>
                  <w:vAlign w:val="center"/>
                </w:tcPr>
                <w:p w14:paraId="6E8D308F">
                  <w:pPr>
                    <w:ind w:left="-105" w:leftChars="-50" w:right="-105" w:rightChars="-50"/>
                    <w:jc w:val="center"/>
                  </w:pPr>
                  <w:r>
                    <w:rPr>
                      <w:rFonts w:hint="eastAsia"/>
                    </w:rPr>
                    <w:t>10.5</w:t>
                  </w:r>
                </w:p>
              </w:tc>
              <w:tc>
                <w:tcPr>
                  <w:tcW w:w="963" w:type="pct"/>
                  <w:tcBorders>
                    <w:top w:val="single" w:color="auto" w:sz="4" w:space="0"/>
                    <w:left w:val="single" w:color="auto" w:sz="4" w:space="0"/>
                    <w:right w:val="single" w:color="auto" w:sz="4" w:space="0"/>
                  </w:tcBorders>
                  <w:vAlign w:val="center"/>
                </w:tcPr>
                <w:p w14:paraId="398CC906">
                  <w:pPr>
                    <w:ind w:left="-105" w:leftChars="-50" w:right="-105" w:rightChars="-50"/>
                    <w:jc w:val="center"/>
                  </w:pPr>
                  <w:r>
                    <w:rPr>
                      <w:rFonts w:hint="eastAsia"/>
                    </w:rPr>
                    <w:t>10.5</w:t>
                  </w:r>
                </w:p>
              </w:tc>
              <w:tc>
                <w:tcPr>
                  <w:tcW w:w="405" w:type="pct"/>
                  <w:vMerge w:val="restart"/>
                  <w:tcBorders>
                    <w:top w:val="single" w:color="auto" w:sz="4" w:space="0"/>
                    <w:left w:val="single" w:color="auto" w:sz="4" w:space="0"/>
                    <w:right w:val="single" w:color="auto" w:sz="4" w:space="0"/>
                  </w:tcBorders>
                  <w:vAlign w:val="center"/>
                </w:tcPr>
                <w:p w14:paraId="6908B462">
                  <w:pPr>
                    <w:jc w:val="center"/>
                  </w:pPr>
                  <w:r>
                    <w:t>符合</w:t>
                  </w:r>
                </w:p>
              </w:tc>
            </w:tr>
            <w:tr w14:paraId="10CA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3DD71B13">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00366FB0">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436766DD">
                  <w:pPr>
                    <w:ind w:left="-105" w:leftChars="-50" w:right="-105" w:rightChars="-50"/>
                    <w:jc w:val="center"/>
                  </w:pPr>
                  <w:r>
                    <w:t>不涉及</w:t>
                  </w:r>
                </w:p>
              </w:tc>
              <w:tc>
                <w:tcPr>
                  <w:tcW w:w="1009" w:type="pct"/>
                  <w:tcBorders>
                    <w:top w:val="single" w:color="auto" w:sz="4" w:space="0"/>
                    <w:left w:val="single" w:color="auto" w:sz="4" w:space="0"/>
                    <w:bottom w:val="single" w:color="auto" w:sz="4" w:space="0"/>
                    <w:right w:val="single" w:color="auto" w:sz="4" w:space="0"/>
                  </w:tcBorders>
                  <w:vAlign w:val="center"/>
                </w:tcPr>
                <w:p w14:paraId="70E20167">
                  <w:pPr>
                    <w:ind w:left="-105" w:leftChars="-50" w:right="-105" w:rightChars="-50"/>
                    <w:jc w:val="center"/>
                  </w:pPr>
                  <w:r>
                    <w:t>不涉及</w:t>
                  </w:r>
                </w:p>
              </w:tc>
              <w:tc>
                <w:tcPr>
                  <w:tcW w:w="963" w:type="pct"/>
                  <w:tcBorders>
                    <w:left w:val="single" w:color="auto" w:sz="4" w:space="0"/>
                    <w:bottom w:val="single" w:color="auto" w:sz="4" w:space="0"/>
                    <w:right w:val="single" w:color="auto" w:sz="4" w:space="0"/>
                  </w:tcBorders>
                  <w:vAlign w:val="center"/>
                </w:tcPr>
                <w:p w14:paraId="295CC1D5">
                  <w:pPr>
                    <w:ind w:left="-105" w:leftChars="-50" w:right="-105" w:rightChars="-50"/>
                    <w:jc w:val="center"/>
                  </w:pPr>
                  <w:r>
                    <w:t>不涉及</w:t>
                  </w:r>
                </w:p>
              </w:tc>
              <w:tc>
                <w:tcPr>
                  <w:tcW w:w="405" w:type="pct"/>
                  <w:vMerge w:val="continue"/>
                  <w:tcBorders>
                    <w:left w:val="single" w:color="auto" w:sz="4" w:space="0"/>
                    <w:bottom w:val="single" w:color="auto" w:sz="4" w:space="0"/>
                    <w:right w:val="single" w:color="auto" w:sz="4" w:space="0"/>
                  </w:tcBorders>
                  <w:vAlign w:val="center"/>
                </w:tcPr>
                <w:p w14:paraId="6684D421">
                  <w:pPr>
                    <w:jc w:val="center"/>
                  </w:pPr>
                </w:p>
              </w:tc>
            </w:tr>
            <w:tr w14:paraId="0FBB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533FBF66">
                  <w:pPr>
                    <w:jc w:val="center"/>
                  </w:pPr>
                  <w:r>
                    <w:t>室外变配电站</w:t>
                  </w:r>
                </w:p>
              </w:tc>
              <w:tc>
                <w:tcPr>
                  <w:tcW w:w="528" w:type="pct"/>
                  <w:tcBorders>
                    <w:top w:val="single" w:color="auto" w:sz="4" w:space="0"/>
                    <w:left w:val="single" w:color="auto" w:sz="4" w:space="0"/>
                    <w:bottom w:val="single" w:color="auto" w:sz="4" w:space="0"/>
                    <w:right w:val="single" w:color="auto" w:sz="4" w:space="0"/>
                  </w:tcBorders>
                  <w:vAlign w:val="center"/>
                </w:tcPr>
                <w:p w14:paraId="4F9E8093">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0EB75D0C">
                  <w:pPr>
                    <w:ind w:left="-105" w:leftChars="-50" w:right="-105" w:rightChars="-50"/>
                    <w:jc w:val="center"/>
                  </w:pPr>
                  <w:r>
                    <w:rPr>
                      <w:rFonts w:hint="eastAsia"/>
                    </w:rPr>
                    <w:t>12.5</w:t>
                  </w:r>
                </w:p>
              </w:tc>
              <w:tc>
                <w:tcPr>
                  <w:tcW w:w="1009" w:type="pct"/>
                  <w:tcBorders>
                    <w:top w:val="single" w:color="auto" w:sz="4" w:space="0"/>
                    <w:left w:val="single" w:color="auto" w:sz="4" w:space="0"/>
                    <w:bottom w:val="single" w:color="auto" w:sz="4" w:space="0"/>
                    <w:right w:val="single" w:color="auto" w:sz="4" w:space="0"/>
                  </w:tcBorders>
                  <w:vAlign w:val="center"/>
                </w:tcPr>
                <w:p w14:paraId="2B796070">
                  <w:pPr>
                    <w:ind w:left="-105" w:leftChars="-50" w:right="-105" w:rightChars="-50"/>
                    <w:jc w:val="center"/>
                  </w:pPr>
                  <w:r>
                    <w:rPr>
                      <w:rFonts w:hint="eastAsia"/>
                    </w:rPr>
                    <w:t>12.5</w:t>
                  </w:r>
                </w:p>
              </w:tc>
              <w:tc>
                <w:tcPr>
                  <w:tcW w:w="963" w:type="pct"/>
                  <w:tcBorders>
                    <w:top w:val="single" w:color="auto" w:sz="4" w:space="0"/>
                    <w:left w:val="single" w:color="auto" w:sz="4" w:space="0"/>
                    <w:right w:val="single" w:color="auto" w:sz="4" w:space="0"/>
                  </w:tcBorders>
                  <w:vAlign w:val="center"/>
                </w:tcPr>
                <w:p w14:paraId="6A7582AD">
                  <w:pPr>
                    <w:ind w:left="-105" w:leftChars="-50" w:right="-105" w:rightChars="-50"/>
                    <w:jc w:val="center"/>
                  </w:pPr>
                  <w:r>
                    <w:rPr>
                      <w:rFonts w:hint="eastAsia"/>
                    </w:rPr>
                    <w:t>12.5</w:t>
                  </w:r>
                </w:p>
              </w:tc>
              <w:tc>
                <w:tcPr>
                  <w:tcW w:w="405" w:type="pct"/>
                  <w:vMerge w:val="restart"/>
                  <w:tcBorders>
                    <w:top w:val="single" w:color="auto" w:sz="4" w:space="0"/>
                    <w:left w:val="single" w:color="auto" w:sz="4" w:space="0"/>
                    <w:right w:val="single" w:color="auto" w:sz="4" w:space="0"/>
                  </w:tcBorders>
                  <w:vAlign w:val="center"/>
                </w:tcPr>
                <w:p w14:paraId="39230675">
                  <w:pPr>
                    <w:jc w:val="center"/>
                  </w:pPr>
                  <w:r>
                    <w:t>符合</w:t>
                  </w:r>
                </w:p>
              </w:tc>
            </w:tr>
            <w:tr w14:paraId="46C3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284FE0A5">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1B69DEA7">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478F75CC">
                  <w:pPr>
                    <w:ind w:left="-105" w:leftChars="-50" w:right="-105" w:rightChars="-50"/>
                    <w:jc w:val="center"/>
                  </w:pPr>
                  <w:r>
                    <w:t>不涉及</w:t>
                  </w:r>
                </w:p>
              </w:tc>
              <w:tc>
                <w:tcPr>
                  <w:tcW w:w="1009" w:type="pct"/>
                  <w:tcBorders>
                    <w:top w:val="single" w:color="auto" w:sz="4" w:space="0"/>
                    <w:left w:val="single" w:color="auto" w:sz="4" w:space="0"/>
                    <w:bottom w:val="single" w:color="auto" w:sz="4" w:space="0"/>
                    <w:right w:val="single" w:color="auto" w:sz="4" w:space="0"/>
                  </w:tcBorders>
                  <w:vAlign w:val="center"/>
                </w:tcPr>
                <w:p w14:paraId="65A6F7BC">
                  <w:pPr>
                    <w:ind w:left="-105" w:leftChars="-50" w:right="-105" w:rightChars="-50"/>
                    <w:jc w:val="center"/>
                  </w:pPr>
                  <w:r>
                    <w:t>不涉及</w:t>
                  </w:r>
                </w:p>
              </w:tc>
              <w:tc>
                <w:tcPr>
                  <w:tcW w:w="963" w:type="pct"/>
                  <w:tcBorders>
                    <w:left w:val="single" w:color="auto" w:sz="4" w:space="0"/>
                    <w:bottom w:val="single" w:color="auto" w:sz="4" w:space="0"/>
                    <w:right w:val="single" w:color="auto" w:sz="4" w:space="0"/>
                  </w:tcBorders>
                  <w:vAlign w:val="center"/>
                </w:tcPr>
                <w:p w14:paraId="517AE553">
                  <w:pPr>
                    <w:ind w:left="-105" w:leftChars="-50" w:right="-105" w:rightChars="-50"/>
                    <w:jc w:val="center"/>
                  </w:pPr>
                  <w:r>
                    <w:t>不涉及</w:t>
                  </w:r>
                </w:p>
              </w:tc>
              <w:tc>
                <w:tcPr>
                  <w:tcW w:w="405" w:type="pct"/>
                  <w:vMerge w:val="continue"/>
                  <w:tcBorders>
                    <w:left w:val="single" w:color="auto" w:sz="4" w:space="0"/>
                    <w:bottom w:val="single" w:color="auto" w:sz="4" w:space="0"/>
                    <w:right w:val="single" w:color="auto" w:sz="4" w:space="0"/>
                  </w:tcBorders>
                  <w:vAlign w:val="center"/>
                </w:tcPr>
                <w:p w14:paraId="72BC8EEB">
                  <w:pPr>
                    <w:jc w:val="center"/>
                  </w:pPr>
                </w:p>
              </w:tc>
            </w:tr>
            <w:tr w14:paraId="732F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614AAB38">
                  <w:pPr>
                    <w:jc w:val="center"/>
                  </w:pPr>
                  <w:r>
                    <w:t>铁路、地上城市轨道线路</w:t>
                  </w:r>
                </w:p>
              </w:tc>
              <w:tc>
                <w:tcPr>
                  <w:tcW w:w="528" w:type="pct"/>
                  <w:tcBorders>
                    <w:top w:val="single" w:color="auto" w:sz="4" w:space="0"/>
                    <w:left w:val="single" w:color="auto" w:sz="4" w:space="0"/>
                    <w:bottom w:val="single" w:color="auto" w:sz="4" w:space="0"/>
                    <w:right w:val="single" w:color="auto" w:sz="4" w:space="0"/>
                  </w:tcBorders>
                  <w:vAlign w:val="center"/>
                </w:tcPr>
                <w:p w14:paraId="08976880">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3390B238">
                  <w:pPr>
                    <w:ind w:left="-105" w:leftChars="-50" w:right="-105" w:rightChars="-50"/>
                    <w:jc w:val="center"/>
                  </w:pPr>
                  <w:r>
                    <w:rPr>
                      <w:rFonts w:hint="eastAsia"/>
                    </w:rPr>
                    <w:t>15.5</w:t>
                  </w:r>
                </w:p>
              </w:tc>
              <w:tc>
                <w:tcPr>
                  <w:tcW w:w="1009" w:type="pct"/>
                  <w:tcBorders>
                    <w:top w:val="single" w:color="auto" w:sz="4" w:space="0"/>
                    <w:left w:val="single" w:color="auto" w:sz="4" w:space="0"/>
                    <w:bottom w:val="single" w:color="auto" w:sz="4" w:space="0"/>
                    <w:right w:val="single" w:color="auto" w:sz="4" w:space="0"/>
                  </w:tcBorders>
                  <w:vAlign w:val="center"/>
                </w:tcPr>
                <w:p w14:paraId="5111DF44">
                  <w:pPr>
                    <w:ind w:left="-105" w:leftChars="-50" w:right="-105" w:rightChars="-50"/>
                    <w:jc w:val="center"/>
                  </w:pPr>
                  <w:r>
                    <w:rPr>
                      <w:rFonts w:hint="eastAsia"/>
                    </w:rPr>
                    <w:t>15.5</w:t>
                  </w:r>
                </w:p>
              </w:tc>
              <w:tc>
                <w:tcPr>
                  <w:tcW w:w="963" w:type="pct"/>
                  <w:tcBorders>
                    <w:top w:val="single" w:color="auto" w:sz="4" w:space="0"/>
                    <w:left w:val="single" w:color="auto" w:sz="4" w:space="0"/>
                    <w:right w:val="single" w:color="auto" w:sz="4" w:space="0"/>
                  </w:tcBorders>
                  <w:vAlign w:val="center"/>
                </w:tcPr>
                <w:p w14:paraId="35AF1423">
                  <w:pPr>
                    <w:ind w:left="-105" w:leftChars="-50" w:right="-105" w:rightChars="-50"/>
                    <w:jc w:val="center"/>
                  </w:pPr>
                  <w:r>
                    <w:rPr>
                      <w:rFonts w:hint="eastAsia"/>
                    </w:rPr>
                    <w:t>15.5</w:t>
                  </w:r>
                </w:p>
              </w:tc>
              <w:tc>
                <w:tcPr>
                  <w:tcW w:w="405" w:type="pct"/>
                  <w:vMerge w:val="restart"/>
                  <w:tcBorders>
                    <w:top w:val="single" w:color="auto" w:sz="4" w:space="0"/>
                    <w:left w:val="single" w:color="auto" w:sz="4" w:space="0"/>
                    <w:right w:val="single" w:color="auto" w:sz="4" w:space="0"/>
                  </w:tcBorders>
                  <w:vAlign w:val="center"/>
                </w:tcPr>
                <w:p w14:paraId="18A453CA">
                  <w:pPr>
                    <w:jc w:val="center"/>
                  </w:pPr>
                  <w:r>
                    <w:t>符合</w:t>
                  </w:r>
                </w:p>
              </w:tc>
            </w:tr>
            <w:tr w14:paraId="60C2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74F9A928">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28DB52A7">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00FE9289">
                  <w:pPr>
                    <w:ind w:left="-105" w:leftChars="-50" w:right="-105" w:rightChars="-50"/>
                    <w:jc w:val="center"/>
                  </w:pPr>
                  <w:r>
                    <w:t>不涉及</w:t>
                  </w:r>
                </w:p>
              </w:tc>
              <w:tc>
                <w:tcPr>
                  <w:tcW w:w="1009" w:type="pct"/>
                  <w:tcBorders>
                    <w:top w:val="single" w:color="auto" w:sz="4" w:space="0"/>
                    <w:left w:val="single" w:color="auto" w:sz="4" w:space="0"/>
                    <w:bottom w:val="single" w:color="auto" w:sz="4" w:space="0"/>
                    <w:right w:val="single" w:color="auto" w:sz="4" w:space="0"/>
                  </w:tcBorders>
                  <w:vAlign w:val="center"/>
                </w:tcPr>
                <w:p w14:paraId="41483848">
                  <w:pPr>
                    <w:ind w:left="-105" w:leftChars="-50" w:right="-105" w:rightChars="-50"/>
                    <w:jc w:val="center"/>
                  </w:pPr>
                  <w:r>
                    <w:t>不涉及</w:t>
                  </w:r>
                </w:p>
              </w:tc>
              <w:tc>
                <w:tcPr>
                  <w:tcW w:w="963" w:type="pct"/>
                  <w:tcBorders>
                    <w:left w:val="single" w:color="auto" w:sz="4" w:space="0"/>
                    <w:bottom w:val="single" w:color="auto" w:sz="4" w:space="0"/>
                    <w:right w:val="single" w:color="auto" w:sz="4" w:space="0"/>
                  </w:tcBorders>
                  <w:vAlign w:val="center"/>
                </w:tcPr>
                <w:p w14:paraId="0AA409F0">
                  <w:pPr>
                    <w:ind w:left="-105" w:leftChars="-50" w:right="-105" w:rightChars="-50"/>
                    <w:jc w:val="center"/>
                  </w:pPr>
                  <w:r>
                    <w:t>不涉及</w:t>
                  </w:r>
                </w:p>
              </w:tc>
              <w:tc>
                <w:tcPr>
                  <w:tcW w:w="405" w:type="pct"/>
                  <w:vMerge w:val="continue"/>
                  <w:tcBorders>
                    <w:left w:val="single" w:color="auto" w:sz="4" w:space="0"/>
                    <w:bottom w:val="single" w:color="auto" w:sz="4" w:space="0"/>
                    <w:right w:val="single" w:color="auto" w:sz="4" w:space="0"/>
                  </w:tcBorders>
                  <w:vAlign w:val="center"/>
                </w:tcPr>
                <w:p w14:paraId="521DEAB8">
                  <w:pPr>
                    <w:jc w:val="center"/>
                  </w:pPr>
                </w:p>
              </w:tc>
            </w:tr>
            <w:tr w14:paraId="7888F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1CF4EE92">
                  <w:pPr>
                    <w:jc w:val="center"/>
                  </w:pPr>
                  <w:r>
                    <w:t>城市快速路、主干路和高速公路路、一级公路二级公路</w:t>
                  </w:r>
                </w:p>
              </w:tc>
              <w:tc>
                <w:tcPr>
                  <w:tcW w:w="528" w:type="pct"/>
                  <w:tcBorders>
                    <w:top w:val="single" w:color="auto" w:sz="4" w:space="0"/>
                    <w:left w:val="single" w:color="auto" w:sz="4" w:space="0"/>
                    <w:bottom w:val="single" w:color="auto" w:sz="4" w:space="0"/>
                    <w:right w:val="single" w:color="auto" w:sz="4" w:space="0"/>
                  </w:tcBorders>
                  <w:vAlign w:val="center"/>
                </w:tcPr>
                <w:p w14:paraId="7B710C89">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3AFAD822">
                  <w:pPr>
                    <w:ind w:left="-105" w:leftChars="-50" w:right="-105" w:rightChars="-50"/>
                    <w:jc w:val="center"/>
                  </w:pPr>
                  <w:r>
                    <w:rPr>
                      <w:rFonts w:hint="eastAsia"/>
                    </w:rPr>
                    <w:t>5.5</w:t>
                  </w:r>
                </w:p>
              </w:tc>
              <w:tc>
                <w:tcPr>
                  <w:tcW w:w="1009" w:type="pct"/>
                  <w:tcBorders>
                    <w:top w:val="single" w:color="auto" w:sz="4" w:space="0"/>
                    <w:left w:val="single" w:color="auto" w:sz="4" w:space="0"/>
                    <w:bottom w:val="single" w:color="auto" w:sz="4" w:space="0"/>
                    <w:right w:val="single" w:color="auto" w:sz="4" w:space="0"/>
                  </w:tcBorders>
                  <w:vAlign w:val="center"/>
                </w:tcPr>
                <w:p w14:paraId="44426DA3">
                  <w:pPr>
                    <w:ind w:left="-105" w:leftChars="-50" w:right="-105" w:rightChars="-50"/>
                    <w:jc w:val="center"/>
                  </w:pPr>
                  <w:r>
                    <w:rPr>
                      <w:rFonts w:hint="eastAsia"/>
                    </w:rPr>
                    <w:t>5</w:t>
                  </w:r>
                </w:p>
              </w:tc>
              <w:tc>
                <w:tcPr>
                  <w:tcW w:w="963" w:type="pct"/>
                  <w:tcBorders>
                    <w:top w:val="single" w:color="auto" w:sz="4" w:space="0"/>
                    <w:left w:val="single" w:color="auto" w:sz="4" w:space="0"/>
                    <w:right w:val="single" w:color="auto" w:sz="4" w:space="0"/>
                  </w:tcBorders>
                  <w:vAlign w:val="center"/>
                </w:tcPr>
                <w:p w14:paraId="4374E586">
                  <w:pPr>
                    <w:ind w:left="-105" w:leftChars="-50" w:right="-105" w:rightChars="-50"/>
                    <w:jc w:val="center"/>
                  </w:pPr>
                  <w:r>
                    <w:rPr>
                      <w:rFonts w:hint="eastAsia"/>
                    </w:rPr>
                    <w:t>5</w:t>
                  </w:r>
                </w:p>
              </w:tc>
              <w:tc>
                <w:tcPr>
                  <w:tcW w:w="405" w:type="pct"/>
                  <w:vMerge w:val="restart"/>
                  <w:tcBorders>
                    <w:top w:val="single" w:color="auto" w:sz="4" w:space="0"/>
                    <w:left w:val="single" w:color="auto" w:sz="4" w:space="0"/>
                    <w:right w:val="single" w:color="auto" w:sz="4" w:space="0"/>
                  </w:tcBorders>
                  <w:vAlign w:val="center"/>
                </w:tcPr>
                <w:p w14:paraId="76962150">
                  <w:pPr>
                    <w:jc w:val="center"/>
                  </w:pPr>
                  <w:r>
                    <w:t>符合</w:t>
                  </w:r>
                </w:p>
              </w:tc>
            </w:tr>
            <w:tr w14:paraId="396E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3ACD6AD3">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758805E1">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7E5671C9">
                  <w:pPr>
                    <w:ind w:left="-105" w:leftChars="-50" w:right="-105" w:rightChars="-50"/>
                    <w:jc w:val="center"/>
                  </w:pPr>
                  <w:r>
                    <w:t>距离</w:t>
                  </w:r>
                  <w:r>
                    <w:rPr>
                      <w:rFonts w:hint="eastAsia"/>
                    </w:rPr>
                    <w:t>迎宾大道59.6</w:t>
                  </w:r>
                </w:p>
              </w:tc>
              <w:tc>
                <w:tcPr>
                  <w:tcW w:w="1009" w:type="pct"/>
                  <w:tcBorders>
                    <w:top w:val="single" w:color="auto" w:sz="4" w:space="0"/>
                    <w:left w:val="single" w:color="auto" w:sz="4" w:space="0"/>
                    <w:bottom w:val="single" w:color="auto" w:sz="4" w:space="0"/>
                    <w:right w:val="single" w:color="auto" w:sz="4" w:space="0"/>
                  </w:tcBorders>
                  <w:shd w:val="clear" w:color="auto" w:fill="auto"/>
                  <w:vAlign w:val="center"/>
                </w:tcPr>
                <w:p w14:paraId="55581F55">
                  <w:pPr>
                    <w:ind w:left="-105" w:leftChars="-50" w:right="-105" w:rightChars="-50"/>
                    <w:jc w:val="center"/>
                  </w:pPr>
                  <w:r>
                    <w:t>距离</w:t>
                  </w:r>
                  <w:r>
                    <w:rPr>
                      <w:rFonts w:hint="eastAsia"/>
                    </w:rPr>
                    <w:t>迎宾大道63.7</w:t>
                  </w:r>
                </w:p>
              </w:tc>
              <w:tc>
                <w:tcPr>
                  <w:tcW w:w="963" w:type="pct"/>
                  <w:tcBorders>
                    <w:left w:val="single" w:color="auto" w:sz="4" w:space="0"/>
                    <w:bottom w:val="single" w:color="auto" w:sz="4" w:space="0"/>
                    <w:right w:val="single" w:color="auto" w:sz="4" w:space="0"/>
                  </w:tcBorders>
                  <w:vAlign w:val="center"/>
                </w:tcPr>
                <w:p w14:paraId="30B6EEB3">
                  <w:pPr>
                    <w:ind w:left="-105" w:leftChars="-50" w:right="-105" w:rightChars="-50"/>
                    <w:jc w:val="center"/>
                  </w:pPr>
                  <w:r>
                    <w:t>距离</w:t>
                  </w:r>
                  <w:r>
                    <w:rPr>
                      <w:rFonts w:hint="eastAsia"/>
                    </w:rPr>
                    <w:t>迎宾大道22.1</w:t>
                  </w:r>
                </w:p>
              </w:tc>
              <w:tc>
                <w:tcPr>
                  <w:tcW w:w="405" w:type="pct"/>
                  <w:vMerge w:val="continue"/>
                  <w:tcBorders>
                    <w:left w:val="single" w:color="auto" w:sz="4" w:space="0"/>
                    <w:bottom w:val="single" w:color="auto" w:sz="4" w:space="0"/>
                    <w:right w:val="single" w:color="auto" w:sz="4" w:space="0"/>
                  </w:tcBorders>
                  <w:vAlign w:val="center"/>
                </w:tcPr>
                <w:p w14:paraId="74F0154D">
                  <w:pPr>
                    <w:jc w:val="center"/>
                  </w:pPr>
                </w:p>
              </w:tc>
            </w:tr>
            <w:tr w14:paraId="5910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51F6F50B">
                  <w:pPr>
                    <w:jc w:val="center"/>
                  </w:pPr>
                  <w:r>
                    <w:t>城市次干路、支路和三级公路、四级公路</w:t>
                  </w:r>
                </w:p>
              </w:tc>
              <w:tc>
                <w:tcPr>
                  <w:tcW w:w="528" w:type="pct"/>
                  <w:tcBorders>
                    <w:top w:val="single" w:color="auto" w:sz="4" w:space="0"/>
                    <w:left w:val="single" w:color="auto" w:sz="4" w:space="0"/>
                    <w:bottom w:val="single" w:color="auto" w:sz="4" w:space="0"/>
                    <w:right w:val="single" w:color="auto" w:sz="4" w:space="0"/>
                  </w:tcBorders>
                  <w:vAlign w:val="center"/>
                </w:tcPr>
                <w:p w14:paraId="0A23851C">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0FB63C0C">
                  <w:pPr>
                    <w:ind w:left="-105" w:leftChars="-50" w:right="-105" w:rightChars="-50"/>
                    <w:jc w:val="center"/>
                  </w:pPr>
                  <w:r>
                    <w:rPr>
                      <w:rFonts w:hint="eastAsia"/>
                    </w:rPr>
                    <w:t>5</w:t>
                  </w:r>
                </w:p>
              </w:tc>
              <w:tc>
                <w:tcPr>
                  <w:tcW w:w="1009" w:type="pct"/>
                  <w:tcBorders>
                    <w:top w:val="single" w:color="auto" w:sz="4" w:space="0"/>
                    <w:left w:val="single" w:color="auto" w:sz="4" w:space="0"/>
                    <w:bottom w:val="single" w:color="auto" w:sz="4" w:space="0"/>
                    <w:right w:val="single" w:color="auto" w:sz="4" w:space="0"/>
                  </w:tcBorders>
                  <w:vAlign w:val="center"/>
                </w:tcPr>
                <w:p w14:paraId="5D2A46AA">
                  <w:pPr>
                    <w:ind w:left="-105" w:leftChars="-50" w:right="-105" w:rightChars="-50"/>
                    <w:jc w:val="center"/>
                  </w:pPr>
                  <w:r>
                    <w:rPr>
                      <w:rFonts w:hint="eastAsia"/>
                    </w:rPr>
                    <w:t>5</w:t>
                  </w:r>
                </w:p>
              </w:tc>
              <w:tc>
                <w:tcPr>
                  <w:tcW w:w="963" w:type="pct"/>
                  <w:tcBorders>
                    <w:top w:val="single" w:color="auto" w:sz="4" w:space="0"/>
                    <w:left w:val="single" w:color="auto" w:sz="4" w:space="0"/>
                    <w:right w:val="single" w:color="auto" w:sz="4" w:space="0"/>
                  </w:tcBorders>
                  <w:vAlign w:val="center"/>
                </w:tcPr>
                <w:p w14:paraId="39E5CB57">
                  <w:pPr>
                    <w:ind w:left="-105" w:leftChars="-50" w:right="-105" w:rightChars="-50"/>
                    <w:jc w:val="center"/>
                  </w:pPr>
                  <w:r>
                    <w:rPr>
                      <w:rFonts w:hint="eastAsia"/>
                    </w:rPr>
                    <w:t>5</w:t>
                  </w:r>
                </w:p>
              </w:tc>
              <w:tc>
                <w:tcPr>
                  <w:tcW w:w="405" w:type="pct"/>
                  <w:vMerge w:val="restart"/>
                  <w:tcBorders>
                    <w:top w:val="single" w:color="auto" w:sz="4" w:space="0"/>
                    <w:left w:val="single" w:color="auto" w:sz="4" w:space="0"/>
                    <w:right w:val="single" w:color="auto" w:sz="4" w:space="0"/>
                  </w:tcBorders>
                  <w:vAlign w:val="center"/>
                </w:tcPr>
                <w:p w14:paraId="3FB68B71">
                  <w:pPr>
                    <w:jc w:val="center"/>
                  </w:pPr>
                  <w:r>
                    <w:t>符合</w:t>
                  </w:r>
                </w:p>
              </w:tc>
            </w:tr>
            <w:tr w14:paraId="2931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60C545F2">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0B194995">
                  <w:pPr>
                    <w:ind w:left="-105" w:leftChars="-50" w:right="-105" w:rightChars="-50"/>
                    <w:jc w:val="center"/>
                  </w:pPr>
                  <w:r>
                    <w:t>本项目</w:t>
                  </w:r>
                </w:p>
              </w:tc>
              <w:tc>
                <w:tcPr>
                  <w:tcW w:w="1679" w:type="dxa"/>
                  <w:tcBorders>
                    <w:top w:val="single" w:color="auto" w:sz="4" w:space="0"/>
                    <w:left w:val="single" w:color="auto" w:sz="4" w:space="0"/>
                    <w:bottom w:val="single" w:color="auto" w:sz="4" w:space="0"/>
                    <w:right w:val="single" w:color="auto" w:sz="4" w:space="0"/>
                  </w:tcBorders>
                  <w:vAlign w:val="center"/>
                </w:tcPr>
                <w:p w14:paraId="6428857C">
                  <w:pPr>
                    <w:ind w:left="-105" w:leftChars="-50" w:right="-105" w:rightChars="-50"/>
                    <w:jc w:val="center"/>
                  </w:pPr>
                  <w:r>
                    <w:t>不涉及</w:t>
                  </w:r>
                </w:p>
              </w:tc>
              <w:tc>
                <w:tcPr>
                  <w:tcW w:w="1650" w:type="dxa"/>
                  <w:tcBorders>
                    <w:top w:val="single" w:color="auto" w:sz="4" w:space="0"/>
                    <w:left w:val="single" w:color="auto" w:sz="4" w:space="0"/>
                    <w:bottom w:val="single" w:color="auto" w:sz="4" w:space="0"/>
                    <w:right w:val="single" w:color="auto" w:sz="4" w:space="0"/>
                  </w:tcBorders>
                  <w:vAlign w:val="center"/>
                </w:tcPr>
                <w:p w14:paraId="0195D445">
                  <w:pPr>
                    <w:ind w:left="-105" w:leftChars="-50" w:right="-105" w:rightChars="-50"/>
                    <w:jc w:val="center"/>
                  </w:pPr>
                  <w:r>
                    <w:t>不涉及</w:t>
                  </w:r>
                </w:p>
              </w:tc>
              <w:tc>
                <w:tcPr>
                  <w:tcW w:w="1574" w:type="dxa"/>
                  <w:tcBorders>
                    <w:left w:val="single" w:color="auto" w:sz="4" w:space="0"/>
                    <w:bottom w:val="single" w:color="auto" w:sz="4" w:space="0"/>
                    <w:right w:val="single" w:color="auto" w:sz="4" w:space="0"/>
                  </w:tcBorders>
                  <w:vAlign w:val="center"/>
                </w:tcPr>
                <w:p w14:paraId="6BFD15F5">
                  <w:pPr>
                    <w:ind w:left="-105" w:leftChars="-50" w:right="-105" w:rightChars="-50"/>
                    <w:jc w:val="center"/>
                  </w:pPr>
                  <w:r>
                    <w:t>不涉及</w:t>
                  </w:r>
                </w:p>
              </w:tc>
              <w:tc>
                <w:tcPr>
                  <w:tcW w:w="405" w:type="pct"/>
                  <w:vMerge w:val="continue"/>
                  <w:tcBorders>
                    <w:left w:val="single" w:color="auto" w:sz="4" w:space="0"/>
                    <w:bottom w:val="single" w:color="auto" w:sz="4" w:space="0"/>
                    <w:right w:val="single" w:color="auto" w:sz="4" w:space="0"/>
                  </w:tcBorders>
                  <w:vAlign w:val="center"/>
                </w:tcPr>
                <w:p w14:paraId="67404F5D">
                  <w:pPr>
                    <w:jc w:val="center"/>
                  </w:pPr>
                </w:p>
              </w:tc>
            </w:tr>
            <w:tr w14:paraId="7BA8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6E4CAC57">
                  <w:pPr>
                    <w:jc w:val="center"/>
                  </w:pPr>
                  <w:r>
                    <w:t>架空通信线路</w:t>
                  </w:r>
                </w:p>
              </w:tc>
              <w:tc>
                <w:tcPr>
                  <w:tcW w:w="528" w:type="pct"/>
                  <w:tcBorders>
                    <w:top w:val="single" w:color="auto" w:sz="4" w:space="0"/>
                    <w:left w:val="single" w:color="auto" w:sz="4" w:space="0"/>
                    <w:bottom w:val="single" w:color="auto" w:sz="4" w:space="0"/>
                    <w:right w:val="single" w:color="auto" w:sz="4" w:space="0"/>
                  </w:tcBorders>
                  <w:vAlign w:val="center"/>
                </w:tcPr>
                <w:p w14:paraId="0E7C81C4">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598AEEEE">
                  <w:pPr>
                    <w:ind w:left="-105" w:leftChars="-50" w:right="-105" w:rightChars="-50"/>
                    <w:jc w:val="center"/>
                  </w:pPr>
                  <w:r>
                    <w:rPr>
                      <w:rFonts w:hint="eastAsia"/>
                    </w:rPr>
                    <w:t>5</w:t>
                  </w:r>
                </w:p>
              </w:tc>
              <w:tc>
                <w:tcPr>
                  <w:tcW w:w="1009" w:type="pct"/>
                  <w:tcBorders>
                    <w:top w:val="single" w:color="auto" w:sz="4" w:space="0"/>
                    <w:left w:val="single" w:color="auto" w:sz="4" w:space="0"/>
                    <w:bottom w:val="single" w:color="auto" w:sz="4" w:space="0"/>
                    <w:right w:val="single" w:color="auto" w:sz="4" w:space="0"/>
                  </w:tcBorders>
                  <w:vAlign w:val="center"/>
                </w:tcPr>
                <w:p w14:paraId="41FCF92D">
                  <w:pPr>
                    <w:ind w:left="-105" w:leftChars="-50" w:right="-105" w:rightChars="-50"/>
                    <w:jc w:val="center"/>
                  </w:pPr>
                  <w:r>
                    <w:rPr>
                      <w:rFonts w:hint="eastAsia"/>
                    </w:rPr>
                    <w:t>5</w:t>
                  </w:r>
                </w:p>
              </w:tc>
              <w:tc>
                <w:tcPr>
                  <w:tcW w:w="963" w:type="pct"/>
                  <w:tcBorders>
                    <w:top w:val="single" w:color="auto" w:sz="4" w:space="0"/>
                    <w:left w:val="single" w:color="auto" w:sz="4" w:space="0"/>
                    <w:right w:val="single" w:color="auto" w:sz="4" w:space="0"/>
                  </w:tcBorders>
                  <w:vAlign w:val="center"/>
                </w:tcPr>
                <w:p w14:paraId="20F00F96">
                  <w:pPr>
                    <w:ind w:left="-105" w:leftChars="-50" w:right="-105" w:rightChars="-50"/>
                    <w:jc w:val="center"/>
                  </w:pPr>
                  <w:r>
                    <w:rPr>
                      <w:rFonts w:hint="eastAsia"/>
                    </w:rPr>
                    <w:t>5</w:t>
                  </w:r>
                </w:p>
              </w:tc>
              <w:tc>
                <w:tcPr>
                  <w:tcW w:w="405" w:type="pct"/>
                  <w:vMerge w:val="restart"/>
                  <w:tcBorders>
                    <w:top w:val="single" w:color="auto" w:sz="4" w:space="0"/>
                    <w:left w:val="single" w:color="auto" w:sz="4" w:space="0"/>
                    <w:right w:val="single" w:color="auto" w:sz="4" w:space="0"/>
                  </w:tcBorders>
                  <w:vAlign w:val="center"/>
                </w:tcPr>
                <w:p w14:paraId="3492B7F9">
                  <w:pPr>
                    <w:jc w:val="center"/>
                  </w:pPr>
                  <w:r>
                    <w:t>符合</w:t>
                  </w:r>
                </w:p>
              </w:tc>
            </w:tr>
            <w:tr w14:paraId="6BB2D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0D450408">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2BB84EB2">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58AFC772">
                  <w:pPr>
                    <w:ind w:left="-105" w:leftChars="-50" w:right="-105" w:rightChars="-50"/>
                    <w:jc w:val="center"/>
                  </w:pPr>
                  <w:r>
                    <w:rPr>
                      <w:rFonts w:hint="eastAsia"/>
                    </w:rPr>
                    <w:t>52.5</w:t>
                  </w:r>
                </w:p>
              </w:tc>
              <w:tc>
                <w:tcPr>
                  <w:tcW w:w="1009" w:type="pct"/>
                  <w:tcBorders>
                    <w:top w:val="single" w:color="auto" w:sz="4" w:space="0"/>
                    <w:left w:val="single" w:color="auto" w:sz="4" w:space="0"/>
                    <w:bottom w:val="single" w:color="auto" w:sz="4" w:space="0"/>
                    <w:right w:val="single" w:color="auto" w:sz="4" w:space="0"/>
                  </w:tcBorders>
                  <w:vAlign w:val="center"/>
                </w:tcPr>
                <w:p w14:paraId="6A8356E0">
                  <w:pPr>
                    <w:ind w:left="-105" w:leftChars="-50" w:right="-105" w:rightChars="-50"/>
                    <w:jc w:val="center"/>
                  </w:pPr>
                  <w:r>
                    <w:rPr>
                      <w:rFonts w:hint="eastAsia"/>
                    </w:rPr>
                    <w:t>56.9</w:t>
                  </w:r>
                </w:p>
              </w:tc>
              <w:tc>
                <w:tcPr>
                  <w:tcW w:w="963" w:type="pct"/>
                  <w:tcBorders>
                    <w:left w:val="single" w:color="auto" w:sz="4" w:space="0"/>
                    <w:bottom w:val="single" w:color="auto" w:sz="4" w:space="0"/>
                    <w:right w:val="single" w:color="auto" w:sz="4" w:space="0"/>
                  </w:tcBorders>
                  <w:vAlign w:val="center"/>
                </w:tcPr>
                <w:p w14:paraId="4BA8AFE2">
                  <w:pPr>
                    <w:ind w:left="-105" w:leftChars="-50" w:right="-105" w:rightChars="-50"/>
                    <w:jc w:val="center"/>
                  </w:pPr>
                  <w:r>
                    <w:rPr>
                      <w:rFonts w:hint="eastAsia"/>
                    </w:rPr>
                    <w:t>15.3</w:t>
                  </w:r>
                </w:p>
              </w:tc>
              <w:tc>
                <w:tcPr>
                  <w:tcW w:w="405" w:type="pct"/>
                  <w:vMerge w:val="continue"/>
                  <w:tcBorders>
                    <w:left w:val="single" w:color="auto" w:sz="4" w:space="0"/>
                    <w:bottom w:val="single" w:color="auto" w:sz="4" w:space="0"/>
                    <w:right w:val="single" w:color="auto" w:sz="4" w:space="0"/>
                  </w:tcBorders>
                  <w:vAlign w:val="center"/>
                </w:tcPr>
                <w:p w14:paraId="21704925">
                  <w:pPr>
                    <w:jc w:val="center"/>
                  </w:pPr>
                </w:p>
              </w:tc>
            </w:tr>
            <w:tr w14:paraId="0F2C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pct"/>
                  <w:gridSpan w:val="2"/>
                  <w:vMerge w:val="restart"/>
                  <w:tcBorders>
                    <w:top w:val="single" w:color="auto" w:sz="4" w:space="0"/>
                    <w:left w:val="single" w:color="auto" w:sz="4" w:space="0"/>
                    <w:right w:val="single" w:color="auto" w:sz="4" w:space="0"/>
                  </w:tcBorders>
                  <w:vAlign w:val="center"/>
                </w:tcPr>
                <w:p w14:paraId="468863B8">
                  <w:pPr>
                    <w:jc w:val="center"/>
                  </w:pPr>
                  <w:r>
                    <w:t>架空电力线路</w:t>
                  </w:r>
                </w:p>
              </w:tc>
              <w:tc>
                <w:tcPr>
                  <w:tcW w:w="521" w:type="pct"/>
                  <w:vMerge w:val="restart"/>
                  <w:tcBorders>
                    <w:top w:val="single" w:color="auto" w:sz="4" w:space="0"/>
                    <w:left w:val="single" w:color="auto" w:sz="4" w:space="0"/>
                    <w:right w:val="single" w:color="auto" w:sz="4" w:space="0"/>
                  </w:tcBorders>
                  <w:vAlign w:val="center"/>
                </w:tcPr>
                <w:p w14:paraId="79667583">
                  <w:pPr>
                    <w:jc w:val="center"/>
                  </w:pPr>
                  <w:r>
                    <w:t>无</w:t>
                  </w:r>
                </w:p>
                <w:p w14:paraId="6AB72377">
                  <w:pPr>
                    <w:jc w:val="center"/>
                  </w:pPr>
                  <w:r>
                    <w:t>绝缘层</w:t>
                  </w:r>
                </w:p>
              </w:tc>
              <w:tc>
                <w:tcPr>
                  <w:tcW w:w="528" w:type="pct"/>
                  <w:tcBorders>
                    <w:top w:val="single" w:color="auto" w:sz="4" w:space="0"/>
                    <w:left w:val="single" w:color="auto" w:sz="4" w:space="0"/>
                    <w:bottom w:val="single" w:color="auto" w:sz="4" w:space="0"/>
                    <w:right w:val="single" w:color="auto" w:sz="4" w:space="0"/>
                  </w:tcBorders>
                  <w:vAlign w:val="center"/>
                </w:tcPr>
                <w:p w14:paraId="0ED87642">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213D7647">
                  <w:pPr>
                    <w:ind w:left="-105" w:leftChars="-50" w:right="-105" w:rightChars="-50"/>
                    <w:jc w:val="center"/>
                  </w:pPr>
                  <w:r>
                    <w:rPr>
                      <w:rFonts w:hint="eastAsia"/>
                    </w:rPr>
                    <w:t>1.0（0.75）H，且≥6.5m</w:t>
                  </w:r>
                </w:p>
              </w:tc>
              <w:tc>
                <w:tcPr>
                  <w:tcW w:w="1009" w:type="pct"/>
                  <w:tcBorders>
                    <w:top w:val="single" w:color="auto" w:sz="4" w:space="0"/>
                    <w:left w:val="single" w:color="auto" w:sz="4" w:space="0"/>
                    <w:bottom w:val="single" w:color="auto" w:sz="4" w:space="0"/>
                    <w:right w:val="single" w:color="auto" w:sz="4" w:space="0"/>
                  </w:tcBorders>
                  <w:vAlign w:val="center"/>
                </w:tcPr>
                <w:p w14:paraId="4DEF5364">
                  <w:pPr>
                    <w:ind w:left="-105" w:leftChars="-50" w:right="-105" w:rightChars="-50"/>
                    <w:jc w:val="center"/>
                  </w:pPr>
                  <w:r>
                    <w:rPr>
                      <w:rFonts w:hint="eastAsia"/>
                    </w:rPr>
                    <w:t>6.5</w:t>
                  </w:r>
                </w:p>
              </w:tc>
              <w:tc>
                <w:tcPr>
                  <w:tcW w:w="963" w:type="pct"/>
                  <w:tcBorders>
                    <w:top w:val="single" w:color="auto" w:sz="4" w:space="0"/>
                    <w:left w:val="single" w:color="auto" w:sz="4" w:space="0"/>
                    <w:right w:val="single" w:color="auto" w:sz="4" w:space="0"/>
                  </w:tcBorders>
                  <w:vAlign w:val="center"/>
                </w:tcPr>
                <w:p w14:paraId="715EF5BF">
                  <w:pPr>
                    <w:ind w:left="-105" w:leftChars="-50" w:right="-105" w:rightChars="-50"/>
                    <w:jc w:val="center"/>
                  </w:pPr>
                  <w:r>
                    <w:rPr>
                      <w:rFonts w:hint="eastAsia"/>
                    </w:rPr>
                    <w:t>6.5</w:t>
                  </w:r>
                </w:p>
              </w:tc>
              <w:tc>
                <w:tcPr>
                  <w:tcW w:w="405" w:type="pct"/>
                  <w:vMerge w:val="restart"/>
                  <w:tcBorders>
                    <w:top w:val="single" w:color="auto" w:sz="4" w:space="0"/>
                    <w:left w:val="single" w:color="auto" w:sz="4" w:space="0"/>
                    <w:right w:val="single" w:color="auto" w:sz="4" w:space="0"/>
                  </w:tcBorders>
                  <w:vAlign w:val="center"/>
                </w:tcPr>
                <w:p w14:paraId="63069918">
                  <w:pPr>
                    <w:jc w:val="center"/>
                  </w:pPr>
                  <w:r>
                    <w:t>符合</w:t>
                  </w:r>
                </w:p>
              </w:tc>
            </w:tr>
            <w:tr w14:paraId="04F2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45" w:type="pct"/>
                  <w:gridSpan w:val="2"/>
                  <w:vMerge w:val="continue"/>
                  <w:tcBorders>
                    <w:left w:val="single" w:color="auto" w:sz="4" w:space="0"/>
                    <w:right w:val="single" w:color="auto" w:sz="4" w:space="0"/>
                  </w:tcBorders>
                  <w:vAlign w:val="center"/>
                </w:tcPr>
                <w:p w14:paraId="2AC2A13D">
                  <w:pPr>
                    <w:jc w:val="center"/>
                  </w:pPr>
                </w:p>
              </w:tc>
              <w:tc>
                <w:tcPr>
                  <w:tcW w:w="521" w:type="pct"/>
                  <w:vMerge w:val="continue"/>
                  <w:tcBorders>
                    <w:left w:val="single" w:color="auto" w:sz="4" w:space="0"/>
                    <w:bottom w:val="single" w:color="auto" w:sz="4" w:space="0"/>
                    <w:right w:val="single" w:color="auto" w:sz="4" w:space="0"/>
                  </w:tcBorders>
                  <w:vAlign w:val="center"/>
                </w:tcPr>
                <w:p w14:paraId="07B06C2B">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16325A48">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24BE3986">
                  <w:pPr>
                    <w:ind w:left="-105" w:leftChars="-50" w:right="-105" w:rightChars="-50"/>
                    <w:jc w:val="center"/>
                  </w:pPr>
                  <w:r>
                    <w:t>不涉及</w:t>
                  </w:r>
                </w:p>
              </w:tc>
              <w:tc>
                <w:tcPr>
                  <w:tcW w:w="1009" w:type="pct"/>
                  <w:tcBorders>
                    <w:top w:val="single" w:color="auto" w:sz="4" w:space="0"/>
                    <w:left w:val="single" w:color="auto" w:sz="4" w:space="0"/>
                    <w:bottom w:val="single" w:color="auto" w:sz="4" w:space="0"/>
                    <w:right w:val="single" w:color="auto" w:sz="4" w:space="0"/>
                  </w:tcBorders>
                  <w:vAlign w:val="center"/>
                </w:tcPr>
                <w:p w14:paraId="30B19A74">
                  <w:pPr>
                    <w:ind w:left="-105" w:leftChars="-50" w:right="-105" w:rightChars="-50"/>
                    <w:jc w:val="center"/>
                  </w:pPr>
                  <w:r>
                    <w:t>不涉及</w:t>
                  </w:r>
                </w:p>
              </w:tc>
              <w:tc>
                <w:tcPr>
                  <w:tcW w:w="963" w:type="pct"/>
                  <w:tcBorders>
                    <w:left w:val="single" w:color="auto" w:sz="4" w:space="0"/>
                    <w:bottom w:val="single" w:color="auto" w:sz="4" w:space="0"/>
                    <w:right w:val="single" w:color="auto" w:sz="4" w:space="0"/>
                  </w:tcBorders>
                  <w:vAlign w:val="center"/>
                </w:tcPr>
                <w:p w14:paraId="287F26A3">
                  <w:pPr>
                    <w:ind w:left="-105" w:leftChars="-50" w:right="-105" w:rightChars="-50"/>
                    <w:jc w:val="center"/>
                  </w:pPr>
                  <w:r>
                    <w:t>不涉及</w:t>
                  </w:r>
                </w:p>
              </w:tc>
              <w:tc>
                <w:tcPr>
                  <w:tcW w:w="405" w:type="pct"/>
                  <w:vMerge w:val="continue"/>
                  <w:tcBorders>
                    <w:left w:val="single" w:color="auto" w:sz="4" w:space="0"/>
                    <w:bottom w:val="single" w:color="auto" w:sz="4" w:space="0"/>
                    <w:right w:val="single" w:color="auto" w:sz="4" w:space="0"/>
                  </w:tcBorders>
                  <w:vAlign w:val="center"/>
                </w:tcPr>
                <w:p w14:paraId="30FA1488">
                  <w:pPr>
                    <w:jc w:val="center"/>
                  </w:pPr>
                </w:p>
              </w:tc>
            </w:tr>
            <w:tr w14:paraId="451A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pct"/>
                  <w:gridSpan w:val="2"/>
                  <w:vMerge w:val="continue"/>
                  <w:tcBorders>
                    <w:left w:val="single" w:color="auto" w:sz="4" w:space="0"/>
                    <w:right w:val="single" w:color="auto" w:sz="4" w:space="0"/>
                  </w:tcBorders>
                  <w:vAlign w:val="center"/>
                </w:tcPr>
                <w:p w14:paraId="633F85A1">
                  <w:pPr>
                    <w:jc w:val="center"/>
                  </w:pPr>
                </w:p>
              </w:tc>
              <w:tc>
                <w:tcPr>
                  <w:tcW w:w="521" w:type="pct"/>
                  <w:vMerge w:val="restart"/>
                  <w:tcBorders>
                    <w:top w:val="single" w:color="auto" w:sz="4" w:space="0"/>
                    <w:left w:val="single" w:color="auto" w:sz="4" w:space="0"/>
                    <w:right w:val="single" w:color="auto" w:sz="4" w:space="0"/>
                  </w:tcBorders>
                  <w:vAlign w:val="center"/>
                </w:tcPr>
                <w:p w14:paraId="16F66375">
                  <w:pPr>
                    <w:jc w:val="center"/>
                  </w:pPr>
                  <w:r>
                    <w:t>有</w:t>
                  </w:r>
                </w:p>
                <w:p w14:paraId="05523D8C">
                  <w:pPr>
                    <w:jc w:val="center"/>
                  </w:pPr>
                  <w:r>
                    <w:t>绝缘层</w:t>
                  </w:r>
                </w:p>
              </w:tc>
              <w:tc>
                <w:tcPr>
                  <w:tcW w:w="528" w:type="pct"/>
                  <w:tcBorders>
                    <w:top w:val="single" w:color="auto" w:sz="4" w:space="0"/>
                    <w:left w:val="single" w:color="auto" w:sz="4" w:space="0"/>
                    <w:bottom w:val="single" w:color="auto" w:sz="4" w:space="0"/>
                    <w:right w:val="single" w:color="auto" w:sz="4" w:space="0"/>
                  </w:tcBorders>
                  <w:vAlign w:val="center"/>
                </w:tcPr>
                <w:p w14:paraId="3F0FE69F">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600F3588">
                  <w:pPr>
                    <w:ind w:left="-105" w:leftChars="-50" w:right="-105" w:rightChars="-50"/>
                    <w:jc w:val="center"/>
                  </w:pPr>
                  <w:r>
                    <w:rPr>
                      <w:rFonts w:hint="eastAsia"/>
                    </w:rPr>
                    <w:t>0.75（0.5）H，且≥5m</w:t>
                  </w:r>
                </w:p>
              </w:tc>
              <w:tc>
                <w:tcPr>
                  <w:tcW w:w="1009" w:type="pct"/>
                  <w:tcBorders>
                    <w:top w:val="single" w:color="auto" w:sz="4" w:space="0"/>
                    <w:left w:val="single" w:color="auto" w:sz="4" w:space="0"/>
                    <w:bottom w:val="single" w:color="auto" w:sz="4" w:space="0"/>
                    <w:right w:val="single" w:color="auto" w:sz="4" w:space="0"/>
                  </w:tcBorders>
                  <w:vAlign w:val="center"/>
                </w:tcPr>
                <w:p w14:paraId="42857F18">
                  <w:pPr>
                    <w:ind w:left="-105" w:leftChars="-50" w:right="-105" w:rightChars="-50"/>
                    <w:jc w:val="center"/>
                  </w:pPr>
                  <w:r>
                    <w:rPr>
                      <w:rFonts w:hint="eastAsia"/>
                    </w:rPr>
                    <w:t>5</w:t>
                  </w:r>
                </w:p>
              </w:tc>
              <w:tc>
                <w:tcPr>
                  <w:tcW w:w="963" w:type="pct"/>
                  <w:tcBorders>
                    <w:top w:val="single" w:color="auto" w:sz="4" w:space="0"/>
                    <w:left w:val="single" w:color="auto" w:sz="4" w:space="0"/>
                    <w:right w:val="single" w:color="auto" w:sz="4" w:space="0"/>
                  </w:tcBorders>
                  <w:vAlign w:val="center"/>
                </w:tcPr>
                <w:p w14:paraId="166989A6">
                  <w:pPr>
                    <w:ind w:left="-105" w:leftChars="-50" w:right="-105" w:rightChars="-50"/>
                    <w:jc w:val="center"/>
                  </w:pPr>
                  <w:r>
                    <w:rPr>
                      <w:rFonts w:hint="eastAsia"/>
                    </w:rPr>
                    <w:t>5</w:t>
                  </w:r>
                </w:p>
              </w:tc>
              <w:tc>
                <w:tcPr>
                  <w:tcW w:w="405" w:type="pct"/>
                  <w:vMerge w:val="restart"/>
                  <w:tcBorders>
                    <w:top w:val="single" w:color="auto" w:sz="4" w:space="0"/>
                    <w:left w:val="single" w:color="auto" w:sz="4" w:space="0"/>
                    <w:right w:val="single" w:color="auto" w:sz="4" w:space="0"/>
                  </w:tcBorders>
                  <w:vAlign w:val="center"/>
                </w:tcPr>
                <w:p w14:paraId="69D2552F">
                  <w:pPr>
                    <w:jc w:val="center"/>
                  </w:pPr>
                  <w:r>
                    <w:t>符合</w:t>
                  </w:r>
                </w:p>
              </w:tc>
            </w:tr>
            <w:tr w14:paraId="73EC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545" w:type="pct"/>
                  <w:gridSpan w:val="2"/>
                  <w:vMerge w:val="continue"/>
                  <w:tcBorders>
                    <w:left w:val="single" w:color="auto" w:sz="4" w:space="0"/>
                    <w:right w:val="single" w:color="auto" w:sz="4" w:space="0"/>
                  </w:tcBorders>
                  <w:vAlign w:val="center"/>
                </w:tcPr>
                <w:p w14:paraId="2F8C0F28">
                  <w:pPr>
                    <w:jc w:val="center"/>
                  </w:pPr>
                </w:p>
              </w:tc>
              <w:tc>
                <w:tcPr>
                  <w:tcW w:w="521" w:type="pct"/>
                  <w:vMerge w:val="continue"/>
                  <w:tcBorders>
                    <w:left w:val="single" w:color="auto" w:sz="4" w:space="0"/>
                    <w:right w:val="single" w:color="auto" w:sz="4" w:space="0"/>
                  </w:tcBorders>
                  <w:vAlign w:val="center"/>
                </w:tcPr>
                <w:p w14:paraId="2B2E2DC6">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259EE045">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5B0E7AA7">
                  <w:pPr>
                    <w:ind w:left="-105" w:leftChars="-50" w:right="-105" w:rightChars="-50"/>
                    <w:jc w:val="center"/>
                  </w:pPr>
                  <w:r>
                    <w:t>不涉及</w:t>
                  </w:r>
                </w:p>
              </w:tc>
              <w:tc>
                <w:tcPr>
                  <w:tcW w:w="1009" w:type="pct"/>
                  <w:tcBorders>
                    <w:top w:val="single" w:color="auto" w:sz="4" w:space="0"/>
                    <w:left w:val="single" w:color="auto" w:sz="4" w:space="0"/>
                    <w:bottom w:val="single" w:color="auto" w:sz="4" w:space="0"/>
                    <w:right w:val="single" w:color="auto" w:sz="4" w:space="0"/>
                  </w:tcBorders>
                  <w:vAlign w:val="center"/>
                </w:tcPr>
                <w:p w14:paraId="55842C5D">
                  <w:pPr>
                    <w:ind w:left="-105" w:leftChars="-50" w:right="-105" w:rightChars="-50"/>
                    <w:jc w:val="center"/>
                  </w:pPr>
                  <w:r>
                    <w:t>不涉及</w:t>
                  </w:r>
                </w:p>
              </w:tc>
              <w:tc>
                <w:tcPr>
                  <w:tcW w:w="963" w:type="pct"/>
                  <w:tcBorders>
                    <w:left w:val="single" w:color="auto" w:sz="4" w:space="0"/>
                    <w:right w:val="single" w:color="auto" w:sz="4" w:space="0"/>
                  </w:tcBorders>
                  <w:vAlign w:val="center"/>
                </w:tcPr>
                <w:p w14:paraId="4AA6C181">
                  <w:pPr>
                    <w:ind w:left="-105" w:leftChars="-50" w:right="-105" w:rightChars="-50"/>
                    <w:jc w:val="center"/>
                  </w:pPr>
                  <w:r>
                    <w:t>不涉及</w:t>
                  </w:r>
                </w:p>
              </w:tc>
              <w:tc>
                <w:tcPr>
                  <w:tcW w:w="405" w:type="pct"/>
                  <w:vMerge w:val="continue"/>
                  <w:tcBorders>
                    <w:left w:val="single" w:color="auto" w:sz="4" w:space="0"/>
                    <w:right w:val="single" w:color="auto" w:sz="4" w:space="0"/>
                  </w:tcBorders>
                  <w:vAlign w:val="center"/>
                </w:tcPr>
                <w:p w14:paraId="7A5A43E8">
                  <w:pPr>
                    <w:jc w:val="center"/>
                  </w:pPr>
                </w:p>
              </w:tc>
            </w:tr>
            <w:tr w14:paraId="3439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94" w:type="pct"/>
                  <w:gridSpan w:val="7"/>
                  <w:tcBorders>
                    <w:left w:val="single" w:color="auto" w:sz="4" w:space="0"/>
                    <w:bottom w:val="single" w:color="auto" w:sz="4" w:space="0"/>
                    <w:right w:val="single" w:color="auto" w:sz="4" w:space="0"/>
                  </w:tcBorders>
                  <w:vAlign w:val="center"/>
                </w:tcPr>
                <w:p w14:paraId="434EDCB9">
                  <w:r>
                    <w:rPr>
                      <w:rFonts w:hint="eastAsia"/>
                    </w:rPr>
                    <w:t>注：表中括号内数字为柴油设备与站外建（构）筑物的安全距离</w:t>
                  </w:r>
                </w:p>
              </w:tc>
              <w:tc>
                <w:tcPr>
                  <w:tcW w:w="405" w:type="pct"/>
                  <w:tcBorders>
                    <w:left w:val="single" w:color="auto" w:sz="4" w:space="0"/>
                    <w:bottom w:val="single" w:color="auto" w:sz="4" w:space="0"/>
                    <w:right w:val="single" w:color="auto" w:sz="4" w:space="0"/>
                  </w:tcBorders>
                  <w:vAlign w:val="center"/>
                </w:tcPr>
                <w:p w14:paraId="437680D8"/>
              </w:tc>
            </w:tr>
          </w:tbl>
          <w:p w14:paraId="263816AC">
            <w:pPr>
              <w:spacing w:line="520" w:lineRule="exact"/>
              <w:jc w:val="center"/>
              <w:rPr>
                <w:b/>
                <w:sz w:val="24"/>
              </w:rPr>
            </w:pPr>
            <w:r>
              <w:rPr>
                <w:sz w:val="24"/>
              </w:rPr>
              <w:t>表</w:t>
            </w:r>
            <w:r>
              <w:rPr>
                <w:rFonts w:hint="eastAsia"/>
                <w:sz w:val="24"/>
              </w:rPr>
              <w:t xml:space="preserve">1-3   </w:t>
            </w:r>
            <w:r>
              <w:rPr>
                <w:rFonts w:hint="eastAsia"/>
                <w:b/>
                <w:sz w:val="24"/>
              </w:rPr>
              <w:t>柴油工艺设备与站外建（构）筑物的安全间距（m）</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44"/>
              <w:gridCol w:w="853"/>
              <w:gridCol w:w="863"/>
              <w:gridCol w:w="1679"/>
              <w:gridCol w:w="1650"/>
              <w:gridCol w:w="1574"/>
              <w:gridCol w:w="662"/>
            </w:tblGrid>
            <w:tr w14:paraId="24CD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pct"/>
                  <w:gridSpan w:val="4"/>
                  <w:vMerge w:val="restart"/>
                  <w:tcBorders>
                    <w:top w:val="single" w:color="auto" w:sz="4" w:space="0"/>
                    <w:left w:val="single" w:color="auto" w:sz="4" w:space="0"/>
                    <w:right w:val="single" w:color="auto" w:sz="4" w:space="0"/>
                  </w:tcBorders>
                  <w:vAlign w:val="center"/>
                </w:tcPr>
                <w:p w14:paraId="50CA9BB3">
                  <w:pPr>
                    <w:ind w:left="-105" w:leftChars="-50" w:right="-105" w:rightChars="-50"/>
                    <w:jc w:val="center"/>
                  </w:pPr>
                  <w:r>
                    <w:rPr>
                      <w:rFonts w:hint="eastAsia"/>
                    </w:rPr>
                    <w:t>站外建（构）筑物</w:t>
                  </w:r>
                </w:p>
              </w:tc>
              <w:tc>
                <w:tcPr>
                  <w:tcW w:w="2999" w:type="pct"/>
                  <w:gridSpan w:val="3"/>
                  <w:tcBorders>
                    <w:top w:val="single" w:color="auto" w:sz="4" w:space="0"/>
                    <w:left w:val="single" w:color="auto" w:sz="4" w:space="0"/>
                    <w:bottom w:val="single" w:color="auto" w:sz="4" w:space="0"/>
                    <w:right w:val="single" w:color="auto" w:sz="4" w:space="0"/>
                  </w:tcBorders>
                  <w:vAlign w:val="center"/>
                </w:tcPr>
                <w:p w14:paraId="07C40C5B">
                  <w:pPr>
                    <w:ind w:left="-105" w:leftChars="-50" w:right="-105" w:rightChars="-50"/>
                    <w:jc w:val="center"/>
                  </w:pPr>
                  <w:r>
                    <w:t>站内汽油（柴油）工艺设备</w:t>
                  </w:r>
                </w:p>
              </w:tc>
              <w:tc>
                <w:tcPr>
                  <w:tcW w:w="405" w:type="pct"/>
                  <w:vMerge w:val="restart"/>
                  <w:tcBorders>
                    <w:top w:val="single" w:color="auto" w:sz="4" w:space="0"/>
                    <w:left w:val="single" w:color="auto" w:sz="4" w:space="0"/>
                    <w:right w:val="single" w:color="auto" w:sz="4" w:space="0"/>
                  </w:tcBorders>
                  <w:vAlign w:val="center"/>
                </w:tcPr>
                <w:p w14:paraId="071AA8DF">
                  <w:pPr>
                    <w:ind w:left="-105" w:leftChars="-50" w:right="-105" w:rightChars="-50"/>
                    <w:jc w:val="center"/>
                  </w:pPr>
                  <w:r>
                    <w:t>符合性</w:t>
                  </w:r>
                </w:p>
              </w:tc>
            </w:tr>
            <w:tr w14:paraId="121F4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pct"/>
                  <w:gridSpan w:val="4"/>
                  <w:vMerge w:val="continue"/>
                  <w:tcBorders>
                    <w:left w:val="single" w:color="auto" w:sz="4" w:space="0"/>
                    <w:bottom w:val="single" w:color="auto" w:sz="4" w:space="0"/>
                    <w:right w:val="single" w:color="auto" w:sz="4" w:space="0"/>
                  </w:tcBorders>
                  <w:vAlign w:val="center"/>
                </w:tcPr>
                <w:p w14:paraId="6F55838B">
                  <w:pPr>
                    <w:ind w:left="-105" w:leftChars="-50" w:right="-105" w:rightChars="-50"/>
                    <w:jc w:val="center"/>
                  </w:pPr>
                </w:p>
              </w:tc>
              <w:tc>
                <w:tcPr>
                  <w:tcW w:w="1027" w:type="pct"/>
                  <w:tcBorders>
                    <w:top w:val="single" w:color="auto" w:sz="4" w:space="0"/>
                    <w:left w:val="single" w:color="auto" w:sz="4" w:space="0"/>
                    <w:right w:val="single" w:color="auto" w:sz="4" w:space="0"/>
                  </w:tcBorders>
                  <w:vAlign w:val="center"/>
                </w:tcPr>
                <w:p w14:paraId="3EA4561F">
                  <w:pPr>
                    <w:ind w:left="-105" w:leftChars="-50" w:right="-105" w:rightChars="-50"/>
                    <w:jc w:val="center"/>
                  </w:pPr>
                  <w:r>
                    <w:t>地埋油罐（</w:t>
                  </w:r>
                  <w:r>
                    <w:rPr>
                      <w:rFonts w:hint="eastAsia"/>
                    </w:rPr>
                    <w:t>三</w:t>
                  </w:r>
                  <w:r>
                    <w:t>级站）</w:t>
                  </w:r>
                </w:p>
              </w:tc>
              <w:tc>
                <w:tcPr>
                  <w:tcW w:w="1009" w:type="pct"/>
                  <w:tcBorders>
                    <w:top w:val="single" w:color="auto" w:sz="4" w:space="0"/>
                    <w:left w:val="single" w:color="auto" w:sz="4" w:space="0"/>
                    <w:right w:val="single" w:color="auto" w:sz="4" w:space="0"/>
                  </w:tcBorders>
                  <w:vAlign w:val="center"/>
                </w:tcPr>
                <w:p w14:paraId="4188A905">
                  <w:pPr>
                    <w:ind w:left="-105" w:leftChars="-50" w:right="-105" w:rightChars="-50"/>
                    <w:jc w:val="center"/>
                  </w:pPr>
                  <w:r>
                    <w:t>油罐通气管口</w:t>
                  </w:r>
                </w:p>
              </w:tc>
              <w:tc>
                <w:tcPr>
                  <w:tcW w:w="963" w:type="pct"/>
                  <w:tcBorders>
                    <w:left w:val="single" w:color="auto" w:sz="4" w:space="0"/>
                    <w:bottom w:val="single" w:color="auto" w:sz="4" w:space="0"/>
                    <w:right w:val="single" w:color="auto" w:sz="4" w:space="0"/>
                  </w:tcBorders>
                  <w:vAlign w:val="center"/>
                </w:tcPr>
                <w:p w14:paraId="32C902C7">
                  <w:pPr>
                    <w:ind w:left="-105" w:leftChars="-50" w:right="-105" w:rightChars="-50"/>
                    <w:jc w:val="center"/>
                  </w:pPr>
                  <w:r>
                    <w:rPr>
                      <w:rFonts w:hint="eastAsia"/>
                    </w:rPr>
                    <w:t>加油机</w:t>
                  </w:r>
                </w:p>
              </w:tc>
              <w:tc>
                <w:tcPr>
                  <w:tcW w:w="405" w:type="pct"/>
                  <w:vMerge w:val="continue"/>
                  <w:tcBorders>
                    <w:left w:val="single" w:color="auto" w:sz="4" w:space="0"/>
                    <w:bottom w:val="single" w:color="auto" w:sz="4" w:space="0"/>
                    <w:right w:val="single" w:color="auto" w:sz="4" w:space="0"/>
                  </w:tcBorders>
                  <w:vAlign w:val="center"/>
                </w:tcPr>
                <w:p w14:paraId="647C5D97">
                  <w:pPr>
                    <w:jc w:val="center"/>
                  </w:pPr>
                </w:p>
              </w:tc>
            </w:tr>
            <w:tr w14:paraId="5CE7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54EAB008">
                  <w:pPr>
                    <w:jc w:val="center"/>
                  </w:pPr>
                  <w:r>
                    <w:t>重要公共建筑物</w:t>
                  </w:r>
                </w:p>
              </w:tc>
              <w:tc>
                <w:tcPr>
                  <w:tcW w:w="528" w:type="pct"/>
                  <w:tcBorders>
                    <w:top w:val="single" w:color="auto" w:sz="4" w:space="0"/>
                    <w:left w:val="single" w:color="auto" w:sz="4" w:space="0"/>
                    <w:bottom w:val="single" w:color="auto" w:sz="4" w:space="0"/>
                    <w:right w:val="single" w:color="auto" w:sz="4" w:space="0"/>
                  </w:tcBorders>
                  <w:vAlign w:val="center"/>
                </w:tcPr>
                <w:p w14:paraId="4A701326">
                  <w:pPr>
                    <w:ind w:left="-105" w:leftChars="-50" w:right="-105" w:rightChars="-50"/>
                    <w:jc w:val="center"/>
                  </w:pPr>
                  <w:r>
                    <w:t>标准</w:t>
                  </w:r>
                </w:p>
              </w:tc>
              <w:tc>
                <w:tcPr>
                  <w:tcW w:w="1027" w:type="pct"/>
                  <w:tcBorders>
                    <w:left w:val="single" w:color="auto" w:sz="4" w:space="0"/>
                    <w:right w:val="single" w:color="auto" w:sz="4" w:space="0"/>
                  </w:tcBorders>
                  <w:vAlign w:val="center"/>
                </w:tcPr>
                <w:p w14:paraId="489B7664">
                  <w:pPr>
                    <w:ind w:left="-105" w:leftChars="-50" w:right="-105" w:rightChars="-50"/>
                    <w:jc w:val="center"/>
                  </w:pPr>
                  <w:r>
                    <w:rPr>
                      <w:rFonts w:hint="eastAsia"/>
                    </w:rPr>
                    <w:t>35</w:t>
                  </w:r>
                </w:p>
              </w:tc>
              <w:tc>
                <w:tcPr>
                  <w:tcW w:w="1009" w:type="pct"/>
                  <w:tcBorders>
                    <w:left w:val="single" w:color="auto" w:sz="4" w:space="0"/>
                    <w:right w:val="single" w:color="auto" w:sz="4" w:space="0"/>
                  </w:tcBorders>
                  <w:vAlign w:val="center"/>
                </w:tcPr>
                <w:p w14:paraId="0F19AF26">
                  <w:pPr>
                    <w:ind w:left="-105" w:leftChars="-50" w:right="-105" w:rightChars="-50"/>
                    <w:jc w:val="center"/>
                  </w:pPr>
                  <w:r>
                    <w:rPr>
                      <w:rFonts w:hint="eastAsia"/>
                    </w:rPr>
                    <w:t>35</w:t>
                  </w:r>
                </w:p>
              </w:tc>
              <w:tc>
                <w:tcPr>
                  <w:tcW w:w="963" w:type="pct"/>
                  <w:tcBorders>
                    <w:top w:val="single" w:color="auto" w:sz="4" w:space="0"/>
                    <w:left w:val="single" w:color="auto" w:sz="4" w:space="0"/>
                    <w:right w:val="single" w:color="auto" w:sz="4" w:space="0"/>
                  </w:tcBorders>
                  <w:vAlign w:val="center"/>
                </w:tcPr>
                <w:p w14:paraId="67610FF5">
                  <w:pPr>
                    <w:ind w:left="-105" w:leftChars="-50" w:right="-105" w:rightChars="-50"/>
                    <w:jc w:val="center"/>
                  </w:pPr>
                  <w:r>
                    <w:rPr>
                      <w:rFonts w:hint="eastAsia"/>
                    </w:rPr>
                    <w:t>35</w:t>
                  </w:r>
                </w:p>
              </w:tc>
              <w:tc>
                <w:tcPr>
                  <w:tcW w:w="405" w:type="pct"/>
                  <w:vMerge w:val="restart"/>
                  <w:tcBorders>
                    <w:top w:val="single" w:color="auto" w:sz="4" w:space="0"/>
                    <w:left w:val="single" w:color="auto" w:sz="4" w:space="0"/>
                    <w:right w:val="single" w:color="auto" w:sz="4" w:space="0"/>
                  </w:tcBorders>
                  <w:vAlign w:val="center"/>
                </w:tcPr>
                <w:p w14:paraId="11AE0AF7">
                  <w:pPr>
                    <w:jc w:val="center"/>
                  </w:pPr>
                  <w:r>
                    <w:t>符合</w:t>
                  </w:r>
                </w:p>
              </w:tc>
            </w:tr>
            <w:tr w14:paraId="684A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32955515">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25EDD215">
                  <w:pPr>
                    <w:ind w:left="-105" w:leftChars="-50" w:right="-105" w:rightChars="-50"/>
                    <w:jc w:val="center"/>
                  </w:pPr>
                  <w:r>
                    <w:t>本项目</w:t>
                  </w:r>
                </w:p>
              </w:tc>
              <w:tc>
                <w:tcPr>
                  <w:tcW w:w="1027" w:type="pct"/>
                  <w:tcBorders>
                    <w:left w:val="single" w:color="auto" w:sz="4" w:space="0"/>
                    <w:bottom w:val="single" w:color="auto" w:sz="4" w:space="0"/>
                    <w:right w:val="single" w:color="auto" w:sz="4" w:space="0"/>
                  </w:tcBorders>
                  <w:vAlign w:val="center"/>
                </w:tcPr>
                <w:p w14:paraId="2FA14619">
                  <w:pPr>
                    <w:ind w:left="-105" w:leftChars="-50" w:right="-105" w:rightChars="-50"/>
                    <w:jc w:val="center"/>
                  </w:pPr>
                  <w:r>
                    <w:t>不涉及</w:t>
                  </w:r>
                </w:p>
              </w:tc>
              <w:tc>
                <w:tcPr>
                  <w:tcW w:w="1009" w:type="pct"/>
                  <w:tcBorders>
                    <w:left w:val="single" w:color="auto" w:sz="4" w:space="0"/>
                    <w:bottom w:val="single" w:color="auto" w:sz="4" w:space="0"/>
                    <w:right w:val="single" w:color="auto" w:sz="4" w:space="0"/>
                  </w:tcBorders>
                  <w:vAlign w:val="center"/>
                </w:tcPr>
                <w:p w14:paraId="590AF816">
                  <w:pPr>
                    <w:ind w:left="-105" w:leftChars="-50" w:right="-105" w:rightChars="-50"/>
                    <w:jc w:val="center"/>
                  </w:pPr>
                  <w:r>
                    <w:t>不涉及</w:t>
                  </w:r>
                </w:p>
              </w:tc>
              <w:tc>
                <w:tcPr>
                  <w:tcW w:w="963" w:type="pct"/>
                  <w:tcBorders>
                    <w:left w:val="single" w:color="auto" w:sz="4" w:space="0"/>
                    <w:bottom w:val="single" w:color="auto" w:sz="4" w:space="0"/>
                    <w:right w:val="single" w:color="auto" w:sz="4" w:space="0"/>
                  </w:tcBorders>
                  <w:vAlign w:val="center"/>
                </w:tcPr>
                <w:p w14:paraId="14DC3704">
                  <w:pPr>
                    <w:ind w:left="-105" w:leftChars="-50" w:right="-105" w:rightChars="-50"/>
                    <w:jc w:val="center"/>
                  </w:pPr>
                  <w:r>
                    <w:t>不涉及</w:t>
                  </w:r>
                </w:p>
              </w:tc>
              <w:tc>
                <w:tcPr>
                  <w:tcW w:w="405" w:type="pct"/>
                  <w:vMerge w:val="continue"/>
                  <w:tcBorders>
                    <w:left w:val="single" w:color="auto" w:sz="4" w:space="0"/>
                    <w:bottom w:val="single" w:color="auto" w:sz="4" w:space="0"/>
                    <w:right w:val="single" w:color="auto" w:sz="4" w:space="0"/>
                  </w:tcBorders>
                  <w:vAlign w:val="center"/>
                </w:tcPr>
                <w:p w14:paraId="5F3751D1">
                  <w:pPr>
                    <w:jc w:val="center"/>
                  </w:pPr>
                </w:p>
              </w:tc>
            </w:tr>
            <w:tr w14:paraId="5824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15375650">
                  <w:pPr>
                    <w:jc w:val="center"/>
                  </w:pPr>
                  <w:r>
                    <w:t>明火地点或散发火花地点</w:t>
                  </w:r>
                </w:p>
              </w:tc>
              <w:tc>
                <w:tcPr>
                  <w:tcW w:w="528" w:type="pct"/>
                  <w:tcBorders>
                    <w:top w:val="single" w:color="auto" w:sz="4" w:space="0"/>
                    <w:left w:val="single" w:color="auto" w:sz="4" w:space="0"/>
                    <w:bottom w:val="single" w:color="auto" w:sz="4" w:space="0"/>
                    <w:right w:val="single" w:color="auto" w:sz="4" w:space="0"/>
                  </w:tcBorders>
                  <w:vAlign w:val="center"/>
                </w:tcPr>
                <w:p w14:paraId="06F6EE04">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4A15D6B6">
                  <w:pPr>
                    <w:ind w:left="-105" w:leftChars="-50" w:right="-105" w:rightChars="-50"/>
                    <w:jc w:val="center"/>
                  </w:pPr>
                  <w:r>
                    <w:rPr>
                      <w:rFonts w:hint="eastAsia"/>
                    </w:rPr>
                    <w:t>12.5</w:t>
                  </w:r>
                </w:p>
              </w:tc>
              <w:tc>
                <w:tcPr>
                  <w:tcW w:w="1009" w:type="pct"/>
                  <w:tcBorders>
                    <w:top w:val="single" w:color="auto" w:sz="4" w:space="0"/>
                    <w:left w:val="single" w:color="auto" w:sz="4" w:space="0"/>
                    <w:bottom w:val="single" w:color="auto" w:sz="4" w:space="0"/>
                    <w:right w:val="single" w:color="auto" w:sz="4" w:space="0"/>
                  </w:tcBorders>
                  <w:vAlign w:val="center"/>
                </w:tcPr>
                <w:p w14:paraId="42DAD3FE">
                  <w:pPr>
                    <w:ind w:left="-105" w:leftChars="-50" w:right="-105" w:rightChars="-50"/>
                    <w:jc w:val="center"/>
                  </w:pPr>
                  <w:r>
                    <w:rPr>
                      <w:rFonts w:hint="eastAsia"/>
                    </w:rPr>
                    <w:t>12.5</w:t>
                  </w:r>
                </w:p>
              </w:tc>
              <w:tc>
                <w:tcPr>
                  <w:tcW w:w="963" w:type="pct"/>
                  <w:tcBorders>
                    <w:top w:val="single" w:color="auto" w:sz="4" w:space="0"/>
                    <w:left w:val="single" w:color="auto" w:sz="4" w:space="0"/>
                    <w:right w:val="single" w:color="auto" w:sz="4" w:space="0"/>
                  </w:tcBorders>
                  <w:vAlign w:val="center"/>
                </w:tcPr>
                <w:p w14:paraId="600382E0">
                  <w:pPr>
                    <w:ind w:left="-105" w:leftChars="-50" w:right="-105" w:rightChars="-50"/>
                    <w:jc w:val="center"/>
                  </w:pPr>
                  <w:r>
                    <w:rPr>
                      <w:rFonts w:hint="eastAsia"/>
                    </w:rPr>
                    <w:t>12.5</w:t>
                  </w:r>
                </w:p>
              </w:tc>
              <w:tc>
                <w:tcPr>
                  <w:tcW w:w="405" w:type="pct"/>
                  <w:vMerge w:val="restart"/>
                  <w:tcBorders>
                    <w:top w:val="single" w:color="auto" w:sz="4" w:space="0"/>
                    <w:left w:val="single" w:color="auto" w:sz="4" w:space="0"/>
                    <w:right w:val="single" w:color="auto" w:sz="4" w:space="0"/>
                  </w:tcBorders>
                  <w:vAlign w:val="center"/>
                </w:tcPr>
                <w:p w14:paraId="01C0AFC8">
                  <w:pPr>
                    <w:jc w:val="center"/>
                  </w:pPr>
                  <w:r>
                    <w:t>符合</w:t>
                  </w:r>
                </w:p>
              </w:tc>
            </w:tr>
            <w:tr w14:paraId="6DD1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03E132A6">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7160B144">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257D68ED">
                  <w:pPr>
                    <w:ind w:left="-105" w:leftChars="-50" w:right="-105" w:rightChars="-50"/>
                    <w:jc w:val="center"/>
                  </w:pPr>
                  <w:r>
                    <w:t>不涉及</w:t>
                  </w:r>
                </w:p>
              </w:tc>
              <w:tc>
                <w:tcPr>
                  <w:tcW w:w="1009" w:type="pct"/>
                  <w:tcBorders>
                    <w:top w:val="single" w:color="auto" w:sz="4" w:space="0"/>
                    <w:left w:val="single" w:color="auto" w:sz="4" w:space="0"/>
                    <w:bottom w:val="single" w:color="auto" w:sz="4" w:space="0"/>
                    <w:right w:val="single" w:color="auto" w:sz="4" w:space="0"/>
                  </w:tcBorders>
                  <w:vAlign w:val="center"/>
                </w:tcPr>
                <w:p w14:paraId="572F233D">
                  <w:pPr>
                    <w:ind w:left="-105" w:leftChars="-50" w:right="-105" w:rightChars="-50"/>
                    <w:jc w:val="center"/>
                  </w:pPr>
                  <w:r>
                    <w:t>不涉及</w:t>
                  </w:r>
                </w:p>
              </w:tc>
              <w:tc>
                <w:tcPr>
                  <w:tcW w:w="963" w:type="pct"/>
                  <w:tcBorders>
                    <w:left w:val="single" w:color="auto" w:sz="4" w:space="0"/>
                    <w:bottom w:val="single" w:color="auto" w:sz="4" w:space="0"/>
                    <w:right w:val="single" w:color="auto" w:sz="4" w:space="0"/>
                  </w:tcBorders>
                  <w:vAlign w:val="center"/>
                </w:tcPr>
                <w:p w14:paraId="4667BE84">
                  <w:pPr>
                    <w:ind w:left="-105" w:leftChars="-50" w:right="-105" w:rightChars="-50"/>
                    <w:jc w:val="center"/>
                  </w:pPr>
                  <w:r>
                    <w:t>不涉及</w:t>
                  </w:r>
                </w:p>
              </w:tc>
              <w:tc>
                <w:tcPr>
                  <w:tcW w:w="405" w:type="pct"/>
                  <w:vMerge w:val="continue"/>
                  <w:tcBorders>
                    <w:left w:val="single" w:color="auto" w:sz="4" w:space="0"/>
                    <w:bottom w:val="single" w:color="auto" w:sz="4" w:space="0"/>
                    <w:right w:val="single" w:color="auto" w:sz="4" w:space="0"/>
                  </w:tcBorders>
                  <w:vAlign w:val="center"/>
                </w:tcPr>
                <w:p w14:paraId="1504A240">
                  <w:pPr>
                    <w:jc w:val="center"/>
                  </w:pPr>
                </w:p>
              </w:tc>
            </w:tr>
            <w:tr w14:paraId="13896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518" w:type="pct"/>
                  <w:vMerge w:val="restart"/>
                  <w:tcBorders>
                    <w:top w:val="single" w:color="auto" w:sz="4" w:space="0"/>
                    <w:left w:val="single" w:color="auto" w:sz="4" w:space="0"/>
                    <w:right w:val="single" w:color="auto" w:sz="4" w:space="0"/>
                  </w:tcBorders>
                  <w:vAlign w:val="center"/>
                </w:tcPr>
                <w:p w14:paraId="0D778E5B">
                  <w:pPr>
                    <w:jc w:val="center"/>
                  </w:pPr>
                  <w:r>
                    <w:t>民用建筑物保护类别</w:t>
                  </w:r>
                </w:p>
              </w:tc>
              <w:tc>
                <w:tcPr>
                  <w:tcW w:w="548" w:type="pct"/>
                  <w:gridSpan w:val="2"/>
                  <w:vMerge w:val="restart"/>
                  <w:tcBorders>
                    <w:top w:val="single" w:color="auto" w:sz="4" w:space="0"/>
                    <w:left w:val="single" w:color="auto" w:sz="4" w:space="0"/>
                    <w:right w:val="single" w:color="auto" w:sz="4" w:space="0"/>
                  </w:tcBorders>
                  <w:vAlign w:val="center"/>
                </w:tcPr>
                <w:p w14:paraId="3E9CEBA3">
                  <w:pPr>
                    <w:jc w:val="center"/>
                  </w:pPr>
                  <w:r>
                    <w:t>一类保护物</w:t>
                  </w:r>
                </w:p>
              </w:tc>
              <w:tc>
                <w:tcPr>
                  <w:tcW w:w="528" w:type="pct"/>
                  <w:tcBorders>
                    <w:top w:val="single" w:color="auto" w:sz="4" w:space="0"/>
                    <w:left w:val="single" w:color="auto" w:sz="4" w:space="0"/>
                    <w:bottom w:val="single" w:color="auto" w:sz="4" w:space="0"/>
                    <w:right w:val="single" w:color="auto" w:sz="4" w:space="0"/>
                  </w:tcBorders>
                  <w:vAlign w:val="center"/>
                </w:tcPr>
                <w:p w14:paraId="250896FF">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559572C0">
                  <w:pPr>
                    <w:ind w:left="-105" w:leftChars="-50" w:right="-105" w:rightChars="-50"/>
                    <w:jc w:val="center"/>
                  </w:pPr>
                  <w:r>
                    <w:rPr>
                      <w:rFonts w:hint="eastAsia"/>
                    </w:rPr>
                    <w:t>11</w:t>
                  </w:r>
                </w:p>
              </w:tc>
              <w:tc>
                <w:tcPr>
                  <w:tcW w:w="1009" w:type="pct"/>
                  <w:tcBorders>
                    <w:top w:val="single" w:color="auto" w:sz="4" w:space="0"/>
                    <w:left w:val="single" w:color="auto" w:sz="4" w:space="0"/>
                    <w:bottom w:val="single" w:color="auto" w:sz="4" w:space="0"/>
                    <w:right w:val="single" w:color="auto" w:sz="4" w:space="0"/>
                  </w:tcBorders>
                  <w:vAlign w:val="center"/>
                </w:tcPr>
                <w:p w14:paraId="61601FD7">
                  <w:pPr>
                    <w:ind w:left="-105" w:leftChars="-50" w:right="-105" w:rightChars="-50"/>
                    <w:jc w:val="center"/>
                  </w:pPr>
                  <w:r>
                    <w:rPr>
                      <w:rFonts w:hint="eastAsia"/>
                    </w:rPr>
                    <w:t>11</w:t>
                  </w:r>
                </w:p>
              </w:tc>
              <w:tc>
                <w:tcPr>
                  <w:tcW w:w="963" w:type="pct"/>
                  <w:tcBorders>
                    <w:top w:val="single" w:color="auto" w:sz="4" w:space="0"/>
                    <w:left w:val="single" w:color="auto" w:sz="4" w:space="0"/>
                    <w:right w:val="single" w:color="auto" w:sz="4" w:space="0"/>
                  </w:tcBorders>
                  <w:vAlign w:val="center"/>
                </w:tcPr>
                <w:p w14:paraId="3FB2711E">
                  <w:pPr>
                    <w:ind w:left="-105" w:leftChars="-50" w:right="-105" w:rightChars="-50"/>
                    <w:jc w:val="center"/>
                  </w:pPr>
                  <w:r>
                    <w:rPr>
                      <w:rFonts w:hint="eastAsia"/>
                    </w:rPr>
                    <w:t>11</w:t>
                  </w:r>
                </w:p>
              </w:tc>
              <w:tc>
                <w:tcPr>
                  <w:tcW w:w="405" w:type="pct"/>
                  <w:vMerge w:val="restart"/>
                  <w:tcBorders>
                    <w:top w:val="single" w:color="auto" w:sz="4" w:space="0"/>
                    <w:left w:val="single" w:color="auto" w:sz="4" w:space="0"/>
                    <w:right w:val="single" w:color="auto" w:sz="4" w:space="0"/>
                  </w:tcBorders>
                  <w:vAlign w:val="center"/>
                </w:tcPr>
                <w:p w14:paraId="3BAA68F6">
                  <w:pPr>
                    <w:jc w:val="center"/>
                  </w:pPr>
                  <w:r>
                    <w:t>符合</w:t>
                  </w:r>
                </w:p>
              </w:tc>
            </w:tr>
            <w:tr w14:paraId="4484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18" w:type="pct"/>
                  <w:vMerge w:val="continue"/>
                  <w:tcBorders>
                    <w:left w:val="single" w:color="auto" w:sz="4" w:space="0"/>
                    <w:right w:val="single" w:color="auto" w:sz="4" w:space="0"/>
                  </w:tcBorders>
                  <w:vAlign w:val="center"/>
                </w:tcPr>
                <w:p w14:paraId="1A91C092">
                  <w:pPr>
                    <w:jc w:val="center"/>
                  </w:pPr>
                </w:p>
              </w:tc>
              <w:tc>
                <w:tcPr>
                  <w:tcW w:w="548" w:type="pct"/>
                  <w:gridSpan w:val="2"/>
                  <w:vMerge w:val="continue"/>
                  <w:tcBorders>
                    <w:left w:val="single" w:color="auto" w:sz="4" w:space="0"/>
                    <w:right w:val="single" w:color="auto" w:sz="4" w:space="0"/>
                  </w:tcBorders>
                  <w:vAlign w:val="center"/>
                </w:tcPr>
                <w:p w14:paraId="64955902">
                  <w:pPr>
                    <w:jc w:val="center"/>
                  </w:pPr>
                </w:p>
              </w:tc>
              <w:tc>
                <w:tcPr>
                  <w:tcW w:w="528" w:type="pct"/>
                  <w:tcBorders>
                    <w:top w:val="single" w:color="auto" w:sz="4" w:space="0"/>
                    <w:left w:val="single" w:color="auto" w:sz="4" w:space="0"/>
                    <w:right w:val="single" w:color="auto" w:sz="4" w:space="0"/>
                  </w:tcBorders>
                  <w:vAlign w:val="center"/>
                </w:tcPr>
                <w:p w14:paraId="508495DD">
                  <w:pPr>
                    <w:ind w:left="-105" w:leftChars="-50" w:right="-105" w:rightChars="-50"/>
                    <w:jc w:val="center"/>
                  </w:pPr>
                  <w:r>
                    <w:t>本项目</w:t>
                  </w:r>
                </w:p>
              </w:tc>
              <w:tc>
                <w:tcPr>
                  <w:tcW w:w="1027" w:type="pct"/>
                  <w:tcBorders>
                    <w:top w:val="single" w:color="auto" w:sz="4" w:space="0"/>
                    <w:left w:val="single" w:color="auto" w:sz="4" w:space="0"/>
                    <w:right w:val="single" w:color="auto" w:sz="4" w:space="0"/>
                  </w:tcBorders>
                  <w:vAlign w:val="center"/>
                </w:tcPr>
                <w:p w14:paraId="09762DF5">
                  <w:pPr>
                    <w:ind w:left="-105" w:leftChars="-50" w:right="-105" w:rightChars="-50"/>
                    <w:jc w:val="center"/>
                    <w:rPr>
                      <w:szCs w:val="21"/>
                    </w:rPr>
                  </w:pPr>
                  <w:r>
                    <w:t>不涉及</w:t>
                  </w:r>
                </w:p>
              </w:tc>
              <w:tc>
                <w:tcPr>
                  <w:tcW w:w="1009" w:type="pct"/>
                  <w:tcBorders>
                    <w:top w:val="single" w:color="auto" w:sz="4" w:space="0"/>
                    <w:left w:val="single" w:color="auto" w:sz="4" w:space="0"/>
                    <w:right w:val="single" w:color="auto" w:sz="4" w:space="0"/>
                  </w:tcBorders>
                  <w:vAlign w:val="center"/>
                </w:tcPr>
                <w:p w14:paraId="15CDCE59">
                  <w:pPr>
                    <w:ind w:left="-105" w:leftChars="-50" w:right="-105" w:rightChars="-50"/>
                    <w:jc w:val="center"/>
                    <w:rPr>
                      <w:szCs w:val="21"/>
                    </w:rPr>
                  </w:pPr>
                  <w:r>
                    <w:t>不涉及</w:t>
                  </w:r>
                </w:p>
              </w:tc>
              <w:tc>
                <w:tcPr>
                  <w:tcW w:w="963" w:type="pct"/>
                  <w:tcBorders>
                    <w:left w:val="single" w:color="auto" w:sz="4" w:space="0"/>
                    <w:bottom w:val="single" w:color="auto" w:sz="4" w:space="0"/>
                    <w:right w:val="single" w:color="auto" w:sz="4" w:space="0"/>
                  </w:tcBorders>
                  <w:vAlign w:val="center"/>
                </w:tcPr>
                <w:p w14:paraId="1371E49B">
                  <w:pPr>
                    <w:ind w:left="-105" w:leftChars="-50" w:right="-105" w:rightChars="-50"/>
                    <w:jc w:val="center"/>
                    <w:rPr>
                      <w:szCs w:val="21"/>
                    </w:rPr>
                  </w:pPr>
                  <w:r>
                    <w:t>不涉及</w:t>
                  </w:r>
                </w:p>
              </w:tc>
              <w:tc>
                <w:tcPr>
                  <w:tcW w:w="405" w:type="pct"/>
                  <w:vMerge w:val="continue"/>
                  <w:tcBorders>
                    <w:left w:val="single" w:color="auto" w:sz="4" w:space="0"/>
                    <w:right w:val="single" w:color="auto" w:sz="4" w:space="0"/>
                  </w:tcBorders>
                  <w:vAlign w:val="center"/>
                </w:tcPr>
                <w:p w14:paraId="135BD199">
                  <w:pPr>
                    <w:jc w:val="center"/>
                  </w:pPr>
                </w:p>
              </w:tc>
            </w:tr>
            <w:tr w14:paraId="1687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518" w:type="pct"/>
                  <w:vMerge w:val="continue"/>
                  <w:tcBorders>
                    <w:left w:val="single" w:color="auto" w:sz="4" w:space="0"/>
                    <w:right w:val="single" w:color="auto" w:sz="4" w:space="0"/>
                  </w:tcBorders>
                  <w:vAlign w:val="center"/>
                </w:tcPr>
                <w:p w14:paraId="2CF15F9F">
                  <w:pPr>
                    <w:jc w:val="center"/>
                  </w:pPr>
                </w:p>
              </w:tc>
              <w:tc>
                <w:tcPr>
                  <w:tcW w:w="548" w:type="pct"/>
                  <w:gridSpan w:val="2"/>
                  <w:vMerge w:val="restart"/>
                  <w:tcBorders>
                    <w:top w:val="single" w:color="auto" w:sz="4" w:space="0"/>
                    <w:left w:val="single" w:color="auto" w:sz="4" w:space="0"/>
                    <w:right w:val="single" w:color="auto" w:sz="4" w:space="0"/>
                  </w:tcBorders>
                  <w:vAlign w:val="center"/>
                </w:tcPr>
                <w:p w14:paraId="42EE274F">
                  <w:pPr>
                    <w:jc w:val="center"/>
                  </w:pPr>
                  <w:r>
                    <w:t>二类保护物</w:t>
                  </w:r>
                </w:p>
              </w:tc>
              <w:tc>
                <w:tcPr>
                  <w:tcW w:w="528" w:type="pct"/>
                  <w:tcBorders>
                    <w:top w:val="single" w:color="auto" w:sz="4" w:space="0"/>
                    <w:left w:val="single" w:color="auto" w:sz="4" w:space="0"/>
                    <w:bottom w:val="single" w:color="auto" w:sz="4" w:space="0"/>
                    <w:right w:val="single" w:color="auto" w:sz="4" w:space="0"/>
                  </w:tcBorders>
                  <w:vAlign w:val="center"/>
                </w:tcPr>
                <w:p w14:paraId="4566E5A7">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17851D59">
                  <w:pPr>
                    <w:ind w:left="-105" w:leftChars="-50" w:right="-105" w:rightChars="-50"/>
                    <w:jc w:val="center"/>
                  </w:pPr>
                  <w:r>
                    <w:rPr>
                      <w:rFonts w:hint="eastAsia"/>
                    </w:rPr>
                    <w:t>8.5</w:t>
                  </w:r>
                </w:p>
              </w:tc>
              <w:tc>
                <w:tcPr>
                  <w:tcW w:w="1009" w:type="pct"/>
                  <w:tcBorders>
                    <w:top w:val="single" w:color="auto" w:sz="4" w:space="0"/>
                    <w:left w:val="single" w:color="auto" w:sz="4" w:space="0"/>
                    <w:bottom w:val="single" w:color="auto" w:sz="4" w:space="0"/>
                    <w:right w:val="single" w:color="auto" w:sz="4" w:space="0"/>
                  </w:tcBorders>
                  <w:vAlign w:val="center"/>
                </w:tcPr>
                <w:p w14:paraId="68C3A576">
                  <w:pPr>
                    <w:ind w:left="-105" w:leftChars="-50" w:right="-105" w:rightChars="-50"/>
                    <w:jc w:val="center"/>
                  </w:pPr>
                  <w:r>
                    <w:rPr>
                      <w:rFonts w:hint="eastAsia"/>
                    </w:rPr>
                    <w:t>8.5</w:t>
                  </w:r>
                </w:p>
              </w:tc>
              <w:tc>
                <w:tcPr>
                  <w:tcW w:w="963" w:type="pct"/>
                  <w:tcBorders>
                    <w:top w:val="single" w:color="auto" w:sz="4" w:space="0"/>
                    <w:left w:val="single" w:color="auto" w:sz="4" w:space="0"/>
                    <w:right w:val="single" w:color="auto" w:sz="4" w:space="0"/>
                  </w:tcBorders>
                  <w:vAlign w:val="center"/>
                </w:tcPr>
                <w:p w14:paraId="34AFA0AC">
                  <w:pPr>
                    <w:ind w:left="-105" w:leftChars="-50" w:right="-105" w:rightChars="-50"/>
                    <w:jc w:val="center"/>
                  </w:pPr>
                  <w:r>
                    <w:rPr>
                      <w:rFonts w:hint="eastAsia"/>
                    </w:rPr>
                    <w:t>8.5</w:t>
                  </w:r>
                </w:p>
              </w:tc>
              <w:tc>
                <w:tcPr>
                  <w:tcW w:w="405" w:type="pct"/>
                  <w:vMerge w:val="restart"/>
                  <w:tcBorders>
                    <w:top w:val="single" w:color="auto" w:sz="4" w:space="0"/>
                    <w:left w:val="single" w:color="auto" w:sz="4" w:space="0"/>
                    <w:right w:val="single" w:color="auto" w:sz="4" w:space="0"/>
                  </w:tcBorders>
                  <w:vAlign w:val="center"/>
                </w:tcPr>
                <w:p w14:paraId="50B3A32D">
                  <w:pPr>
                    <w:jc w:val="center"/>
                  </w:pPr>
                  <w:r>
                    <w:t>符合</w:t>
                  </w:r>
                </w:p>
              </w:tc>
            </w:tr>
            <w:tr w14:paraId="184E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18" w:type="pct"/>
                  <w:vMerge w:val="continue"/>
                  <w:tcBorders>
                    <w:left w:val="single" w:color="auto" w:sz="4" w:space="0"/>
                    <w:right w:val="single" w:color="auto" w:sz="4" w:space="0"/>
                  </w:tcBorders>
                  <w:vAlign w:val="center"/>
                </w:tcPr>
                <w:p w14:paraId="73E1ED92">
                  <w:pPr>
                    <w:jc w:val="center"/>
                  </w:pPr>
                </w:p>
              </w:tc>
              <w:tc>
                <w:tcPr>
                  <w:tcW w:w="548" w:type="pct"/>
                  <w:gridSpan w:val="2"/>
                  <w:vMerge w:val="continue"/>
                  <w:tcBorders>
                    <w:left w:val="single" w:color="auto" w:sz="4" w:space="0"/>
                    <w:bottom w:val="single" w:color="auto" w:sz="4" w:space="0"/>
                    <w:right w:val="single" w:color="auto" w:sz="4" w:space="0"/>
                  </w:tcBorders>
                  <w:vAlign w:val="center"/>
                </w:tcPr>
                <w:p w14:paraId="3D63F658">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3EEE74FF">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5D0B2B1C">
                  <w:pPr>
                    <w:ind w:left="-105" w:leftChars="-50" w:right="-105" w:rightChars="-50"/>
                    <w:jc w:val="center"/>
                    <w:rPr>
                      <w:szCs w:val="21"/>
                    </w:rPr>
                  </w:pPr>
                  <w:r>
                    <w:rPr>
                      <w:rFonts w:hint="eastAsia"/>
                      <w:szCs w:val="21"/>
                    </w:rPr>
                    <w:t>北侧民建58.1</w:t>
                  </w:r>
                </w:p>
              </w:tc>
              <w:tc>
                <w:tcPr>
                  <w:tcW w:w="1009" w:type="pct"/>
                  <w:tcBorders>
                    <w:top w:val="single" w:color="auto" w:sz="4" w:space="0"/>
                    <w:left w:val="single" w:color="auto" w:sz="4" w:space="0"/>
                    <w:bottom w:val="single" w:color="auto" w:sz="4" w:space="0"/>
                    <w:right w:val="single" w:color="auto" w:sz="4" w:space="0"/>
                  </w:tcBorders>
                  <w:vAlign w:val="center"/>
                </w:tcPr>
                <w:p w14:paraId="1081AE29">
                  <w:pPr>
                    <w:ind w:left="-105" w:leftChars="-50" w:right="-105" w:rightChars="-50"/>
                    <w:jc w:val="center"/>
                  </w:pPr>
                  <w:r>
                    <w:rPr>
                      <w:rFonts w:hint="eastAsia"/>
                      <w:szCs w:val="21"/>
                    </w:rPr>
                    <w:t>北侧民建58.7</w:t>
                  </w:r>
                </w:p>
              </w:tc>
              <w:tc>
                <w:tcPr>
                  <w:tcW w:w="963" w:type="pct"/>
                  <w:tcBorders>
                    <w:left w:val="single" w:color="auto" w:sz="4" w:space="0"/>
                    <w:bottom w:val="single" w:color="auto" w:sz="4" w:space="0"/>
                    <w:right w:val="single" w:color="auto" w:sz="4" w:space="0"/>
                  </w:tcBorders>
                  <w:vAlign w:val="center"/>
                </w:tcPr>
                <w:p w14:paraId="5A031E54">
                  <w:pPr>
                    <w:ind w:left="-105" w:leftChars="-50" w:right="-105" w:rightChars="-50"/>
                    <w:jc w:val="center"/>
                    <w:rPr>
                      <w:szCs w:val="21"/>
                    </w:rPr>
                  </w:pPr>
                  <w:r>
                    <w:rPr>
                      <w:rFonts w:hint="eastAsia"/>
                      <w:szCs w:val="21"/>
                    </w:rPr>
                    <w:t>北侧民建99.5</w:t>
                  </w:r>
                </w:p>
              </w:tc>
              <w:tc>
                <w:tcPr>
                  <w:tcW w:w="405" w:type="pct"/>
                  <w:vMerge w:val="continue"/>
                  <w:tcBorders>
                    <w:left w:val="single" w:color="auto" w:sz="4" w:space="0"/>
                    <w:bottom w:val="single" w:color="auto" w:sz="4" w:space="0"/>
                    <w:right w:val="single" w:color="auto" w:sz="4" w:space="0"/>
                  </w:tcBorders>
                  <w:vAlign w:val="center"/>
                </w:tcPr>
                <w:p w14:paraId="44AF68A3">
                  <w:pPr>
                    <w:jc w:val="center"/>
                  </w:pPr>
                </w:p>
              </w:tc>
            </w:tr>
            <w:tr w14:paraId="3DA9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18" w:type="pct"/>
                  <w:vMerge w:val="continue"/>
                  <w:tcBorders>
                    <w:left w:val="single" w:color="auto" w:sz="4" w:space="0"/>
                    <w:right w:val="single" w:color="auto" w:sz="4" w:space="0"/>
                  </w:tcBorders>
                  <w:vAlign w:val="center"/>
                </w:tcPr>
                <w:p w14:paraId="064276A6">
                  <w:pPr>
                    <w:jc w:val="center"/>
                  </w:pPr>
                </w:p>
              </w:tc>
              <w:tc>
                <w:tcPr>
                  <w:tcW w:w="548" w:type="pct"/>
                  <w:gridSpan w:val="2"/>
                  <w:vMerge w:val="restart"/>
                  <w:tcBorders>
                    <w:top w:val="single" w:color="auto" w:sz="4" w:space="0"/>
                    <w:left w:val="single" w:color="auto" w:sz="4" w:space="0"/>
                    <w:right w:val="single" w:color="auto" w:sz="4" w:space="0"/>
                  </w:tcBorders>
                  <w:vAlign w:val="center"/>
                </w:tcPr>
                <w:p w14:paraId="3ECE74DA">
                  <w:pPr>
                    <w:jc w:val="center"/>
                  </w:pPr>
                  <w:r>
                    <w:t>三类保护物</w:t>
                  </w:r>
                </w:p>
              </w:tc>
              <w:tc>
                <w:tcPr>
                  <w:tcW w:w="528" w:type="pct"/>
                  <w:tcBorders>
                    <w:top w:val="single" w:color="auto" w:sz="4" w:space="0"/>
                    <w:left w:val="single" w:color="auto" w:sz="4" w:space="0"/>
                    <w:bottom w:val="single" w:color="auto" w:sz="4" w:space="0"/>
                    <w:right w:val="single" w:color="auto" w:sz="4" w:space="0"/>
                  </w:tcBorders>
                  <w:vAlign w:val="center"/>
                </w:tcPr>
                <w:p w14:paraId="1165B207">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056B806D">
                  <w:pPr>
                    <w:ind w:left="-105" w:leftChars="-50" w:right="-105" w:rightChars="-50"/>
                    <w:jc w:val="center"/>
                  </w:pPr>
                  <w:r>
                    <w:rPr>
                      <w:rFonts w:hint="eastAsia"/>
                    </w:rPr>
                    <w:t>7</w:t>
                  </w:r>
                </w:p>
              </w:tc>
              <w:tc>
                <w:tcPr>
                  <w:tcW w:w="1009" w:type="pct"/>
                  <w:tcBorders>
                    <w:top w:val="single" w:color="auto" w:sz="4" w:space="0"/>
                    <w:left w:val="single" w:color="auto" w:sz="4" w:space="0"/>
                    <w:bottom w:val="single" w:color="auto" w:sz="4" w:space="0"/>
                    <w:right w:val="single" w:color="auto" w:sz="4" w:space="0"/>
                  </w:tcBorders>
                  <w:vAlign w:val="center"/>
                </w:tcPr>
                <w:p w14:paraId="082A8CD3">
                  <w:pPr>
                    <w:ind w:left="-105" w:leftChars="-50" w:right="-105" w:rightChars="-50"/>
                    <w:jc w:val="center"/>
                  </w:pPr>
                  <w:r>
                    <w:rPr>
                      <w:rFonts w:hint="eastAsia"/>
                    </w:rPr>
                    <w:t>7</w:t>
                  </w:r>
                </w:p>
              </w:tc>
              <w:tc>
                <w:tcPr>
                  <w:tcW w:w="963" w:type="pct"/>
                  <w:tcBorders>
                    <w:top w:val="single" w:color="auto" w:sz="4" w:space="0"/>
                    <w:left w:val="single" w:color="auto" w:sz="4" w:space="0"/>
                    <w:right w:val="single" w:color="auto" w:sz="4" w:space="0"/>
                  </w:tcBorders>
                  <w:vAlign w:val="center"/>
                </w:tcPr>
                <w:p w14:paraId="6369291B">
                  <w:pPr>
                    <w:ind w:left="-105" w:leftChars="-50" w:right="-105" w:rightChars="-50"/>
                    <w:jc w:val="center"/>
                  </w:pPr>
                  <w:r>
                    <w:rPr>
                      <w:rFonts w:hint="eastAsia"/>
                    </w:rPr>
                    <w:t>7</w:t>
                  </w:r>
                </w:p>
              </w:tc>
              <w:tc>
                <w:tcPr>
                  <w:tcW w:w="405" w:type="pct"/>
                  <w:vMerge w:val="restart"/>
                  <w:tcBorders>
                    <w:top w:val="single" w:color="auto" w:sz="4" w:space="0"/>
                    <w:left w:val="single" w:color="auto" w:sz="4" w:space="0"/>
                    <w:right w:val="single" w:color="auto" w:sz="4" w:space="0"/>
                  </w:tcBorders>
                  <w:vAlign w:val="center"/>
                </w:tcPr>
                <w:p w14:paraId="545AE253">
                  <w:pPr>
                    <w:jc w:val="center"/>
                  </w:pPr>
                  <w:r>
                    <w:t>符合</w:t>
                  </w:r>
                </w:p>
              </w:tc>
            </w:tr>
            <w:tr w14:paraId="3850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18" w:type="pct"/>
                  <w:vMerge w:val="continue"/>
                  <w:tcBorders>
                    <w:left w:val="single" w:color="auto" w:sz="4" w:space="0"/>
                    <w:right w:val="single" w:color="auto" w:sz="4" w:space="0"/>
                  </w:tcBorders>
                  <w:vAlign w:val="center"/>
                </w:tcPr>
                <w:p w14:paraId="277EECA9">
                  <w:pPr>
                    <w:jc w:val="center"/>
                  </w:pPr>
                </w:p>
              </w:tc>
              <w:tc>
                <w:tcPr>
                  <w:tcW w:w="548" w:type="pct"/>
                  <w:gridSpan w:val="2"/>
                  <w:vMerge w:val="continue"/>
                  <w:tcBorders>
                    <w:left w:val="single" w:color="auto" w:sz="4" w:space="0"/>
                    <w:bottom w:val="single" w:color="auto" w:sz="4" w:space="0"/>
                    <w:right w:val="single" w:color="auto" w:sz="4" w:space="0"/>
                  </w:tcBorders>
                  <w:vAlign w:val="center"/>
                </w:tcPr>
                <w:p w14:paraId="4B49E0EB">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6C4662D2">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634A0F1E">
                  <w:pPr>
                    <w:ind w:left="-105" w:leftChars="-50" w:right="-105" w:rightChars="-50"/>
                    <w:jc w:val="center"/>
                  </w:pPr>
                  <w:r>
                    <w:rPr>
                      <w:rFonts w:hint="eastAsia"/>
                    </w:rPr>
                    <w:t>西侧货车停车场35.7</w:t>
                  </w:r>
                </w:p>
              </w:tc>
              <w:tc>
                <w:tcPr>
                  <w:tcW w:w="1009" w:type="pct"/>
                  <w:tcBorders>
                    <w:top w:val="single" w:color="auto" w:sz="4" w:space="0"/>
                    <w:left w:val="single" w:color="auto" w:sz="4" w:space="0"/>
                    <w:bottom w:val="single" w:color="auto" w:sz="4" w:space="0"/>
                    <w:right w:val="single" w:color="auto" w:sz="4" w:space="0"/>
                  </w:tcBorders>
                  <w:vAlign w:val="center"/>
                </w:tcPr>
                <w:p w14:paraId="2B32E36B">
                  <w:pPr>
                    <w:ind w:left="-105" w:leftChars="-50" w:right="-105" w:rightChars="-50"/>
                    <w:jc w:val="center"/>
                  </w:pPr>
                  <w:r>
                    <w:rPr>
                      <w:rFonts w:hint="eastAsia"/>
                    </w:rPr>
                    <w:t>西侧货车停车场42.1</w:t>
                  </w:r>
                </w:p>
              </w:tc>
              <w:tc>
                <w:tcPr>
                  <w:tcW w:w="963" w:type="pct"/>
                  <w:tcBorders>
                    <w:left w:val="single" w:color="auto" w:sz="4" w:space="0"/>
                    <w:bottom w:val="single" w:color="auto" w:sz="4" w:space="0"/>
                    <w:right w:val="single" w:color="auto" w:sz="4" w:space="0"/>
                  </w:tcBorders>
                  <w:vAlign w:val="center"/>
                </w:tcPr>
                <w:p w14:paraId="5A4B3A77">
                  <w:pPr>
                    <w:ind w:left="-105" w:leftChars="-50" w:right="-105" w:rightChars="-50"/>
                    <w:jc w:val="center"/>
                  </w:pPr>
                  <w:r>
                    <w:rPr>
                      <w:rFonts w:hint="eastAsia"/>
                    </w:rPr>
                    <w:t>西侧货车停车场35.2</w:t>
                  </w:r>
                </w:p>
              </w:tc>
              <w:tc>
                <w:tcPr>
                  <w:tcW w:w="405" w:type="pct"/>
                  <w:vMerge w:val="continue"/>
                  <w:tcBorders>
                    <w:left w:val="single" w:color="auto" w:sz="4" w:space="0"/>
                    <w:bottom w:val="single" w:color="auto" w:sz="4" w:space="0"/>
                    <w:right w:val="single" w:color="auto" w:sz="4" w:space="0"/>
                  </w:tcBorders>
                  <w:vAlign w:val="center"/>
                </w:tcPr>
                <w:p w14:paraId="130EC2B9">
                  <w:pPr>
                    <w:jc w:val="center"/>
                  </w:pPr>
                </w:p>
              </w:tc>
            </w:tr>
            <w:tr w14:paraId="75BF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18" w:type="pct"/>
                  <w:vMerge w:val="continue"/>
                  <w:tcBorders>
                    <w:left w:val="single" w:color="auto" w:sz="4" w:space="0"/>
                    <w:bottom w:val="single" w:color="auto" w:sz="4" w:space="0"/>
                    <w:right w:val="single" w:color="auto" w:sz="4" w:space="0"/>
                  </w:tcBorders>
                  <w:vAlign w:val="center"/>
                </w:tcPr>
                <w:p w14:paraId="116F879B">
                  <w:pPr>
                    <w:jc w:val="center"/>
                  </w:pPr>
                </w:p>
              </w:tc>
              <w:tc>
                <w:tcPr>
                  <w:tcW w:w="548" w:type="pct"/>
                  <w:gridSpan w:val="2"/>
                  <w:vMerge w:val="restart"/>
                  <w:tcBorders>
                    <w:left w:val="single" w:color="auto" w:sz="4" w:space="0"/>
                    <w:right w:val="single" w:color="auto" w:sz="4" w:space="0"/>
                  </w:tcBorders>
                  <w:vAlign w:val="center"/>
                </w:tcPr>
                <w:p w14:paraId="7EB1F569">
                  <w:pPr>
                    <w:jc w:val="center"/>
                  </w:pPr>
                  <w:r>
                    <w:t>三类保护物</w:t>
                  </w:r>
                </w:p>
              </w:tc>
              <w:tc>
                <w:tcPr>
                  <w:tcW w:w="528" w:type="pct"/>
                  <w:tcBorders>
                    <w:top w:val="single" w:color="auto" w:sz="4" w:space="0"/>
                    <w:left w:val="single" w:color="auto" w:sz="4" w:space="0"/>
                    <w:bottom w:val="single" w:color="auto" w:sz="4" w:space="0"/>
                    <w:right w:val="single" w:color="auto" w:sz="4" w:space="0"/>
                  </w:tcBorders>
                  <w:vAlign w:val="center"/>
                </w:tcPr>
                <w:p w14:paraId="0C20AE84">
                  <w:pPr>
                    <w:ind w:left="-105" w:leftChars="-50" w:right="-105" w:rightChars="-50"/>
                    <w:jc w:val="center"/>
                  </w:pPr>
                  <w:r>
                    <w:t>标准</w:t>
                  </w:r>
                </w:p>
              </w:tc>
              <w:tc>
                <w:tcPr>
                  <w:tcW w:w="1027" w:type="pct"/>
                  <w:tcBorders>
                    <w:top w:val="single" w:color="auto" w:sz="4" w:space="0"/>
                    <w:left w:val="single" w:color="auto" w:sz="4" w:space="0"/>
                    <w:right w:val="single" w:color="auto" w:sz="4" w:space="0"/>
                  </w:tcBorders>
                  <w:vAlign w:val="center"/>
                </w:tcPr>
                <w:p w14:paraId="5CD3AAAF">
                  <w:pPr>
                    <w:ind w:left="-105" w:leftChars="-50" w:right="-105" w:rightChars="-50"/>
                    <w:jc w:val="center"/>
                  </w:pPr>
                  <w:r>
                    <w:rPr>
                      <w:rFonts w:hint="eastAsia"/>
                    </w:rPr>
                    <w:t>7</w:t>
                  </w:r>
                </w:p>
              </w:tc>
              <w:tc>
                <w:tcPr>
                  <w:tcW w:w="1009" w:type="pct"/>
                  <w:tcBorders>
                    <w:top w:val="single" w:color="auto" w:sz="4" w:space="0"/>
                    <w:left w:val="single" w:color="auto" w:sz="4" w:space="0"/>
                    <w:right w:val="single" w:color="auto" w:sz="4" w:space="0"/>
                  </w:tcBorders>
                  <w:vAlign w:val="center"/>
                </w:tcPr>
                <w:p w14:paraId="3F47E646">
                  <w:pPr>
                    <w:ind w:left="-105" w:leftChars="-50" w:right="-105" w:rightChars="-50"/>
                    <w:jc w:val="center"/>
                  </w:pPr>
                  <w:r>
                    <w:rPr>
                      <w:rFonts w:hint="eastAsia"/>
                    </w:rPr>
                    <w:t>7</w:t>
                  </w:r>
                </w:p>
              </w:tc>
              <w:tc>
                <w:tcPr>
                  <w:tcW w:w="963" w:type="pct"/>
                  <w:tcBorders>
                    <w:left w:val="single" w:color="auto" w:sz="4" w:space="0"/>
                    <w:right w:val="single" w:color="auto" w:sz="4" w:space="0"/>
                  </w:tcBorders>
                  <w:vAlign w:val="center"/>
                </w:tcPr>
                <w:p w14:paraId="4459D815">
                  <w:pPr>
                    <w:ind w:left="-105" w:leftChars="-50" w:right="-105" w:rightChars="-50"/>
                    <w:jc w:val="center"/>
                  </w:pPr>
                  <w:r>
                    <w:rPr>
                      <w:rFonts w:hint="eastAsia"/>
                    </w:rPr>
                    <w:t>7</w:t>
                  </w:r>
                </w:p>
              </w:tc>
              <w:tc>
                <w:tcPr>
                  <w:tcW w:w="405" w:type="pct"/>
                  <w:vMerge w:val="restart"/>
                  <w:tcBorders>
                    <w:left w:val="single" w:color="auto" w:sz="4" w:space="0"/>
                    <w:right w:val="single" w:color="auto" w:sz="4" w:space="0"/>
                  </w:tcBorders>
                  <w:vAlign w:val="center"/>
                </w:tcPr>
                <w:p w14:paraId="45C37080">
                  <w:pPr>
                    <w:jc w:val="center"/>
                  </w:pPr>
                  <w:r>
                    <w:t>符合</w:t>
                  </w:r>
                </w:p>
              </w:tc>
            </w:tr>
            <w:tr w14:paraId="3ACD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18" w:type="pct"/>
                  <w:vMerge w:val="continue"/>
                  <w:tcBorders>
                    <w:left w:val="single" w:color="auto" w:sz="4" w:space="0"/>
                    <w:bottom w:val="single" w:color="auto" w:sz="4" w:space="0"/>
                    <w:right w:val="single" w:color="auto" w:sz="4" w:space="0"/>
                  </w:tcBorders>
                  <w:vAlign w:val="center"/>
                </w:tcPr>
                <w:p w14:paraId="56747A43">
                  <w:pPr>
                    <w:ind w:left="-105" w:leftChars="-50" w:right="-105" w:rightChars="-50"/>
                    <w:jc w:val="center"/>
                  </w:pPr>
                </w:p>
              </w:tc>
              <w:tc>
                <w:tcPr>
                  <w:tcW w:w="548" w:type="pct"/>
                  <w:gridSpan w:val="2"/>
                  <w:vMerge w:val="continue"/>
                  <w:tcBorders>
                    <w:left w:val="single" w:color="auto" w:sz="4" w:space="0"/>
                    <w:bottom w:val="single" w:color="auto" w:sz="4" w:space="0"/>
                    <w:right w:val="single" w:color="auto" w:sz="4" w:space="0"/>
                  </w:tcBorders>
                  <w:vAlign w:val="center"/>
                </w:tcPr>
                <w:p w14:paraId="4D832E16">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3C8BE25A">
                  <w:pPr>
                    <w:ind w:left="-105" w:leftChars="-50" w:right="-105" w:rightChars="-50"/>
                    <w:jc w:val="center"/>
                  </w:pPr>
                  <w:r>
                    <w:t>本项目</w:t>
                  </w:r>
                </w:p>
              </w:tc>
              <w:tc>
                <w:tcPr>
                  <w:tcW w:w="1027" w:type="pct"/>
                  <w:tcBorders>
                    <w:left w:val="single" w:color="auto" w:sz="4" w:space="0"/>
                    <w:bottom w:val="single" w:color="auto" w:sz="4" w:space="0"/>
                    <w:right w:val="single" w:color="auto" w:sz="4" w:space="0"/>
                  </w:tcBorders>
                  <w:vAlign w:val="center"/>
                </w:tcPr>
                <w:p w14:paraId="5D7760CC">
                  <w:pPr>
                    <w:ind w:left="-105" w:leftChars="-50" w:right="-105" w:rightChars="-50"/>
                    <w:jc w:val="center"/>
                  </w:pPr>
                  <w:r>
                    <w:rPr>
                      <w:rFonts w:hint="eastAsia"/>
                    </w:rPr>
                    <w:t>东侧民建62.8</w:t>
                  </w:r>
                </w:p>
              </w:tc>
              <w:tc>
                <w:tcPr>
                  <w:tcW w:w="1009" w:type="pct"/>
                  <w:tcBorders>
                    <w:left w:val="single" w:color="auto" w:sz="4" w:space="0"/>
                    <w:bottom w:val="single" w:color="auto" w:sz="4" w:space="0"/>
                    <w:right w:val="single" w:color="auto" w:sz="4" w:space="0"/>
                  </w:tcBorders>
                  <w:vAlign w:val="center"/>
                </w:tcPr>
                <w:p w14:paraId="47C9649A">
                  <w:pPr>
                    <w:ind w:left="-105" w:leftChars="-50" w:right="-105" w:rightChars="-50"/>
                    <w:jc w:val="center"/>
                  </w:pPr>
                  <w:r>
                    <w:rPr>
                      <w:rFonts w:hint="eastAsia"/>
                    </w:rPr>
                    <w:t>东侧民建64.2</w:t>
                  </w:r>
                </w:p>
              </w:tc>
              <w:tc>
                <w:tcPr>
                  <w:tcW w:w="963" w:type="pct"/>
                  <w:tcBorders>
                    <w:left w:val="single" w:color="auto" w:sz="4" w:space="0"/>
                    <w:bottom w:val="single" w:color="auto" w:sz="4" w:space="0"/>
                    <w:right w:val="single" w:color="auto" w:sz="4" w:space="0"/>
                  </w:tcBorders>
                  <w:vAlign w:val="center"/>
                </w:tcPr>
                <w:p w14:paraId="14253067">
                  <w:pPr>
                    <w:ind w:left="-105" w:leftChars="-50" w:right="-105" w:rightChars="-50"/>
                    <w:jc w:val="center"/>
                  </w:pPr>
                  <w:r>
                    <w:rPr>
                      <w:rFonts w:hint="eastAsia"/>
                    </w:rPr>
                    <w:t>东侧民建35.4</w:t>
                  </w:r>
                </w:p>
              </w:tc>
              <w:tc>
                <w:tcPr>
                  <w:tcW w:w="405" w:type="pct"/>
                  <w:vMerge w:val="continue"/>
                  <w:tcBorders>
                    <w:left w:val="single" w:color="auto" w:sz="4" w:space="0"/>
                    <w:bottom w:val="single" w:color="auto" w:sz="4" w:space="0"/>
                    <w:right w:val="single" w:color="auto" w:sz="4" w:space="0"/>
                  </w:tcBorders>
                  <w:vAlign w:val="center"/>
                </w:tcPr>
                <w:p w14:paraId="71BEABB1">
                  <w:pPr>
                    <w:ind w:left="-105" w:leftChars="-50" w:right="-105" w:rightChars="-50"/>
                    <w:jc w:val="center"/>
                  </w:pPr>
                </w:p>
              </w:tc>
            </w:tr>
            <w:tr w14:paraId="6732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7DCEDD8E">
                  <w:pPr>
                    <w:jc w:val="center"/>
                  </w:pPr>
                  <w:r>
                    <w:rPr>
                      <w:rFonts w:hint="eastAsia"/>
                    </w:rPr>
                    <w:t>甲、乙类物品生产厂房、库房和甲、乙类液体储罐</w:t>
                  </w:r>
                </w:p>
              </w:tc>
              <w:tc>
                <w:tcPr>
                  <w:tcW w:w="528" w:type="pct"/>
                  <w:tcBorders>
                    <w:top w:val="single" w:color="auto" w:sz="4" w:space="0"/>
                    <w:left w:val="single" w:color="auto" w:sz="4" w:space="0"/>
                    <w:bottom w:val="single" w:color="auto" w:sz="4" w:space="0"/>
                    <w:right w:val="single" w:color="auto" w:sz="4" w:space="0"/>
                  </w:tcBorders>
                  <w:vAlign w:val="center"/>
                </w:tcPr>
                <w:p w14:paraId="04169510">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71613FAE">
                  <w:pPr>
                    <w:ind w:left="-105" w:leftChars="-50" w:right="-105" w:rightChars="-50"/>
                    <w:jc w:val="center"/>
                  </w:pPr>
                  <w:r>
                    <w:rPr>
                      <w:rFonts w:hint="eastAsia"/>
                    </w:rPr>
                    <w:t>12.5</w:t>
                  </w:r>
                </w:p>
              </w:tc>
              <w:tc>
                <w:tcPr>
                  <w:tcW w:w="1009" w:type="pct"/>
                  <w:tcBorders>
                    <w:top w:val="single" w:color="auto" w:sz="4" w:space="0"/>
                    <w:left w:val="single" w:color="auto" w:sz="4" w:space="0"/>
                    <w:bottom w:val="single" w:color="auto" w:sz="4" w:space="0"/>
                    <w:right w:val="single" w:color="auto" w:sz="4" w:space="0"/>
                  </w:tcBorders>
                  <w:vAlign w:val="center"/>
                </w:tcPr>
                <w:p w14:paraId="3AD4F13E">
                  <w:pPr>
                    <w:ind w:left="-105" w:leftChars="-50" w:right="-105" w:rightChars="-50"/>
                    <w:jc w:val="center"/>
                  </w:pPr>
                  <w:r>
                    <w:rPr>
                      <w:rFonts w:hint="eastAsia"/>
                    </w:rPr>
                    <w:t>12.5</w:t>
                  </w:r>
                </w:p>
              </w:tc>
              <w:tc>
                <w:tcPr>
                  <w:tcW w:w="963" w:type="pct"/>
                  <w:tcBorders>
                    <w:top w:val="single" w:color="auto" w:sz="4" w:space="0"/>
                    <w:left w:val="single" w:color="auto" w:sz="4" w:space="0"/>
                    <w:right w:val="single" w:color="auto" w:sz="4" w:space="0"/>
                  </w:tcBorders>
                  <w:vAlign w:val="center"/>
                </w:tcPr>
                <w:p w14:paraId="1637BB42">
                  <w:pPr>
                    <w:ind w:left="-105" w:leftChars="-50" w:right="-105" w:rightChars="-50"/>
                    <w:jc w:val="center"/>
                  </w:pPr>
                  <w:r>
                    <w:rPr>
                      <w:rFonts w:hint="eastAsia"/>
                    </w:rPr>
                    <w:t>12.5</w:t>
                  </w:r>
                </w:p>
              </w:tc>
              <w:tc>
                <w:tcPr>
                  <w:tcW w:w="405" w:type="pct"/>
                  <w:vMerge w:val="restart"/>
                  <w:tcBorders>
                    <w:top w:val="single" w:color="auto" w:sz="4" w:space="0"/>
                    <w:left w:val="single" w:color="auto" w:sz="4" w:space="0"/>
                    <w:right w:val="single" w:color="auto" w:sz="4" w:space="0"/>
                  </w:tcBorders>
                  <w:vAlign w:val="center"/>
                </w:tcPr>
                <w:p w14:paraId="73177D62">
                  <w:pPr>
                    <w:jc w:val="center"/>
                  </w:pPr>
                  <w:r>
                    <w:t>符合</w:t>
                  </w:r>
                </w:p>
              </w:tc>
            </w:tr>
            <w:tr w14:paraId="6AC8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06D4B543">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293A7334">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42625DA5">
                  <w:pPr>
                    <w:ind w:left="-105" w:leftChars="-50" w:right="-105" w:rightChars="-50"/>
                    <w:jc w:val="center"/>
                  </w:pPr>
                  <w:r>
                    <w:t>不涉及</w:t>
                  </w:r>
                </w:p>
              </w:tc>
              <w:tc>
                <w:tcPr>
                  <w:tcW w:w="1009" w:type="pct"/>
                  <w:tcBorders>
                    <w:top w:val="single" w:color="auto" w:sz="4" w:space="0"/>
                    <w:left w:val="single" w:color="auto" w:sz="4" w:space="0"/>
                    <w:bottom w:val="single" w:color="auto" w:sz="4" w:space="0"/>
                    <w:right w:val="single" w:color="auto" w:sz="4" w:space="0"/>
                  </w:tcBorders>
                  <w:vAlign w:val="center"/>
                </w:tcPr>
                <w:p w14:paraId="52AF4EEB">
                  <w:pPr>
                    <w:ind w:left="-105" w:leftChars="-50" w:right="-105" w:rightChars="-50"/>
                    <w:jc w:val="center"/>
                  </w:pPr>
                  <w:r>
                    <w:t>不涉及</w:t>
                  </w:r>
                </w:p>
              </w:tc>
              <w:tc>
                <w:tcPr>
                  <w:tcW w:w="963" w:type="pct"/>
                  <w:tcBorders>
                    <w:left w:val="single" w:color="auto" w:sz="4" w:space="0"/>
                    <w:bottom w:val="single" w:color="auto" w:sz="4" w:space="0"/>
                    <w:right w:val="single" w:color="auto" w:sz="4" w:space="0"/>
                  </w:tcBorders>
                  <w:vAlign w:val="center"/>
                </w:tcPr>
                <w:p w14:paraId="2A736E41">
                  <w:pPr>
                    <w:ind w:left="-105" w:leftChars="-50" w:right="-105" w:rightChars="-50"/>
                    <w:jc w:val="center"/>
                  </w:pPr>
                  <w:r>
                    <w:t>不涉及</w:t>
                  </w:r>
                </w:p>
              </w:tc>
              <w:tc>
                <w:tcPr>
                  <w:tcW w:w="405" w:type="pct"/>
                  <w:vMerge w:val="continue"/>
                  <w:tcBorders>
                    <w:left w:val="single" w:color="auto" w:sz="4" w:space="0"/>
                    <w:bottom w:val="single" w:color="auto" w:sz="4" w:space="0"/>
                    <w:right w:val="single" w:color="auto" w:sz="4" w:space="0"/>
                  </w:tcBorders>
                  <w:vAlign w:val="center"/>
                </w:tcPr>
                <w:p w14:paraId="29598822">
                  <w:pPr>
                    <w:jc w:val="center"/>
                  </w:pPr>
                </w:p>
              </w:tc>
            </w:tr>
            <w:tr w14:paraId="0713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2297E2B8">
                  <w:pPr>
                    <w:jc w:val="center"/>
                  </w:pPr>
                  <w:r>
                    <w:rPr>
                      <w:rFonts w:hint="eastAsia"/>
                    </w:rPr>
                    <w:t>丙、丁、戊类物品生产厂房、库房和丙类液体储罐以及单罐容积不大于</w:t>
                  </w:r>
                  <w:r>
                    <w:t>50m</w:t>
                  </w:r>
                  <w:r>
                    <w:rPr>
                      <w:vertAlign w:val="superscript"/>
                    </w:rPr>
                    <w:t>3</w:t>
                  </w:r>
                  <w:r>
                    <w:rPr>
                      <w:rFonts w:hint="eastAsia"/>
                    </w:rPr>
                    <w:t>的埋地甲、乙类液体储罐</w:t>
                  </w:r>
                </w:p>
              </w:tc>
              <w:tc>
                <w:tcPr>
                  <w:tcW w:w="528" w:type="pct"/>
                  <w:tcBorders>
                    <w:top w:val="single" w:color="auto" w:sz="4" w:space="0"/>
                    <w:left w:val="single" w:color="auto" w:sz="4" w:space="0"/>
                    <w:bottom w:val="single" w:color="auto" w:sz="4" w:space="0"/>
                    <w:right w:val="single" w:color="auto" w:sz="4" w:space="0"/>
                  </w:tcBorders>
                  <w:vAlign w:val="center"/>
                </w:tcPr>
                <w:p w14:paraId="37E1609F">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5C447AF1">
                  <w:pPr>
                    <w:ind w:left="-105" w:leftChars="-50" w:right="-105" w:rightChars="-50"/>
                    <w:jc w:val="center"/>
                  </w:pPr>
                  <w:r>
                    <w:rPr>
                      <w:rFonts w:hint="eastAsia"/>
                    </w:rPr>
                    <w:t>10.5</w:t>
                  </w:r>
                </w:p>
              </w:tc>
              <w:tc>
                <w:tcPr>
                  <w:tcW w:w="1009" w:type="pct"/>
                  <w:tcBorders>
                    <w:top w:val="single" w:color="auto" w:sz="4" w:space="0"/>
                    <w:left w:val="single" w:color="auto" w:sz="4" w:space="0"/>
                    <w:bottom w:val="single" w:color="auto" w:sz="4" w:space="0"/>
                    <w:right w:val="single" w:color="auto" w:sz="4" w:space="0"/>
                  </w:tcBorders>
                  <w:vAlign w:val="center"/>
                </w:tcPr>
                <w:p w14:paraId="4A2D5ED2">
                  <w:pPr>
                    <w:ind w:left="-105" w:leftChars="-50" w:right="-105" w:rightChars="-50"/>
                    <w:jc w:val="center"/>
                  </w:pPr>
                  <w:r>
                    <w:rPr>
                      <w:rFonts w:hint="eastAsia"/>
                    </w:rPr>
                    <w:t>10.5</w:t>
                  </w:r>
                </w:p>
              </w:tc>
              <w:tc>
                <w:tcPr>
                  <w:tcW w:w="963" w:type="pct"/>
                  <w:tcBorders>
                    <w:top w:val="single" w:color="auto" w:sz="4" w:space="0"/>
                    <w:left w:val="single" w:color="auto" w:sz="4" w:space="0"/>
                    <w:right w:val="single" w:color="auto" w:sz="4" w:space="0"/>
                  </w:tcBorders>
                  <w:vAlign w:val="center"/>
                </w:tcPr>
                <w:p w14:paraId="499B6E03">
                  <w:pPr>
                    <w:ind w:left="-105" w:leftChars="-50" w:right="-105" w:rightChars="-50"/>
                    <w:jc w:val="center"/>
                  </w:pPr>
                  <w:r>
                    <w:rPr>
                      <w:rFonts w:hint="eastAsia"/>
                    </w:rPr>
                    <w:t>10.5</w:t>
                  </w:r>
                </w:p>
              </w:tc>
              <w:tc>
                <w:tcPr>
                  <w:tcW w:w="405" w:type="pct"/>
                  <w:vMerge w:val="restart"/>
                  <w:tcBorders>
                    <w:top w:val="single" w:color="auto" w:sz="4" w:space="0"/>
                    <w:left w:val="single" w:color="auto" w:sz="4" w:space="0"/>
                    <w:right w:val="single" w:color="auto" w:sz="4" w:space="0"/>
                  </w:tcBorders>
                  <w:vAlign w:val="center"/>
                </w:tcPr>
                <w:p w14:paraId="6AD84D1E">
                  <w:pPr>
                    <w:jc w:val="center"/>
                  </w:pPr>
                  <w:r>
                    <w:t>符合</w:t>
                  </w:r>
                </w:p>
              </w:tc>
            </w:tr>
            <w:tr w14:paraId="1A13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0E051106">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736AD590">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648FF2F7">
                  <w:pPr>
                    <w:ind w:left="-105" w:leftChars="-50" w:right="-105" w:rightChars="-50"/>
                    <w:jc w:val="center"/>
                  </w:pPr>
                  <w:r>
                    <w:t>不涉及</w:t>
                  </w:r>
                </w:p>
              </w:tc>
              <w:tc>
                <w:tcPr>
                  <w:tcW w:w="1009" w:type="pct"/>
                  <w:tcBorders>
                    <w:top w:val="single" w:color="auto" w:sz="4" w:space="0"/>
                    <w:left w:val="single" w:color="auto" w:sz="4" w:space="0"/>
                    <w:bottom w:val="single" w:color="auto" w:sz="4" w:space="0"/>
                    <w:right w:val="single" w:color="auto" w:sz="4" w:space="0"/>
                  </w:tcBorders>
                  <w:vAlign w:val="center"/>
                </w:tcPr>
                <w:p w14:paraId="0168DF1A">
                  <w:pPr>
                    <w:ind w:left="-105" w:leftChars="-50" w:right="-105" w:rightChars="-50"/>
                    <w:jc w:val="center"/>
                  </w:pPr>
                  <w:r>
                    <w:t>不涉及</w:t>
                  </w:r>
                </w:p>
              </w:tc>
              <w:tc>
                <w:tcPr>
                  <w:tcW w:w="963" w:type="pct"/>
                  <w:tcBorders>
                    <w:left w:val="single" w:color="auto" w:sz="4" w:space="0"/>
                    <w:bottom w:val="single" w:color="auto" w:sz="4" w:space="0"/>
                    <w:right w:val="single" w:color="auto" w:sz="4" w:space="0"/>
                  </w:tcBorders>
                  <w:vAlign w:val="center"/>
                </w:tcPr>
                <w:p w14:paraId="2F43951B">
                  <w:pPr>
                    <w:ind w:left="-105" w:leftChars="-50" w:right="-105" w:rightChars="-50"/>
                    <w:jc w:val="center"/>
                  </w:pPr>
                  <w:r>
                    <w:t>不涉及</w:t>
                  </w:r>
                </w:p>
              </w:tc>
              <w:tc>
                <w:tcPr>
                  <w:tcW w:w="405" w:type="pct"/>
                  <w:vMerge w:val="continue"/>
                  <w:tcBorders>
                    <w:left w:val="single" w:color="auto" w:sz="4" w:space="0"/>
                    <w:bottom w:val="single" w:color="auto" w:sz="4" w:space="0"/>
                    <w:right w:val="single" w:color="auto" w:sz="4" w:space="0"/>
                  </w:tcBorders>
                  <w:vAlign w:val="center"/>
                </w:tcPr>
                <w:p w14:paraId="4EBBEA2D">
                  <w:pPr>
                    <w:jc w:val="center"/>
                  </w:pPr>
                </w:p>
              </w:tc>
            </w:tr>
            <w:tr w14:paraId="3F41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7D6C60DE">
                  <w:pPr>
                    <w:jc w:val="center"/>
                  </w:pPr>
                  <w:r>
                    <w:t>室外变配电站</w:t>
                  </w:r>
                </w:p>
              </w:tc>
              <w:tc>
                <w:tcPr>
                  <w:tcW w:w="528" w:type="pct"/>
                  <w:tcBorders>
                    <w:top w:val="single" w:color="auto" w:sz="4" w:space="0"/>
                    <w:left w:val="single" w:color="auto" w:sz="4" w:space="0"/>
                    <w:bottom w:val="single" w:color="auto" w:sz="4" w:space="0"/>
                    <w:right w:val="single" w:color="auto" w:sz="4" w:space="0"/>
                  </w:tcBorders>
                  <w:vAlign w:val="center"/>
                </w:tcPr>
                <w:p w14:paraId="41CD0E13">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72A1B841">
                  <w:pPr>
                    <w:ind w:left="-105" w:leftChars="-50" w:right="-105" w:rightChars="-50"/>
                    <w:jc w:val="center"/>
                  </w:pPr>
                  <w:r>
                    <w:rPr>
                      <w:rFonts w:hint="eastAsia"/>
                    </w:rPr>
                    <w:t>12.5</w:t>
                  </w:r>
                </w:p>
              </w:tc>
              <w:tc>
                <w:tcPr>
                  <w:tcW w:w="1009" w:type="pct"/>
                  <w:tcBorders>
                    <w:top w:val="single" w:color="auto" w:sz="4" w:space="0"/>
                    <w:left w:val="single" w:color="auto" w:sz="4" w:space="0"/>
                    <w:bottom w:val="single" w:color="auto" w:sz="4" w:space="0"/>
                    <w:right w:val="single" w:color="auto" w:sz="4" w:space="0"/>
                  </w:tcBorders>
                  <w:vAlign w:val="center"/>
                </w:tcPr>
                <w:p w14:paraId="41268F26">
                  <w:pPr>
                    <w:ind w:left="-105" w:leftChars="-50" w:right="-105" w:rightChars="-50"/>
                    <w:jc w:val="center"/>
                  </w:pPr>
                  <w:r>
                    <w:rPr>
                      <w:rFonts w:hint="eastAsia"/>
                    </w:rPr>
                    <w:t>12.5</w:t>
                  </w:r>
                </w:p>
              </w:tc>
              <w:tc>
                <w:tcPr>
                  <w:tcW w:w="963" w:type="pct"/>
                  <w:tcBorders>
                    <w:top w:val="single" w:color="auto" w:sz="4" w:space="0"/>
                    <w:left w:val="single" w:color="auto" w:sz="4" w:space="0"/>
                    <w:right w:val="single" w:color="auto" w:sz="4" w:space="0"/>
                  </w:tcBorders>
                  <w:vAlign w:val="center"/>
                </w:tcPr>
                <w:p w14:paraId="7F4E7041">
                  <w:pPr>
                    <w:ind w:left="-105" w:leftChars="-50" w:right="-105" w:rightChars="-50"/>
                    <w:jc w:val="center"/>
                  </w:pPr>
                  <w:r>
                    <w:rPr>
                      <w:rFonts w:hint="eastAsia"/>
                    </w:rPr>
                    <w:t>12.5</w:t>
                  </w:r>
                </w:p>
              </w:tc>
              <w:tc>
                <w:tcPr>
                  <w:tcW w:w="405" w:type="pct"/>
                  <w:vMerge w:val="restart"/>
                  <w:tcBorders>
                    <w:top w:val="single" w:color="auto" w:sz="4" w:space="0"/>
                    <w:left w:val="single" w:color="auto" w:sz="4" w:space="0"/>
                    <w:right w:val="single" w:color="auto" w:sz="4" w:space="0"/>
                  </w:tcBorders>
                  <w:vAlign w:val="center"/>
                </w:tcPr>
                <w:p w14:paraId="7F356A71">
                  <w:pPr>
                    <w:jc w:val="center"/>
                  </w:pPr>
                  <w:r>
                    <w:t>符合</w:t>
                  </w:r>
                </w:p>
              </w:tc>
            </w:tr>
            <w:tr w14:paraId="48D5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4A6F35B5">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276C4336">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7F5B3C04">
                  <w:pPr>
                    <w:ind w:left="-105" w:leftChars="-50" w:right="-105" w:rightChars="-50"/>
                    <w:jc w:val="center"/>
                  </w:pPr>
                  <w:r>
                    <w:t>不涉及</w:t>
                  </w:r>
                </w:p>
              </w:tc>
              <w:tc>
                <w:tcPr>
                  <w:tcW w:w="1009" w:type="pct"/>
                  <w:tcBorders>
                    <w:top w:val="single" w:color="auto" w:sz="4" w:space="0"/>
                    <w:left w:val="single" w:color="auto" w:sz="4" w:space="0"/>
                    <w:bottom w:val="single" w:color="auto" w:sz="4" w:space="0"/>
                    <w:right w:val="single" w:color="auto" w:sz="4" w:space="0"/>
                  </w:tcBorders>
                  <w:vAlign w:val="center"/>
                </w:tcPr>
                <w:p w14:paraId="6A1A57A4">
                  <w:pPr>
                    <w:ind w:left="-105" w:leftChars="-50" w:right="-105" w:rightChars="-50"/>
                    <w:jc w:val="center"/>
                  </w:pPr>
                  <w:r>
                    <w:t>不涉及</w:t>
                  </w:r>
                </w:p>
              </w:tc>
              <w:tc>
                <w:tcPr>
                  <w:tcW w:w="963" w:type="pct"/>
                  <w:tcBorders>
                    <w:left w:val="single" w:color="auto" w:sz="4" w:space="0"/>
                    <w:bottom w:val="single" w:color="auto" w:sz="4" w:space="0"/>
                    <w:right w:val="single" w:color="auto" w:sz="4" w:space="0"/>
                  </w:tcBorders>
                  <w:vAlign w:val="center"/>
                </w:tcPr>
                <w:p w14:paraId="0FA127E4">
                  <w:pPr>
                    <w:ind w:left="-105" w:leftChars="-50" w:right="-105" w:rightChars="-50"/>
                    <w:jc w:val="center"/>
                  </w:pPr>
                  <w:r>
                    <w:t>不涉及</w:t>
                  </w:r>
                </w:p>
              </w:tc>
              <w:tc>
                <w:tcPr>
                  <w:tcW w:w="405" w:type="pct"/>
                  <w:vMerge w:val="continue"/>
                  <w:tcBorders>
                    <w:left w:val="single" w:color="auto" w:sz="4" w:space="0"/>
                    <w:bottom w:val="single" w:color="auto" w:sz="4" w:space="0"/>
                    <w:right w:val="single" w:color="auto" w:sz="4" w:space="0"/>
                  </w:tcBorders>
                  <w:vAlign w:val="center"/>
                </w:tcPr>
                <w:p w14:paraId="34840C3A">
                  <w:pPr>
                    <w:jc w:val="center"/>
                  </w:pPr>
                </w:p>
              </w:tc>
            </w:tr>
            <w:tr w14:paraId="4133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504A92DA">
                  <w:pPr>
                    <w:jc w:val="center"/>
                  </w:pPr>
                  <w:r>
                    <w:t>铁路、地上城市轨道线路</w:t>
                  </w:r>
                </w:p>
              </w:tc>
              <w:tc>
                <w:tcPr>
                  <w:tcW w:w="528" w:type="pct"/>
                  <w:tcBorders>
                    <w:top w:val="single" w:color="auto" w:sz="4" w:space="0"/>
                    <w:left w:val="single" w:color="auto" w:sz="4" w:space="0"/>
                    <w:bottom w:val="single" w:color="auto" w:sz="4" w:space="0"/>
                    <w:right w:val="single" w:color="auto" w:sz="4" w:space="0"/>
                  </w:tcBorders>
                  <w:vAlign w:val="center"/>
                </w:tcPr>
                <w:p w14:paraId="57F09208">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431F18C5">
                  <w:pPr>
                    <w:ind w:left="-105" w:leftChars="-50" w:right="-105" w:rightChars="-50"/>
                    <w:jc w:val="center"/>
                  </w:pPr>
                  <w:r>
                    <w:rPr>
                      <w:rFonts w:hint="eastAsia"/>
                    </w:rPr>
                    <w:t>15.5</w:t>
                  </w:r>
                </w:p>
              </w:tc>
              <w:tc>
                <w:tcPr>
                  <w:tcW w:w="1009" w:type="pct"/>
                  <w:tcBorders>
                    <w:top w:val="single" w:color="auto" w:sz="4" w:space="0"/>
                    <w:left w:val="single" w:color="auto" w:sz="4" w:space="0"/>
                    <w:bottom w:val="single" w:color="auto" w:sz="4" w:space="0"/>
                    <w:right w:val="single" w:color="auto" w:sz="4" w:space="0"/>
                  </w:tcBorders>
                  <w:vAlign w:val="center"/>
                </w:tcPr>
                <w:p w14:paraId="1B060B92">
                  <w:pPr>
                    <w:ind w:left="-105" w:leftChars="-50" w:right="-105" w:rightChars="-50"/>
                    <w:jc w:val="center"/>
                  </w:pPr>
                  <w:r>
                    <w:rPr>
                      <w:rFonts w:hint="eastAsia"/>
                    </w:rPr>
                    <w:t>15.5</w:t>
                  </w:r>
                </w:p>
              </w:tc>
              <w:tc>
                <w:tcPr>
                  <w:tcW w:w="963" w:type="pct"/>
                  <w:tcBorders>
                    <w:top w:val="single" w:color="auto" w:sz="4" w:space="0"/>
                    <w:left w:val="single" w:color="auto" w:sz="4" w:space="0"/>
                    <w:right w:val="single" w:color="auto" w:sz="4" w:space="0"/>
                  </w:tcBorders>
                  <w:vAlign w:val="center"/>
                </w:tcPr>
                <w:p w14:paraId="51F696E3">
                  <w:pPr>
                    <w:ind w:left="-105" w:leftChars="-50" w:right="-105" w:rightChars="-50"/>
                    <w:jc w:val="center"/>
                  </w:pPr>
                  <w:r>
                    <w:rPr>
                      <w:rFonts w:hint="eastAsia"/>
                    </w:rPr>
                    <w:t>15.5</w:t>
                  </w:r>
                </w:p>
              </w:tc>
              <w:tc>
                <w:tcPr>
                  <w:tcW w:w="405" w:type="pct"/>
                  <w:vMerge w:val="restart"/>
                  <w:tcBorders>
                    <w:top w:val="single" w:color="auto" w:sz="4" w:space="0"/>
                    <w:left w:val="single" w:color="auto" w:sz="4" w:space="0"/>
                    <w:right w:val="single" w:color="auto" w:sz="4" w:space="0"/>
                  </w:tcBorders>
                  <w:vAlign w:val="center"/>
                </w:tcPr>
                <w:p w14:paraId="7C075ACD">
                  <w:pPr>
                    <w:jc w:val="center"/>
                  </w:pPr>
                  <w:r>
                    <w:t>符合</w:t>
                  </w:r>
                </w:p>
              </w:tc>
            </w:tr>
            <w:tr w14:paraId="4D21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6D735673">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7CC874CE">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31360CEE">
                  <w:pPr>
                    <w:ind w:left="-105" w:leftChars="-50" w:right="-105" w:rightChars="-50"/>
                    <w:jc w:val="center"/>
                  </w:pPr>
                  <w:r>
                    <w:t>不涉及</w:t>
                  </w:r>
                </w:p>
              </w:tc>
              <w:tc>
                <w:tcPr>
                  <w:tcW w:w="1009" w:type="pct"/>
                  <w:tcBorders>
                    <w:top w:val="single" w:color="auto" w:sz="4" w:space="0"/>
                    <w:left w:val="single" w:color="auto" w:sz="4" w:space="0"/>
                    <w:bottom w:val="single" w:color="auto" w:sz="4" w:space="0"/>
                    <w:right w:val="single" w:color="auto" w:sz="4" w:space="0"/>
                  </w:tcBorders>
                  <w:vAlign w:val="center"/>
                </w:tcPr>
                <w:p w14:paraId="019AD750">
                  <w:pPr>
                    <w:ind w:left="-105" w:leftChars="-50" w:right="-105" w:rightChars="-50"/>
                    <w:jc w:val="center"/>
                  </w:pPr>
                  <w:r>
                    <w:t>不涉及</w:t>
                  </w:r>
                </w:p>
              </w:tc>
              <w:tc>
                <w:tcPr>
                  <w:tcW w:w="963" w:type="pct"/>
                  <w:tcBorders>
                    <w:left w:val="single" w:color="auto" w:sz="4" w:space="0"/>
                    <w:bottom w:val="single" w:color="auto" w:sz="4" w:space="0"/>
                    <w:right w:val="single" w:color="auto" w:sz="4" w:space="0"/>
                  </w:tcBorders>
                  <w:vAlign w:val="center"/>
                </w:tcPr>
                <w:p w14:paraId="2C42CB2A">
                  <w:pPr>
                    <w:ind w:left="-105" w:leftChars="-50" w:right="-105" w:rightChars="-50"/>
                    <w:jc w:val="center"/>
                  </w:pPr>
                  <w:r>
                    <w:t>不涉及</w:t>
                  </w:r>
                </w:p>
              </w:tc>
              <w:tc>
                <w:tcPr>
                  <w:tcW w:w="405" w:type="pct"/>
                  <w:vMerge w:val="continue"/>
                  <w:tcBorders>
                    <w:left w:val="single" w:color="auto" w:sz="4" w:space="0"/>
                    <w:bottom w:val="single" w:color="auto" w:sz="4" w:space="0"/>
                    <w:right w:val="single" w:color="auto" w:sz="4" w:space="0"/>
                  </w:tcBorders>
                  <w:vAlign w:val="center"/>
                </w:tcPr>
                <w:p w14:paraId="1978DF75">
                  <w:pPr>
                    <w:jc w:val="center"/>
                  </w:pPr>
                </w:p>
              </w:tc>
            </w:tr>
            <w:tr w14:paraId="46D1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0E78B06F">
                  <w:pPr>
                    <w:jc w:val="center"/>
                  </w:pPr>
                  <w:r>
                    <w:t>城市快速路、主干路和高速公路路、一级公路二级公路</w:t>
                  </w:r>
                </w:p>
              </w:tc>
              <w:tc>
                <w:tcPr>
                  <w:tcW w:w="528" w:type="pct"/>
                  <w:tcBorders>
                    <w:top w:val="single" w:color="auto" w:sz="4" w:space="0"/>
                    <w:left w:val="single" w:color="auto" w:sz="4" w:space="0"/>
                    <w:bottom w:val="single" w:color="auto" w:sz="4" w:space="0"/>
                    <w:right w:val="single" w:color="auto" w:sz="4" w:space="0"/>
                  </w:tcBorders>
                  <w:vAlign w:val="center"/>
                </w:tcPr>
                <w:p w14:paraId="471549C5">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16BBF44B">
                  <w:pPr>
                    <w:ind w:left="-105" w:leftChars="-50" w:right="-105" w:rightChars="-50"/>
                    <w:jc w:val="center"/>
                  </w:pPr>
                  <w:r>
                    <w:rPr>
                      <w:rFonts w:hint="eastAsia"/>
                    </w:rPr>
                    <w:t>5.5</w:t>
                  </w:r>
                </w:p>
              </w:tc>
              <w:tc>
                <w:tcPr>
                  <w:tcW w:w="1009" w:type="pct"/>
                  <w:tcBorders>
                    <w:top w:val="single" w:color="auto" w:sz="4" w:space="0"/>
                    <w:left w:val="single" w:color="auto" w:sz="4" w:space="0"/>
                    <w:bottom w:val="single" w:color="auto" w:sz="4" w:space="0"/>
                    <w:right w:val="single" w:color="auto" w:sz="4" w:space="0"/>
                  </w:tcBorders>
                  <w:vAlign w:val="center"/>
                </w:tcPr>
                <w:p w14:paraId="4397A009">
                  <w:pPr>
                    <w:ind w:left="-105" w:leftChars="-50" w:right="-105" w:rightChars="-50"/>
                    <w:jc w:val="center"/>
                  </w:pPr>
                  <w:r>
                    <w:rPr>
                      <w:rFonts w:hint="eastAsia"/>
                    </w:rPr>
                    <w:t>5</w:t>
                  </w:r>
                </w:p>
              </w:tc>
              <w:tc>
                <w:tcPr>
                  <w:tcW w:w="963" w:type="pct"/>
                  <w:tcBorders>
                    <w:top w:val="single" w:color="auto" w:sz="4" w:space="0"/>
                    <w:left w:val="single" w:color="auto" w:sz="4" w:space="0"/>
                    <w:right w:val="single" w:color="auto" w:sz="4" w:space="0"/>
                  </w:tcBorders>
                  <w:vAlign w:val="center"/>
                </w:tcPr>
                <w:p w14:paraId="2AE35B5A">
                  <w:pPr>
                    <w:ind w:left="-105" w:leftChars="-50" w:right="-105" w:rightChars="-50"/>
                    <w:jc w:val="center"/>
                  </w:pPr>
                  <w:r>
                    <w:rPr>
                      <w:rFonts w:hint="eastAsia"/>
                    </w:rPr>
                    <w:t>5</w:t>
                  </w:r>
                </w:p>
              </w:tc>
              <w:tc>
                <w:tcPr>
                  <w:tcW w:w="405" w:type="pct"/>
                  <w:vMerge w:val="restart"/>
                  <w:tcBorders>
                    <w:top w:val="single" w:color="auto" w:sz="4" w:space="0"/>
                    <w:left w:val="single" w:color="auto" w:sz="4" w:space="0"/>
                    <w:right w:val="single" w:color="auto" w:sz="4" w:space="0"/>
                  </w:tcBorders>
                  <w:vAlign w:val="center"/>
                </w:tcPr>
                <w:p w14:paraId="6F345C9E">
                  <w:pPr>
                    <w:jc w:val="center"/>
                  </w:pPr>
                  <w:r>
                    <w:t>符合</w:t>
                  </w:r>
                </w:p>
              </w:tc>
            </w:tr>
            <w:tr w14:paraId="5C95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006A3188">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04FAD705">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26179F87">
                  <w:pPr>
                    <w:ind w:left="-105" w:leftChars="-50" w:right="-105" w:rightChars="-50"/>
                    <w:jc w:val="center"/>
                  </w:pPr>
                  <w:r>
                    <w:t>距离</w:t>
                  </w:r>
                  <w:r>
                    <w:rPr>
                      <w:rFonts w:hint="eastAsia"/>
                    </w:rPr>
                    <w:t>迎宾大道59.3</w:t>
                  </w:r>
                </w:p>
              </w:tc>
              <w:tc>
                <w:tcPr>
                  <w:tcW w:w="1009" w:type="pct"/>
                  <w:tcBorders>
                    <w:top w:val="single" w:color="auto" w:sz="4" w:space="0"/>
                    <w:left w:val="single" w:color="auto" w:sz="4" w:space="0"/>
                    <w:bottom w:val="single" w:color="auto" w:sz="4" w:space="0"/>
                    <w:right w:val="single" w:color="auto" w:sz="4" w:space="0"/>
                  </w:tcBorders>
                  <w:shd w:val="clear" w:color="auto" w:fill="auto"/>
                  <w:vAlign w:val="center"/>
                </w:tcPr>
                <w:p w14:paraId="734FD2AB">
                  <w:pPr>
                    <w:ind w:left="-105" w:leftChars="-50" w:right="-105" w:rightChars="-50"/>
                    <w:jc w:val="center"/>
                  </w:pPr>
                  <w:r>
                    <w:t>距离</w:t>
                  </w:r>
                  <w:r>
                    <w:rPr>
                      <w:rFonts w:hint="eastAsia"/>
                    </w:rPr>
                    <w:t>迎宾大道63.4</w:t>
                  </w:r>
                </w:p>
              </w:tc>
              <w:tc>
                <w:tcPr>
                  <w:tcW w:w="963" w:type="pct"/>
                  <w:tcBorders>
                    <w:left w:val="single" w:color="auto" w:sz="4" w:space="0"/>
                    <w:bottom w:val="single" w:color="auto" w:sz="4" w:space="0"/>
                    <w:right w:val="single" w:color="auto" w:sz="4" w:space="0"/>
                  </w:tcBorders>
                  <w:vAlign w:val="center"/>
                </w:tcPr>
                <w:p w14:paraId="5851D5C1">
                  <w:pPr>
                    <w:ind w:left="-105" w:leftChars="-50" w:right="-105" w:rightChars="-50"/>
                    <w:jc w:val="center"/>
                  </w:pPr>
                  <w:r>
                    <w:t>距离</w:t>
                  </w:r>
                  <w:r>
                    <w:rPr>
                      <w:rFonts w:hint="eastAsia"/>
                    </w:rPr>
                    <w:t>迎宾大道22.1</w:t>
                  </w:r>
                </w:p>
              </w:tc>
              <w:tc>
                <w:tcPr>
                  <w:tcW w:w="405" w:type="pct"/>
                  <w:vMerge w:val="continue"/>
                  <w:tcBorders>
                    <w:left w:val="single" w:color="auto" w:sz="4" w:space="0"/>
                    <w:bottom w:val="single" w:color="auto" w:sz="4" w:space="0"/>
                    <w:right w:val="single" w:color="auto" w:sz="4" w:space="0"/>
                  </w:tcBorders>
                  <w:vAlign w:val="center"/>
                </w:tcPr>
                <w:p w14:paraId="5682376F">
                  <w:pPr>
                    <w:jc w:val="center"/>
                  </w:pPr>
                </w:p>
              </w:tc>
            </w:tr>
            <w:tr w14:paraId="2D6C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71564665">
                  <w:pPr>
                    <w:jc w:val="center"/>
                  </w:pPr>
                  <w:r>
                    <w:t>城市次干路、支路和三级公路、四级公路</w:t>
                  </w:r>
                </w:p>
              </w:tc>
              <w:tc>
                <w:tcPr>
                  <w:tcW w:w="528" w:type="pct"/>
                  <w:tcBorders>
                    <w:top w:val="single" w:color="auto" w:sz="4" w:space="0"/>
                    <w:left w:val="single" w:color="auto" w:sz="4" w:space="0"/>
                    <w:bottom w:val="single" w:color="auto" w:sz="4" w:space="0"/>
                    <w:right w:val="single" w:color="auto" w:sz="4" w:space="0"/>
                  </w:tcBorders>
                  <w:vAlign w:val="center"/>
                </w:tcPr>
                <w:p w14:paraId="15D78AFA">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08FB5D15">
                  <w:pPr>
                    <w:ind w:left="-105" w:leftChars="-50" w:right="-105" w:rightChars="-50"/>
                    <w:jc w:val="center"/>
                  </w:pPr>
                  <w:r>
                    <w:rPr>
                      <w:rFonts w:hint="eastAsia"/>
                    </w:rPr>
                    <w:t>5</w:t>
                  </w:r>
                </w:p>
              </w:tc>
              <w:tc>
                <w:tcPr>
                  <w:tcW w:w="1009" w:type="pct"/>
                  <w:tcBorders>
                    <w:top w:val="single" w:color="auto" w:sz="4" w:space="0"/>
                    <w:left w:val="single" w:color="auto" w:sz="4" w:space="0"/>
                    <w:bottom w:val="single" w:color="auto" w:sz="4" w:space="0"/>
                    <w:right w:val="single" w:color="auto" w:sz="4" w:space="0"/>
                  </w:tcBorders>
                  <w:vAlign w:val="center"/>
                </w:tcPr>
                <w:p w14:paraId="2E2EB450">
                  <w:pPr>
                    <w:ind w:left="-105" w:leftChars="-50" w:right="-105" w:rightChars="-50"/>
                    <w:jc w:val="center"/>
                  </w:pPr>
                  <w:r>
                    <w:rPr>
                      <w:rFonts w:hint="eastAsia"/>
                    </w:rPr>
                    <w:t>5</w:t>
                  </w:r>
                </w:p>
              </w:tc>
              <w:tc>
                <w:tcPr>
                  <w:tcW w:w="963" w:type="pct"/>
                  <w:tcBorders>
                    <w:top w:val="single" w:color="auto" w:sz="4" w:space="0"/>
                    <w:left w:val="single" w:color="auto" w:sz="4" w:space="0"/>
                    <w:right w:val="single" w:color="auto" w:sz="4" w:space="0"/>
                  </w:tcBorders>
                  <w:vAlign w:val="center"/>
                </w:tcPr>
                <w:p w14:paraId="50C8380E">
                  <w:pPr>
                    <w:ind w:left="-105" w:leftChars="-50" w:right="-105" w:rightChars="-50"/>
                    <w:jc w:val="center"/>
                  </w:pPr>
                  <w:r>
                    <w:rPr>
                      <w:rFonts w:hint="eastAsia"/>
                    </w:rPr>
                    <w:t>5</w:t>
                  </w:r>
                </w:p>
              </w:tc>
              <w:tc>
                <w:tcPr>
                  <w:tcW w:w="405" w:type="pct"/>
                  <w:vMerge w:val="restart"/>
                  <w:tcBorders>
                    <w:top w:val="single" w:color="auto" w:sz="4" w:space="0"/>
                    <w:left w:val="single" w:color="auto" w:sz="4" w:space="0"/>
                    <w:right w:val="single" w:color="auto" w:sz="4" w:space="0"/>
                  </w:tcBorders>
                  <w:vAlign w:val="center"/>
                </w:tcPr>
                <w:p w14:paraId="2C1B4681">
                  <w:pPr>
                    <w:jc w:val="center"/>
                  </w:pPr>
                  <w:r>
                    <w:t>符合</w:t>
                  </w:r>
                </w:p>
              </w:tc>
            </w:tr>
            <w:tr w14:paraId="5468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3B2BF268">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1FFF5E45">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22D0326B">
                  <w:pPr>
                    <w:ind w:left="-105" w:leftChars="-50" w:right="-105" w:rightChars="-50"/>
                    <w:jc w:val="center"/>
                  </w:pPr>
                  <w:r>
                    <w:t>不涉及</w:t>
                  </w:r>
                </w:p>
              </w:tc>
              <w:tc>
                <w:tcPr>
                  <w:tcW w:w="1009" w:type="pct"/>
                  <w:tcBorders>
                    <w:top w:val="single" w:color="auto" w:sz="4" w:space="0"/>
                    <w:left w:val="single" w:color="auto" w:sz="4" w:space="0"/>
                    <w:bottom w:val="single" w:color="auto" w:sz="4" w:space="0"/>
                    <w:right w:val="single" w:color="auto" w:sz="4" w:space="0"/>
                  </w:tcBorders>
                  <w:vAlign w:val="center"/>
                </w:tcPr>
                <w:p w14:paraId="282AF2F0">
                  <w:pPr>
                    <w:ind w:left="-105" w:leftChars="-50" w:right="-105" w:rightChars="-50"/>
                    <w:jc w:val="center"/>
                  </w:pPr>
                  <w:r>
                    <w:t>不涉及</w:t>
                  </w:r>
                </w:p>
              </w:tc>
              <w:tc>
                <w:tcPr>
                  <w:tcW w:w="963" w:type="pct"/>
                  <w:tcBorders>
                    <w:left w:val="single" w:color="auto" w:sz="4" w:space="0"/>
                    <w:bottom w:val="single" w:color="auto" w:sz="4" w:space="0"/>
                    <w:right w:val="single" w:color="auto" w:sz="4" w:space="0"/>
                  </w:tcBorders>
                  <w:vAlign w:val="center"/>
                </w:tcPr>
                <w:p w14:paraId="12B6A048">
                  <w:pPr>
                    <w:ind w:left="-105" w:leftChars="-50" w:right="-105" w:rightChars="-50"/>
                    <w:jc w:val="center"/>
                  </w:pPr>
                  <w:r>
                    <w:t>不涉及</w:t>
                  </w:r>
                </w:p>
              </w:tc>
              <w:tc>
                <w:tcPr>
                  <w:tcW w:w="405" w:type="pct"/>
                  <w:vMerge w:val="continue"/>
                  <w:tcBorders>
                    <w:left w:val="single" w:color="auto" w:sz="4" w:space="0"/>
                    <w:bottom w:val="single" w:color="auto" w:sz="4" w:space="0"/>
                    <w:right w:val="single" w:color="auto" w:sz="4" w:space="0"/>
                  </w:tcBorders>
                  <w:vAlign w:val="center"/>
                </w:tcPr>
                <w:p w14:paraId="032F9B63">
                  <w:pPr>
                    <w:jc w:val="center"/>
                  </w:pPr>
                </w:p>
              </w:tc>
            </w:tr>
            <w:tr w14:paraId="7F0E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67" w:type="pct"/>
                  <w:gridSpan w:val="3"/>
                  <w:vMerge w:val="restart"/>
                  <w:tcBorders>
                    <w:top w:val="single" w:color="auto" w:sz="4" w:space="0"/>
                    <w:left w:val="single" w:color="auto" w:sz="4" w:space="0"/>
                    <w:right w:val="single" w:color="auto" w:sz="4" w:space="0"/>
                  </w:tcBorders>
                  <w:vAlign w:val="center"/>
                </w:tcPr>
                <w:p w14:paraId="5735825A">
                  <w:pPr>
                    <w:jc w:val="center"/>
                  </w:pPr>
                  <w:r>
                    <w:t>架空通信线路</w:t>
                  </w:r>
                </w:p>
              </w:tc>
              <w:tc>
                <w:tcPr>
                  <w:tcW w:w="528" w:type="pct"/>
                  <w:tcBorders>
                    <w:top w:val="single" w:color="auto" w:sz="4" w:space="0"/>
                    <w:left w:val="single" w:color="auto" w:sz="4" w:space="0"/>
                    <w:bottom w:val="single" w:color="auto" w:sz="4" w:space="0"/>
                    <w:right w:val="single" w:color="auto" w:sz="4" w:space="0"/>
                  </w:tcBorders>
                  <w:vAlign w:val="center"/>
                </w:tcPr>
                <w:p w14:paraId="3AD690AF">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5479692F">
                  <w:pPr>
                    <w:ind w:left="-105" w:leftChars="-50" w:right="-105" w:rightChars="-50"/>
                    <w:jc w:val="center"/>
                  </w:pPr>
                  <w:r>
                    <w:rPr>
                      <w:rFonts w:hint="eastAsia"/>
                    </w:rPr>
                    <w:t>5</w:t>
                  </w:r>
                </w:p>
              </w:tc>
              <w:tc>
                <w:tcPr>
                  <w:tcW w:w="1009" w:type="pct"/>
                  <w:tcBorders>
                    <w:top w:val="single" w:color="auto" w:sz="4" w:space="0"/>
                    <w:left w:val="single" w:color="auto" w:sz="4" w:space="0"/>
                    <w:bottom w:val="single" w:color="auto" w:sz="4" w:space="0"/>
                    <w:right w:val="single" w:color="auto" w:sz="4" w:space="0"/>
                  </w:tcBorders>
                  <w:vAlign w:val="center"/>
                </w:tcPr>
                <w:p w14:paraId="50C50139">
                  <w:pPr>
                    <w:ind w:left="-105" w:leftChars="-50" w:right="-105" w:rightChars="-50"/>
                    <w:jc w:val="center"/>
                  </w:pPr>
                  <w:r>
                    <w:rPr>
                      <w:rFonts w:hint="eastAsia"/>
                    </w:rPr>
                    <w:t>5</w:t>
                  </w:r>
                </w:p>
              </w:tc>
              <w:tc>
                <w:tcPr>
                  <w:tcW w:w="963" w:type="pct"/>
                  <w:tcBorders>
                    <w:top w:val="single" w:color="auto" w:sz="4" w:space="0"/>
                    <w:left w:val="single" w:color="auto" w:sz="4" w:space="0"/>
                    <w:right w:val="single" w:color="auto" w:sz="4" w:space="0"/>
                  </w:tcBorders>
                  <w:vAlign w:val="center"/>
                </w:tcPr>
                <w:p w14:paraId="30CCB6AF">
                  <w:pPr>
                    <w:ind w:left="-105" w:leftChars="-50" w:right="-105" w:rightChars="-50"/>
                    <w:jc w:val="center"/>
                  </w:pPr>
                  <w:r>
                    <w:rPr>
                      <w:rFonts w:hint="eastAsia"/>
                    </w:rPr>
                    <w:t>5</w:t>
                  </w:r>
                </w:p>
              </w:tc>
              <w:tc>
                <w:tcPr>
                  <w:tcW w:w="405" w:type="pct"/>
                  <w:vMerge w:val="restart"/>
                  <w:tcBorders>
                    <w:top w:val="single" w:color="auto" w:sz="4" w:space="0"/>
                    <w:left w:val="single" w:color="auto" w:sz="4" w:space="0"/>
                    <w:right w:val="single" w:color="auto" w:sz="4" w:space="0"/>
                  </w:tcBorders>
                  <w:vAlign w:val="center"/>
                </w:tcPr>
                <w:p w14:paraId="38891C49">
                  <w:pPr>
                    <w:jc w:val="center"/>
                  </w:pPr>
                  <w:r>
                    <w:t>符合</w:t>
                  </w:r>
                </w:p>
              </w:tc>
            </w:tr>
            <w:tr w14:paraId="3CB8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067" w:type="pct"/>
                  <w:gridSpan w:val="3"/>
                  <w:vMerge w:val="continue"/>
                  <w:tcBorders>
                    <w:left w:val="single" w:color="auto" w:sz="4" w:space="0"/>
                    <w:bottom w:val="single" w:color="auto" w:sz="4" w:space="0"/>
                    <w:right w:val="single" w:color="auto" w:sz="4" w:space="0"/>
                  </w:tcBorders>
                  <w:vAlign w:val="center"/>
                </w:tcPr>
                <w:p w14:paraId="798CF5EE">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2FC3A991">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004CEE21">
                  <w:pPr>
                    <w:ind w:left="-105" w:leftChars="-50" w:right="-105" w:rightChars="-50"/>
                    <w:jc w:val="center"/>
                  </w:pPr>
                  <w:r>
                    <w:rPr>
                      <w:rFonts w:hint="eastAsia"/>
                    </w:rPr>
                    <w:t>52.1</w:t>
                  </w:r>
                </w:p>
              </w:tc>
              <w:tc>
                <w:tcPr>
                  <w:tcW w:w="1009" w:type="pct"/>
                  <w:tcBorders>
                    <w:top w:val="single" w:color="auto" w:sz="4" w:space="0"/>
                    <w:left w:val="single" w:color="auto" w:sz="4" w:space="0"/>
                    <w:bottom w:val="single" w:color="auto" w:sz="4" w:space="0"/>
                    <w:right w:val="single" w:color="auto" w:sz="4" w:space="0"/>
                  </w:tcBorders>
                  <w:vAlign w:val="center"/>
                </w:tcPr>
                <w:p w14:paraId="22582249">
                  <w:pPr>
                    <w:ind w:left="-105" w:leftChars="-50" w:right="-105" w:rightChars="-50"/>
                    <w:jc w:val="center"/>
                  </w:pPr>
                  <w:r>
                    <w:rPr>
                      <w:rFonts w:hint="eastAsia"/>
                    </w:rPr>
                    <w:t>57.1</w:t>
                  </w:r>
                </w:p>
              </w:tc>
              <w:tc>
                <w:tcPr>
                  <w:tcW w:w="963" w:type="pct"/>
                  <w:tcBorders>
                    <w:left w:val="single" w:color="auto" w:sz="4" w:space="0"/>
                    <w:bottom w:val="single" w:color="auto" w:sz="4" w:space="0"/>
                    <w:right w:val="single" w:color="auto" w:sz="4" w:space="0"/>
                  </w:tcBorders>
                  <w:vAlign w:val="center"/>
                </w:tcPr>
                <w:p w14:paraId="2A280A23">
                  <w:pPr>
                    <w:ind w:left="-105" w:leftChars="-50" w:right="-105" w:rightChars="-50"/>
                    <w:jc w:val="center"/>
                  </w:pPr>
                  <w:r>
                    <w:rPr>
                      <w:rFonts w:hint="eastAsia"/>
                    </w:rPr>
                    <w:t>15.3</w:t>
                  </w:r>
                </w:p>
              </w:tc>
              <w:tc>
                <w:tcPr>
                  <w:tcW w:w="405" w:type="pct"/>
                  <w:vMerge w:val="continue"/>
                  <w:tcBorders>
                    <w:left w:val="single" w:color="auto" w:sz="4" w:space="0"/>
                    <w:bottom w:val="single" w:color="auto" w:sz="4" w:space="0"/>
                    <w:right w:val="single" w:color="auto" w:sz="4" w:space="0"/>
                  </w:tcBorders>
                  <w:vAlign w:val="center"/>
                </w:tcPr>
                <w:p w14:paraId="5D19AABE">
                  <w:pPr>
                    <w:jc w:val="center"/>
                  </w:pPr>
                </w:p>
              </w:tc>
            </w:tr>
            <w:tr w14:paraId="395F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pct"/>
                  <w:gridSpan w:val="2"/>
                  <w:vMerge w:val="restart"/>
                  <w:tcBorders>
                    <w:top w:val="single" w:color="auto" w:sz="4" w:space="0"/>
                    <w:left w:val="single" w:color="auto" w:sz="4" w:space="0"/>
                    <w:right w:val="single" w:color="auto" w:sz="4" w:space="0"/>
                  </w:tcBorders>
                  <w:vAlign w:val="center"/>
                </w:tcPr>
                <w:p w14:paraId="7FAB956F">
                  <w:pPr>
                    <w:jc w:val="center"/>
                  </w:pPr>
                  <w:r>
                    <w:t>架空电力线路</w:t>
                  </w:r>
                </w:p>
              </w:tc>
              <w:tc>
                <w:tcPr>
                  <w:tcW w:w="521" w:type="pct"/>
                  <w:vMerge w:val="restart"/>
                  <w:tcBorders>
                    <w:top w:val="single" w:color="auto" w:sz="4" w:space="0"/>
                    <w:left w:val="single" w:color="auto" w:sz="4" w:space="0"/>
                    <w:right w:val="single" w:color="auto" w:sz="4" w:space="0"/>
                  </w:tcBorders>
                  <w:vAlign w:val="center"/>
                </w:tcPr>
                <w:p w14:paraId="7490B596">
                  <w:pPr>
                    <w:jc w:val="center"/>
                  </w:pPr>
                  <w:r>
                    <w:t>无</w:t>
                  </w:r>
                </w:p>
                <w:p w14:paraId="6E933BD8">
                  <w:pPr>
                    <w:jc w:val="center"/>
                  </w:pPr>
                  <w:r>
                    <w:t>绝缘层</w:t>
                  </w:r>
                </w:p>
              </w:tc>
              <w:tc>
                <w:tcPr>
                  <w:tcW w:w="528" w:type="pct"/>
                  <w:tcBorders>
                    <w:top w:val="single" w:color="auto" w:sz="4" w:space="0"/>
                    <w:left w:val="single" w:color="auto" w:sz="4" w:space="0"/>
                    <w:bottom w:val="single" w:color="auto" w:sz="4" w:space="0"/>
                    <w:right w:val="single" w:color="auto" w:sz="4" w:space="0"/>
                  </w:tcBorders>
                  <w:vAlign w:val="center"/>
                </w:tcPr>
                <w:p w14:paraId="216BAD28">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3ADE895C">
                  <w:pPr>
                    <w:ind w:left="-105" w:leftChars="-50" w:right="-105" w:rightChars="-50"/>
                    <w:jc w:val="center"/>
                  </w:pPr>
                  <w:r>
                    <w:rPr>
                      <w:rFonts w:hint="eastAsia"/>
                    </w:rPr>
                    <w:t>1.0（0.75）H，且≥6.5m</w:t>
                  </w:r>
                </w:p>
              </w:tc>
              <w:tc>
                <w:tcPr>
                  <w:tcW w:w="1009" w:type="pct"/>
                  <w:tcBorders>
                    <w:top w:val="single" w:color="auto" w:sz="4" w:space="0"/>
                    <w:left w:val="single" w:color="auto" w:sz="4" w:space="0"/>
                    <w:bottom w:val="single" w:color="auto" w:sz="4" w:space="0"/>
                    <w:right w:val="single" w:color="auto" w:sz="4" w:space="0"/>
                  </w:tcBorders>
                  <w:vAlign w:val="center"/>
                </w:tcPr>
                <w:p w14:paraId="0648603F">
                  <w:pPr>
                    <w:ind w:left="-105" w:leftChars="-50" w:right="-105" w:rightChars="-50"/>
                    <w:jc w:val="center"/>
                  </w:pPr>
                  <w:r>
                    <w:rPr>
                      <w:rFonts w:hint="eastAsia"/>
                    </w:rPr>
                    <w:t>6.5</w:t>
                  </w:r>
                </w:p>
              </w:tc>
              <w:tc>
                <w:tcPr>
                  <w:tcW w:w="963" w:type="pct"/>
                  <w:tcBorders>
                    <w:top w:val="single" w:color="auto" w:sz="4" w:space="0"/>
                    <w:left w:val="single" w:color="auto" w:sz="4" w:space="0"/>
                    <w:right w:val="single" w:color="auto" w:sz="4" w:space="0"/>
                  </w:tcBorders>
                  <w:vAlign w:val="center"/>
                </w:tcPr>
                <w:p w14:paraId="21A111DA">
                  <w:pPr>
                    <w:ind w:left="-105" w:leftChars="-50" w:right="-105" w:rightChars="-50"/>
                    <w:jc w:val="center"/>
                  </w:pPr>
                  <w:r>
                    <w:rPr>
                      <w:rFonts w:hint="eastAsia"/>
                    </w:rPr>
                    <w:t>6.5</w:t>
                  </w:r>
                </w:p>
              </w:tc>
              <w:tc>
                <w:tcPr>
                  <w:tcW w:w="405" w:type="pct"/>
                  <w:vMerge w:val="restart"/>
                  <w:tcBorders>
                    <w:top w:val="single" w:color="auto" w:sz="4" w:space="0"/>
                    <w:left w:val="single" w:color="auto" w:sz="4" w:space="0"/>
                    <w:right w:val="single" w:color="auto" w:sz="4" w:space="0"/>
                  </w:tcBorders>
                  <w:vAlign w:val="center"/>
                </w:tcPr>
                <w:p w14:paraId="3B369E2E">
                  <w:pPr>
                    <w:jc w:val="center"/>
                  </w:pPr>
                  <w:r>
                    <w:t>符合</w:t>
                  </w:r>
                </w:p>
              </w:tc>
            </w:tr>
            <w:tr w14:paraId="2E66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45" w:type="pct"/>
                  <w:gridSpan w:val="2"/>
                  <w:vMerge w:val="continue"/>
                  <w:tcBorders>
                    <w:left w:val="single" w:color="auto" w:sz="4" w:space="0"/>
                    <w:right w:val="single" w:color="auto" w:sz="4" w:space="0"/>
                  </w:tcBorders>
                  <w:vAlign w:val="center"/>
                </w:tcPr>
                <w:p w14:paraId="100A5DEB">
                  <w:pPr>
                    <w:jc w:val="center"/>
                  </w:pPr>
                </w:p>
              </w:tc>
              <w:tc>
                <w:tcPr>
                  <w:tcW w:w="521" w:type="pct"/>
                  <w:vMerge w:val="continue"/>
                  <w:tcBorders>
                    <w:left w:val="single" w:color="auto" w:sz="4" w:space="0"/>
                    <w:bottom w:val="single" w:color="auto" w:sz="4" w:space="0"/>
                    <w:right w:val="single" w:color="auto" w:sz="4" w:space="0"/>
                  </w:tcBorders>
                  <w:vAlign w:val="center"/>
                </w:tcPr>
                <w:p w14:paraId="78C1B80A">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3ABE5643">
                  <w:pPr>
                    <w:ind w:left="-105" w:leftChars="-50" w:right="-105" w:rightChars="-50"/>
                    <w:jc w:val="center"/>
                  </w:pPr>
                  <w:r>
                    <w:t>本项目</w:t>
                  </w:r>
                </w:p>
              </w:tc>
              <w:tc>
                <w:tcPr>
                  <w:tcW w:w="1679" w:type="dxa"/>
                  <w:tcBorders>
                    <w:top w:val="single" w:color="auto" w:sz="4" w:space="0"/>
                    <w:left w:val="single" w:color="auto" w:sz="4" w:space="0"/>
                    <w:bottom w:val="single" w:color="auto" w:sz="4" w:space="0"/>
                    <w:right w:val="single" w:color="auto" w:sz="4" w:space="0"/>
                  </w:tcBorders>
                  <w:vAlign w:val="center"/>
                </w:tcPr>
                <w:p w14:paraId="33002148">
                  <w:pPr>
                    <w:ind w:left="-105" w:leftChars="-50" w:right="-105" w:rightChars="-50"/>
                    <w:jc w:val="center"/>
                  </w:pPr>
                  <w:r>
                    <w:rPr>
                      <w:rFonts w:hint="eastAsia"/>
                    </w:rPr>
                    <w:t>52.1</w:t>
                  </w:r>
                </w:p>
              </w:tc>
              <w:tc>
                <w:tcPr>
                  <w:tcW w:w="1650" w:type="dxa"/>
                  <w:tcBorders>
                    <w:top w:val="single" w:color="auto" w:sz="4" w:space="0"/>
                    <w:left w:val="single" w:color="auto" w:sz="4" w:space="0"/>
                    <w:bottom w:val="single" w:color="auto" w:sz="4" w:space="0"/>
                    <w:right w:val="single" w:color="auto" w:sz="4" w:space="0"/>
                  </w:tcBorders>
                  <w:vAlign w:val="center"/>
                </w:tcPr>
                <w:p w14:paraId="270991F0">
                  <w:pPr>
                    <w:ind w:left="-105" w:leftChars="-50" w:right="-105" w:rightChars="-50"/>
                    <w:jc w:val="center"/>
                  </w:pPr>
                  <w:r>
                    <w:rPr>
                      <w:rFonts w:hint="eastAsia"/>
                    </w:rPr>
                    <w:t>57.1</w:t>
                  </w:r>
                </w:p>
              </w:tc>
              <w:tc>
                <w:tcPr>
                  <w:tcW w:w="1574" w:type="dxa"/>
                  <w:tcBorders>
                    <w:left w:val="single" w:color="auto" w:sz="4" w:space="0"/>
                    <w:bottom w:val="single" w:color="auto" w:sz="4" w:space="0"/>
                    <w:right w:val="single" w:color="auto" w:sz="4" w:space="0"/>
                  </w:tcBorders>
                  <w:vAlign w:val="center"/>
                </w:tcPr>
                <w:p w14:paraId="3530624E">
                  <w:pPr>
                    <w:ind w:left="-105" w:leftChars="-50" w:right="-105" w:rightChars="-50"/>
                    <w:jc w:val="center"/>
                  </w:pPr>
                  <w:r>
                    <w:rPr>
                      <w:rFonts w:hint="eastAsia"/>
                    </w:rPr>
                    <w:t>15.3</w:t>
                  </w:r>
                </w:p>
              </w:tc>
              <w:tc>
                <w:tcPr>
                  <w:tcW w:w="405" w:type="pct"/>
                  <w:vMerge w:val="continue"/>
                  <w:tcBorders>
                    <w:left w:val="single" w:color="auto" w:sz="4" w:space="0"/>
                    <w:bottom w:val="single" w:color="auto" w:sz="4" w:space="0"/>
                    <w:right w:val="single" w:color="auto" w:sz="4" w:space="0"/>
                  </w:tcBorders>
                  <w:vAlign w:val="center"/>
                </w:tcPr>
                <w:p w14:paraId="1C381411">
                  <w:pPr>
                    <w:jc w:val="center"/>
                  </w:pPr>
                </w:p>
              </w:tc>
            </w:tr>
            <w:tr w14:paraId="7A31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pct"/>
                  <w:gridSpan w:val="2"/>
                  <w:vMerge w:val="continue"/>
                  <w:tcBorders>
                    <w:left w:val="single" w:color="auto" w:sz="4" w:space="0"/>
                    <w:right w:val="single" w:color="auto" w:sz="4" w:space="0"/>
                  </w:tcBorders>
                  <w:vAlign w:val="center"/>
                </w:tcPr>
                <w:p w14:paraId="320E3EB7">
                  <w:pPr>
                    <w:jc w:val="center"/>
                  </w:pPr>
                </w:p>
              </w:tc>
              <w:tc>
                <w:tcPr>
                  <w:tcW w:w="521" w:type="pct"/>
                  <w:vMerge w:val="restart"/>
                  <w:tcBorders>
                    <w:top w:val="single" w:color="auto" w:sz="4" w:space="0"/>
                    <w:left w:val="single" w:color="auto" w:sz="4" w:space="0"/>
                    <w:right w:val="single" w:color="auto" w:sz="4" w:space="0"/>
                  </w:tcBorders>
                  <w:vAlign w:val="center"/>
                </w:tcPr>
                <w:p w14:paraId="6788BCE2">
                  <w:pPr>
                    <w:jc w:val="center"/>
                  </w:pPr>
                  <w:r>
                    <w:t>有</w:t>
                  </w:r>
                </w:p>
                <w:p w14:paraId="03C3121B">
                  <w:pPr>
                    <w:jc w:val="center"/>
                  </w:pPr>
                  <w:r>
                    <w:t>绝缘层</w:t>
                  </w:r>
                </w:p>
              </w:tc>
              <w:tc>
                <w:tcPr>
                  <w:tcW w:w="528" w:type="pct"/>
                  <w:tcBorders>
                    <w:top w:val="single" w:color="auto" w:sz="4" w:space="0"/>
                    <w:left w:val="single" w:color="auto" w:sz="4" w:space="0"/>
                    <w:bottom w:val="single" w:color="auto" w:sz="4" w:space="0"/>
                    <w:right w:val="single" w:color="auto" w:sz="4" w:space="0"/>
                  </w:tcBorders>
                  <w:vAlign w:val="center"/>
                </w:tcPr>
                <w:p w14:paraId="6D9A4DC7">
                  <w:pPr>
                    <w:ind w:left="-105" w:leftChars="-50" w:right="-105" w:rightChars="-50"/>
                    <w:jc w:val="center"/>
                  </w:pPr>
                  <w:r>
                    <w:t>标准</w:t>
                  </w:r>
                </w:p>
              </w:tc>
              <w:tc>
                <w:tcPr>
                  <w:tcW w:w="1027" w:type="pct"/>
                  <w:tcBorders>
                    <w:top w:val="single" w:color="auto" w:sz="4" w:space="0"/>
                    <w:left w:val="single" w:color="auto" w:sz="4" w:space="0"/>
                    <w:bottom w:val="single" w:color="auto" w:sz="4" w:space="0"/>
                    <w:right w:val="single" w:color="auto" w:sz="4" w:space="0"/>
                  </w:tcBorders>
                  <w:vAlign w:val="center"/>
                </w:tcPr>
                <w:p w14:paraId="53A6BF6E">
                  <w:pPr>
                    <w:ind w:left="-105" w:leftChars="-50" w:right="-105" w:rightChars="-50"/>
                    <w:jc w:val="center"/>
                  </w:pPr>
                  <w:r>
                    <w:rPr>
                      <w:rFonts w:hint="eastAsia"/>
                    </w:rPr>
                    <w:t>0.75（0.5）H，且≥5m</w:t>
                  </w:r>
                </w:p>
              </w:tc>
              <w:tc>
                <w:tcPr>
                  <w:tcW w:w="1009" w:type="pct"/>
                  <w:tcBorders>
                    <w:top w:val="single" w:color="auto" w:sz="4" w:space="0"/>
                    <w:left w:val="single" w:color="auto" w:sz="4" w:space="0"/>
                    <w:bottom w:val="single" w:color="auto" w:sz="4" w:space="0"/>
                    <w:right w:val="single" w:color="auto" w:sz="4" w:space="0"/>
                  </w:tcBorders>
                  <w:vAlign w:val="center"/>
                </w:tcPr>
                <w:p w14:paraId="3F0ACDC8">
                  <w:pPr>
                    <w:ind w:left="-105" w:leftChars="-50" w:right="-105" w:rightChars="-50"/>
                    <w:jc w:val="center"/>
                  </w:pPr>
                  <w:r>
                    <w:rPr>
                      <w:rFonts w:hint="eastAsia"/>
                    </w:rPr>
                    <w:t>5</w:t>
                  </w:r>
                </w:p>
              </w:tc>
              <w:tc>
                <w:tcPr>
                  <w:tcW w:w="963" w:type="pct"/>
                  <w:tcBorders>
                    <w:top w:val="single" w:color="auto" w:sz="4" w:space="0"/>
                    <w:left w:val="single" w:color="auto" w:sz="4" w:space="0"/>
                    <w:right w:val="single" w:color="auto" w:sz="4" w:space="0"/>
                  </w:tcBorders>
                  <w:vAlign w:val="center"/>
                </w:tcPr>
                <w:p w14:paraId="1C853DF0">
                  <w:pPr>
                    <w:ind w:left="-105" w:leftChars="-50" w:right="-105" w:rightChars="-50"/>
                    <w:jc w:val="center"/>
                  </w:pPr>
                  <w:r>
                    <w:rPr>
                      <w:rFonts w:hint="eastAsia"/>
                    </w:rPr>
                    <w:t>5</w:t>
                  </w:r>
                </w:p>
              </w:tc>
              <w:tc>
                <w:tcPr>
                  <w:tcW w:w="405" w:type="pct"/>
                  <w:vMerge w:val="restart"/>
                  <w:tcBorders>
                    <w:top w:val="single" w:color="auto" w:sz="4" w:space="0"/>
                    <w:left w:val="single" w:color="auto" w:sz="4" w:space="0"/>
                    <w:right w:val="single" w:color="auto" w:sz="4" w:space="0"/>
                  </w:tcBorders>
                  <w:vAlign w:val="center"/>
                </w:tcPr>
                <w:p w14:paraId="3EA5D038">
                  <w:pPr>
                    <w:jc w:val="center"/>
                  </w:pPr>
                  <w:r>
                    <w:t>符合</w:t>
                  </w:r>
                </w:p>
              </w:tc>
            </w:tr>
            <w:tr w14:paraId="0369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545" w:type="pct"/>
                  <w:gridSpan w:val="2"/>
                  <w:vMerge w:val="continue"/>
                  <w:tcBorders>
                    <w:left w:val="single" w:color="auto" w:sz="4" w:space="0"/>
                    <w:right w:val="single" w:color="auto" w:sz="4" w:space="0"/>
                  </w:tcBorders>
                  <w:vAlign w:val="center"/>
                </w:tcPr>
                <w:p w14:paraId="607B3861">
                  <w:pPr>
                    <w:jc w:val="center"/>
                  </w:pPr>
                </w:p>
              </w:tc>
              <w:tc>
                <w:tcPr>
                  <w:tcW w:w="521" w:type="pct"/>
                  <w:vMerge w:val="continue"/>
                  <w:tcBorders>
                    <w:left w:val="single" w:color="auto" w:sz="4" w:space="0"/>
                    <w:right w:val="single" w:color="auto" w:sz="4" w:space="0"/>
                  </w:tcBorders>
                  <w:vAlign w:val="center"/>
                </w:tcPr>
                <w:p w14:paraId="722EC4AA">
                  <w:pPr>
                    <w:jc w:val="center"/>
                  </w:pPr>
                </w:p>
              </w:tc>
              <w:tc>
                <w:tcPr>
                  <w:tcW w:w="528" w:type="pct"/>
                  <w:tcBorders>
                    <w:top w:val="single" w:color="auto" w:sz="4" w:space="0"/>
                    <w:left w:val="single" w:color="auto" w:sz="4" w:space="0"/>
                    <w:bottom w:val="single" w:color="auto" w:sz="4" w:space="0"/>
                    <w:right w:val="single" w:color="auto" w:sz="4" w:space="0"/>
                  </w:tcBorders>
                  <w:vAlign w:val="center"/>
                </w:tcPr>
                <w:p w14:paraId="073BAF63">
                  <w:pPr>
                    <w:ind w:left="-105" w:leftChars="-50" w:right="-105" w:rightChars="-50"/>
                    <w:jc w:val="center"/>
                  </w:pPr>
                  <w:r>
                    <w:t>本项目</w:t>
                  </w:r>
                </w:p>
              </w:tc>
              <w:tc>
                <w:tcPr>
                  <w:tcW w:w="1027" w:type="pct"/>
                  <w:tcBorders>
                    <w:top w:val="single" w:color="auto" w:sz="4" w:space="0"/>
                    <w:left w:val="single" w:color="auto" w:sz="4" w:space="0"/>
                    <w:bottom w:val="single" w:color="auto" w:sz="4" w:space="0"/>
                    <w:right w:val="single" w:color="auto" w:sz="4" w:space="0"/>
                  </w:tcBorders>
                  <w:vAlign w:val="center"/>
                </w:tcPr>
                <w:p w14:paraId="17C425BC">
                  <w:pPr>
                    <w:ind w:left="-105" w:leftChars="-50" w:right="-105" w:rightChars="-50"/>
                    <w:jc w:val="center"/>
                  </w:pPr>
                  <w:r>
                    <w:t>不涉及</w:t>
                  </w:r>
                </w:p>
              </w:tc>
              <w:tc>
                <w:tcPr>
                  <w:tcW w:w="1009" w:type="pct"/>
                  <w:tcBorders>
                    <w:top w:val="single" w:color="auto" w:sz="4" w:space="0"/>
                    <w:left w:val="single" w:color="auto" w:sz="4" w:space="0"/>
                    <w:bottom w:val="single" w:color="auto" w:sz="4" w:space="0"/>
                    <w:right w:val="single" w:color="auto" w:sz="4" w:space="0"/>
                  </w:tcBorders>
                  <w:vAlign w:val="center"/>
                </w:tcPr>
                <w:p w14:paraId="5AE85CAF">
                  <w:pPr>
                    <w:ind w:left="-105" w:leftChars="-50" w:right="-105" w:rightChars="-50"/>
                    <w:jc w:val="center"/>
                  </w:pPr>
                  <w:r>
                    <w:t>不涉及</w:t>
                  </w:r>
                </w:p>
              </w:tc>
              <w:tc>
                <w:tcPr>
                  <w:tcW w:w="963" w:type="pct"/>
                  <w:tcBorders>
                    <w:left w:val="single" w:color="auto" w:sz="4" w:space="0"/>
                    <w:right w:val="single" w:color="auto" w:sz="4" w:space="0"/>
                  </w:tcBorders>
                  <w:vAlign w:val="center"/>
                </w:tcPr>
                <w:p w14:paraId="1F38990B">
                  <w:pPr>
                    <w:ind w:left="-105" w:leftChars="-50" w:right="-105" w:rightChars="-50"/>
                    <w:jc w:val="center"/>
                  </w:pPr>
                  <w:r>
                    <w:t>不涉及</w:t>
                  </w:r>
                </w:p>
              </w:tc>
              <w:tc>
                <w:tcPr>
                  <w:tcW w:w="405" w:type="pct"/>
                  <w:vMerge w:val="continue"/>
                  <w:tcBorders>
                    <w:left w:val="single" w:color="auto" w:sz="4" w:space="0"/>
                    <w:right w:val="single" w:color="auto" w:sz="4" w:space="0"/>
                  </w:tcBorders>
                  <w:vAlign w:val="center"/>
                </w:tcPr>
                <w:p w14:paraId="5953EAF3">
                  <w:pPr>
                    <w:jc w:val="center"/>
                  </w:pPr>
                </w:p>
              </w:tc>
            </w:tr>
            <w:tr w14:paraId="7EE5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94" w:type="pct"/>
                  <w:gridSpan w:val="7"/>
                  <w:tcBorders>
                    <w:left w:val="single" w:color="auto" w:sz="4" w:space="0"/>
                    <w:bottom w:val="single" w:color="auto" w:sz="4" w:space="0"/>
                    <w:right w:val="single" w:color="auto" w:sz="4" w:space="0"/>
                  </w:tcBorders>
                  <w:vAlign w:val="center"/>
                </w:tcPr>
                <w:p w14:paraId="7A23AE03">
                  <w:r>
                    <w:rPr>
                      <w:rFonts w:hint="eastAsia"/>
                    </w:rPr>
                    <w:t>注：表中括号内数字为柴油设备与站外建（构）筑物的安全距离</w:t>
                  </w:r>
                </w:p>
              </w:tc>
              <w:tc>
                <w:tcPr>
                  <w:tcW w:w="405" w:type="pct"/>
                  <w:tcBorders>
                    <w:left w:val="single" w:color="auto" w:sz="4" w:space="0"/>
                    <w:bottom w:val="single" w:color="auto" w:sz="4" w:space="0"/>
                    <w:right w:val="single" w:color="auto" w:sz="4" w:space="0"/>
                  </w:tcBorders>
                  <w:vAlign w:val="center"/>
                </w:tcPr>
                <w:p w14:paraId="45D7B26F"/>
              </w:tc>
            </w:tr>
          </w:tbl>
          <w:p w14:paraId="37AB2E4B">
            <w:pPr>
              <w:spacing w:line="520" w:lineRule="exact"/>
              <w:ind w:firstLine="480" w:firstLineChars="200"/>
              <w:rPr>
                <w:sz w:val="24"/>
              </w:rPr>
            </w:pPr>
            <w:r>
              <w:rPr>
                <w:rFonts w:hint="eastAsia"/>
                <w:sz w:val="24"/>
              </w:rPr>
              <w:t>根据表</w:t>
            </w:r>
            <w:r>
              <w:rPr>
                <w:sz w:val="24"/>
              </w:rPr>
              <w:t>1</w:t>
            </w:r>
            <w:r>
              <w:rPr>
                <w:rFonts w:hint="eastAsia"/>
                <w:sz w:val="24"/>
              </w:rPr>
              <w:t>-2、1-3分析结果，本项目加油站汽油、柴油设施与站外建（构）筑物的安全距离符合要求。因此，本项目选址符合《汽车加油加气加氢站技术标准》（</w:t>
            </w:r>
            <w:r>
              <w:rPr>
                <w:sz w:val="24"/>
              </w:rPr>
              <w:t>GB50156-202</w:t>
            </w:r>
            <w:r>
              <w:rPr>
                <w:rFonts w:hint="eastAsia"/>
                <w:sz w:val="24"/>
              </w:rPr>
              <w:t>1）要求。</w:t>
            </w:r>
          </w:p>
          <w:p w14:paraId="3D1BC4B2">
            <w:pPr>
              <w:spacing w:line="520" w:lineRule="exact"/>
              <w:rPr>
                <w:b/>
                <w:bCs/>
                <w:sz w:val="24"/>
              </w:rPr>
            </w:pPr>
            <w:r>
              <w:rPr>
                <w:rFonts w:hint="eastAsia"/>
                <w:b/>
                <w:bCs/>
                <w:sz w:val="24"/>
              </w:rPr>
              <w:t>3、与《加油站地下水污染防治技术指南（试行）》符合性分析</w:t>
            </w:r>
          </w:p>
          <w:p w14:paraId="6D55A525">
            <w:pPr>
              <w:spacing w:line="520" w:lineRule="exact"/>
              <w:jc w:val="center"/>
              <w:rPr>
                <w:b/>
                <w:sz w:val="24"/>
              </w:rPr>
            </w:pPr>
            <w:r>
              <w:rPr>
                <w:sz w:val="24"/>
              </w:rPr>
              <w:t>表</w:t>
            </w:r>
            <w:r>
              <w:rPr>
                <w:rFonts w:hint="eastAsia"/>
                <w:sz w:val="24"/>
              </w:rPr>
              <w:t xml:space="preserve">1-4   </w:t>
            </w:r>
            <w:r>
              <w:rPr>
                <w:rFonts w:hint="eastAsia"/>
                <w:b/>
                <w:sz w:val="24"/>
              </w:rPr>
              <w:t>《加油站地下水污染防治技术指南（试行）》</w:t>
            </w:r>
            <w:r>
              <w:rPr>
                <w:b/>
                <w:sz w:val="24"/>
              </w:rPr>
              <w:t>相符性分析</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4482"/>
              <w:gridCol w:w="2622"/>
              <w:gridCol w:w="631"/>
            </w:tblGrid>
            <w:tr w14:paraId="78D2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tcBorders>
                    <w:top w:val="single" w:color="auto" w:sz="4" w:space="0"/>
                    <w:left w:val="single" w:color="auto" w:sz="4" w:space="0"/>
                    <w:bottom w:val="single" w:color="auto" w:sz="4" w:space="0"/>
                    <w:right w:val="single" w:color="auto" w:sz="4" w:space="0"/>
                  </w:tcBorders>
                  <w:vAlign w:val="center"/>
                </w:tcPr>
                <w:p w14:paraId="09AD7D66">
                  <w:pPr>
                    <w:ind w:left="-105" w:leftChars="-50" w:right="-105" w:rightChars="-50"/>
                    <w:jc w:val="center"/>
                  </w:pPr>
                  <w:r>
                    <w:t>序号</w:t>
                  </w:r>
                </w:p>
              </w:tc>
              <w:tc>
                <w:tcPr>
                  <w:tcW w:w="2742" w:type="pct"/>
                  <w:tcBorders>
                    <w:top w:val="single" w:color="auto" w:sz="4" w:space="0"/>
                    <w:left w:val="single" w:color="auto" w:sz="4" w:space="0"/>
                    <w:bottom w:val="single" w:color="auto" w:sz="4" w:space="0"/>
                    <w:right w:val="single" w:color="auto" w:sz="4" w:space="0"/>
                  </w:tcBorders>
                  <w:vAlign w:val="center"/>
                </w:tcPr>
                <w:p w14:paraId="5FB05665">
                  <w:pPr>
                    <w:ind w:left="-105" w:leftChars="-50" w:right="-105" w:rightChars="-50"/>
                    <w:jc w:val="center"/>
                  </w:pPr>
                  <w:r>
                    <w:rPr>
                      <w:rFonts w:hint="eastAsia"/>
                    </w:rPr>
                    <w:t>规范要求</w:t>
                  </w:r>
                </w:p>
              </w:tc>
              <w:tc>
                <w:tcPr>
                  <w:tcW w:w="1604" w:type="pct"/>
                  <w:tcBorders>
                    <w:top w:val="single" w:color="auto" w:sz="4" w:space="0"/>
                    <w:left w:val="single" w:color="auto" w:sz="4" w:space="0"/>
                    <w:bottom w:val="single" w:color="auto" w:sz="4" w:space="0"/>
                    <w:right w:val="single" w:color="auto" w:sz="4" w:space="0"/>
                  </w:tcBorders>
                  <w:vAlign w:val="center"/>
                </w:tcPr>
                <w:p w14:paraId="0AEF3E35">
                  <w:pPr>
                    <w:ind w:left="-105" w:leftChars="-50" w:right="-105" w:rightChars="-50"/>
                    <w:jc w:val="center"/>
                  </w:pPr>
                  <w:r>
                    <w:rPr>
                      <w:rFonts w:hint="eastAsia"/>
                    </w:rPr>
                    <w:t>企业状况</w:t>
                  </w:r>
                </w:p>
              </w:tc>
              <w:tc>
                <w:tcPr>
                  <w:tcW w:w="386" w:type="pct"/>
                  <w:tcBorders>
                    <w:top w:val="single" w:color="auto" w:sz="4" w:space="0"/>
                    <w:left w:val="single" w:color="auto" w:sz="4" w:space="0"/>
                    <w:bottom w:val="single" w:color="auto" w:sz="4" w:space="0"/>
                    <w:right w:val="single" w:color="auto" w:sz="4" w:space="0"/>
                  </w:tcBorders>
                  <w:vAlign w:val="center"/>
                </w:tcPr>
                <w:p w14:paraId="17321EBE">
                  <w:pPr>
                    <w:ind w:left="-105" w:leftChars="-50" w:right="-105" w:rightChars="-50"/>
                    <w:jc w:val="center"/>
                  </w:pPr>
                  <w:r>
                    <w:rPr>
                      <w:rFonts w:hint="eastAsia"/>
                    </w:rPr>
                    <w:t>相符性</w:t>
                  </w:r>
                </w:p>
              </w:tc>
            </w:tr>
            <w:tr w14:paraId="7FEC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tcBorders>
                    <w:top w:val="single" w:color="auto" w:sz="4" w:space="0"/>
                    <w:left w:val="single" w:color="auto" w:sz="4" w:space="0"/>
                    <w:bottom w:val="single" w:color="auto" w:sz="4" w:space="0"/>
                    <w:right w:val="single" w:color="auto" w:sz="4" w:space="0"/>
                  </w:tcBorders>
                  <w:vAlign w:val="center"/>
                </w:tcPr>
                <w:p w14:paraId="3246FA31">
                  <w:pPr>
                    <w:jc w:val="center"/>
                  </w:pPr>
                  <w:r>
                    <w:rPr>
                      <w:rFonts w:hint="eastAsia"/>
                    </w:rPr>
                    <w:t>1</w:t>
                  </w:r>
                </w:p>
              </w:tc>
              <w:tc>
                <w:tcPr>
                  <w:tcW w:w="2742" w:type="pct"/>
                  <w:tcBorders>
                    <w:top w:val="single" w:color="auto" w:sz="4" w:space="0"/>
                    <w:left w:val="single" w:color="auto" w:sz="4" w:space="0"/>
                    <w:bottom w:val="single" w:color="auto" w:sz="4" w:space="0"/>
                    <w:right w:val="single" w:color="auto" w:sz="4" w:space="0"/>
                  </w:tcBorders>
                  <w:vAlign w:val="center"/>
                </w:tcPr>
                <w:p w14:paraId="67F908E2">
                  <w:pPr>
                    <w:ind w:left="-105" w:leftChars="-50" w:right="-105" w:rightChars="-50"/>
                    <w:jc w:val="center"/>
                  </w:pPr>
                  <w:r>
                    <w:rPr>
                      <w:rFonts w:hint="eastAsia"/>
                    </w:rPr>
                    <w:t>所有加油站的油罐需要更新为双层罐或者设置防渗池，双层罐和防渗池应符合《汽车加油加气站设计与施工规范》（</w:t>
                  </w:r>
                  <w:r>
                    <w:t>GB50156</w:t>
                  </w:r>
                  <w:r>
                    <w:rPr>
                      <w:rFonts w:hint="eastAsia"/>
                    </w:rPr>
                    <w:t>）的要求</w:t>
                  </w:r>
                </w:p>
              </w:tc>
              <w:tc>
                <w:tcPr>
                  <w:tcW w:w="1604" w:type="pct"/>
                  <w:tcBorders>
                    <w:top w:val="single" w:color="auto" w:sz="4" w:space="0"/>
                    <w:left w:val="single" w:color="auto" w:sz="4" w:space="0"/>
                    <w:right w:val="single" w:color="auto" w:sz="4" w:space="0"/>
                  </w:tcBorders>
                  <w:vAlign w:val="center"/>
                </w:tcPr>
                <w:p w14:paraId="57D6B332">
                  <w:pPr>
                    <w:jc w:val="center"/>
                  </w:pPr>
                  <w:r>
                    <w:t>本项目采用地埋式钢制双层储罐。</w:t>
                  </w:r>
                </w:p>
              </w:tc>
              <w:tc>
                <w:tcPr>
                  <w:tcW w:w="386" w:type="pct"/>
                  <w:tcBorders>
                    <w:top w:val="single" w:color="auto" w:sz="4" w:space="0"/>
                    <w:left w:val="single" w:color="auto" w:sz="4" w:space="0"/>
                    <w:bottom w:val="single" w:color="auto" w:sz="4" w:space="0"/>
                    <w:right w:val="single" w:color="auto" w:sz="4" w:space="0"/>
                  </w:tcBorders>
                  <w:vAlign w:val="center"/>
                </w:tcPr>
                <w:p w14:paraId="62A570FC">
                  <w:pPr>
                    <w:jc w:val="center"/>
                  </w:pPr>
                  <w:r>
                    <w:rPr>
                      <w:rFonts w:hint="eastAsia"/>
                    </w:rPr>
                    <w:t>符合</w:t>
                  </w:r>
                </w:p>
              </w:tc>
            </w:tr>
            <w:tr w14:paraId="396F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tcBorders>
                    <w:top w:val="single" w:color="auto" w:sz="4" w:space="0"/>
                    <w:left w:val="single" w:color="auto" w:sz="4" w:space="0"/>
                    <w:bottom w:val="single" w:color="auto" w:sz="4" w:space="0"/>
                    <w:right w:val="single" w:color="auto" w:sz="4" w:space="0"/>
                  </w:tcBorders>
                  <w:vAlign w:val="center"/>
                </w:tcPr>
                <w:p w14:paraId="2992276B">
                  <w:pPr>
                    <w:jc w:val="center"/>
                  </w:pPr>
                  <w:r>
                    <w:rPr>
                      <w:rFonts w:hint="eastAsia"/>
                    </w:rPr>
                    <w:t>2</w:t>
                  </w:r>
                </w:p>
              </w:tc>
              <w:tc>
                <w:tcPr>
                  <w:tcW w:w="2742" w:type="pct"/>
                  <w:tcBorders>
                    <w:top w:val="single" w:color="auto" w:sz="4" w:space="0"/>
                    <w:left w:val="single" w:color="auto" w:sz="4" w:space="0"/>
                    <w:bottom w:val="single" w:color="auto" w:sz="4" w:space="0"/>
                    <w:right w:val="single" w:color="auto" w:sz="4" w:space="0"/>
                  </w:tcBorders>
                  <w:vAlign w:val="center"/>
                </w:tcPr>
                <w:p w14:paraId="66FF0F5B">
                  <w:pPr>
                    <w:ind w:left="-105" w:leftChars="-50" w:right="-105" w:rightChars="-50"/>
                    <w:jc w:val="center"/>
                  </w:pPr>
                  <w:r>
                    <w:rPr>
                      <w:rFonts w:hint="eastAsia" w:ascii="Arial" w:hAnsi="Arial" w:cs="Arial"/>
                    </w:rPr>
                    <w:t>采取防渗漏措施的加油站，其</w:t>
                  </w:r>
                  <w:r>
                    <w:rPr>
                      <w:rFonts w:ascii="Arial" w:hAnsi="Arial" w:cs="Arial"/>
                    </w:rPr>
                    <w:t>埋地加油管道应采用双层管道</w:t>
                  </w:r>
                </w:p>
              </w:tc>
              <w:tc>
                <w:tcPr>
                  <w:tcW w:w="1604" w:type="pct"/>
                  <w:tcBorders>
                    <w:left w:val="single" w:color="auto" w:sz="4" w:space="0"/>
                    <w:right w:val="single" w:color="auto" w:sz="4" w:space="0"/>
                  </w:tcBorders>
                  <w:vAlign w:val="center"/>
                </w:tcPr>
                <w:p w14:paraId="61FD0DF1">
                  <w:pPr>
                    <w:jc w:val="center"/>
                  </w:pPr>
                  <w:r>
                    <w:rPr>
                      <w:rFonts w:ascii="Arial" w:hAnsi="Arial" w:cs="Arial"/>
                    </w:rPr>
                    <w:t>卧式地下储罐，加油管道采用双层管道。</w:t>
                  </w:r>
                </w:p>
              </w:tc>
              <w:tc>
                <w:tcPr>
                  <w:tcW w:w="386" w:type="pct"/>
                  <w:tcBorders>
                    <w:top w:val="single" w:color="auto" w:sz="4" w:space="0"/>
                    <w:left w:val="single" w:color="auto" w:sz="4" w:space="0"/>
                    <w:bottom w:val="single" w:color="auto" w:sz="4" w:space="0"/>
                    <w:right w:val="single" w:color="auto" w:sz="4" w:space="0"/>
                  </w:tcBorders>
                  <w:vAlign w:val="center"/>
                </w:tcPr>
                <w:p w14:paraId="440CC85E">
                  <w:pPr>
                    <w:jc w:val="center"/>
                  </w:pPr>
                  <w:r>
                    <w:rPr>
                      <w:rFonts w:hint="eastAsia"/>
                    </w:rPr>
                    <w:t>符合</w:t>
                  </w:r>
                </w:p>
              </w:tc>
            </w:tr>
            <w:tr w14:paraId="4E45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65" w:type="pct"/>
                  <w:vMerge w:val="restart"/>
                  <w:tcBorders>
                    <w:top w:val="single" w:color="auto" w:sz="4" w:space="0"/>
                    <w:left w:val="single" w:color="auto" w:sz="4" w:space="0"/>
                    <w:right w:val="single" w:color="auto" w:sz="4" w:space="0"/>
                  </w:tcBorders>
                  <w:vAlign w:val="center"/>
                </w:tcPr>
                <w:p w14:paraId="08A53C68">
                  <w:pPr>
                    <w:jc w:val="center"/>
                  </w:pPr>
                  <w:r>
                    <w:rPr>
                      <w:rFonts w:hint="eastAsia"/>
                    </w:rPr>
                    <w:t>3</w:t>
                  </w:r>
                </w:p>
              </w:tc>
              <w:tc>
                <w:tcPr>
                  <w:tcW w:w="2742" w:type="pct"/>
                  <w:tcBorders>
                    <w:top w:val="single" w:color="auto" w:sz="4" w:space="0"/>
                    <w:left w:val="single" w:color="auto" w:sz="4" w:space="0"/>
                    <w:bottom w:val="single" w:color="auto" w:sz="4" w:space="0"/>
                    <w:right w:val="single" w:color="auto" w:sz="4" w:space="0"/>
                  </w:tcBorders>
                  <w:vAlign w:val="center"/>
                </w:tcPr>
                <w:p w14:paraId="460B0E70">
                  <w:pPr>
                    <w:ind w:left="-105" w:leftChars="-50" w:right="-105" w:rightChars="-50"/>
                    <w:jc w:val="center"/>
                  </w:pPr>
                  <w:r>
                    <w:rPr>
                      <w:rFonts w:ascii="Arial" w:hAnsi="Arial" w:cs="Arial"/>
                    </w:rPr>
                    <w:t>储罐需采用专业厂家制作的合格产品</w:t>
                  </w:r>
                </w:p>
              </w:tc>
              <w:tc>
                <w:tcPr>
                  <w:tcW w:w="1604" w:type="pct"/>
                  <w:tcBorders>
                    <w:left w:val="single" w:color="auto" w:sz="4" w:space="0"/>
                    <w:bottom w:val="single" w:color="auto" w:sz="4" w:space="0"/>
                    <w:right w:val="single" w:color="auto" w:sz="4" w:space="0"/>
                  </w:tcBorders>
                  <w:vAlign w:val="center"/>
                </w:tcPr>
                <w:p w14:paraId="3135C26B">
                  <w:pPr>
                    <w:jc w:val="center"/>
                  </w:pPr>
                  <w:r>
                    <w:t>建设单位向专业厂家购买储罐。</w:t>
                  </w:r>
                </w:p>
              </w:tc>
              <w:tc>
                <w:tcPr>
                  <w:tcW w:w="386" w:type="pct"/>
                  <w:tcBorders>
                    <w:top w:val="single" w:color="auto" w:sz="4" w:space="0"/>
                    <w:left w:val="single" w:color="auto" w:sz="4" w:space="0"/>
                    <w:bottom w:val="single" w:color="auto" w:sz="4" w:space="0"/>
                    <w:right w:val="single" w:color="auto" w:sz="4" w:space="0"/>
                  </w:tcBorders>
                  <w:vAlign w:val="center"/>
                </w:tcPr>
                <w:p w14:paraId="767053A4">
                  <w:pPr>
                    <w:jc w:val="center"/>
                  </w:pPr>
                  <w:r>
                    <w:rPr>
                      <w:rFonts w:hint="eastAsia"/>
                    </w:rPr>
                    <w:t>符合</w:t>
                  </w:r>
                </w:p>
              </w:tc>
            </w:tr>
            <w:tr w14:paraId="147F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65" w:type="pct"/>
                  <w:vMerge w:val="continue"/>
                  <w:tcBorders>
                    <w:left w:val="single" w:color="auto" w:sz="4" w:space="0"/>
                    <w:right w:val="single" w:color="auto" w:sz="4" w:space="0"/>
                  </w:tcBorders>
                  <w:vAlign w:val="center"/>
                </w:tcPr>
                <w:p w14:paraId="6301A913">
                  <w:pPr>
                    <w:jc w:val="center"/>
                  </w:pPr>
                </w:p>
              </w:tc>
              <w:tc>
                <w:tcPr>
                  <w:tcW w:w="2742" w:type="pct"/>
                  <w:tcBorders>
                    <w:top w:val="single" w:color="auto" w:sz="4" w:space="0"/>
                    <w:left w:val="single" w:color="auto" w:sz="4" w:space="0"/>
                    <w:bottom w:val="single" w:color="auto" w:sz="4" w:space="0"/>
                    <w:right w:val="single" w:color="auto" w:sz="4" w:space="0"/>
                  </w:tcBorders>
                  <w:vAlign w:val="center"/>
                </w:tcPr>
                <w:p w14:paraId="51C0327D">
                  <w:pPr>
                    <w:ind w:left="-105" w:leftChars="-50" w:right="-105" w:rightChars="-50"/>
                    <w:jc w:val="center"/>
                  </w:pPr>
                  <w:r>
                    <w:rPr>
                      <w:rFonts w:ascii="Arial" w:hAnsi="Arial" w:cs="Arial"/>
                    </w:rPr>
                    <w:t xml:space="preserve">储罐装设的高液位报警系统的最高液位设定，应满足报警 </w:t>
                  </w:r>
                  <w:r>
                    <w:t>2min</w:t>
                  </w:r>
                  <w:r>
                    <w:rPr>
                      <w:rFonts w:ascii="Arial" w:hAnsi="Arial" w:cs="Arial"/>
                    </w:rPr>
                    <w:t>后进油量不超过油罐的安全装油液位</w:t>
                  </w:r>
                </w:p>
              </w:tc>
              <w:tc>
                <w:tcPr>
                  <w:tcW w:w="1604" w:type="pct"/>
                  <w:tcBorders>
                    <w:top w:val="single" w:color="auto" w:sz="4" w:space="0"/>
                    <w:left w:val="single" w:color="auto" w:sz="4" w:space="0"/>
                    <w:bottom w:val="single" w:color="auto" w:sz="4" w:space="0"/>
                    <w:right w:val="single" w:color="auto" w:sz="4" w:space="0"/>
                  </w:tcBorders>
                  <w:vAlign w:val="center"/>
                </w:tcPr>
                <w:p w14:paraId="555DD786">
                  <w:pPr>
                    <w:ind w:left="-105" w:leftChars="-50" w:right="-105" w:rightChars="-50"/>
                    <w:jc w:val="center"/>
                  </w:pPr>
                  <w:r>
                    <w:t>储罐安装液位仪。</w:t>
                  </w:r>
                </w:p>
              </w:tc>
              <w:tc>
                <w:tcPr>
                  <w:tcW w:w="386" w:type="pct"/>
                  <w:tcBorders>
                    <w:top w:val="single" w:color="auto" w:sz="4" w:space="0"/>
                    <w:left w:val="single" w:color="auto" w:sz="4" w:space="0"/>
                    <w:bottom w:val="single" w:color="auto" w:sz="4" w:space="0"/>
                    <w:right w:val="single" w:color="auto" w:sz="4" w:space="0"/>
                  </w:tcBorders>
                  <w:vAlign w:val="center"/>
                </w:tcPr>
                <w:p w14:paraId="0C222206">
                  <w:pPr>
                    <w:jc w:val="center"/>
                  </w:pPr>
                  <w:r>
                    <w:rPr>
                      <w:rFonts w:hint="eastAsia"/>
                    </w:rPr>
                    <w:t>符合</w:t>
                  </w:r>
                </w:p>
              </w:tc>
            </w:tr>
            <w:tr w14:paraId="2882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65" w:type="pct"/>
                  <w:vMerge w:val="continue"/>
                  <w:tcBorders>
                    <w:left w:val="single" w:color="auto" w:sz="4" w:space="0"/>
                    <w:right w:val="single" w:color="auto" w:sz="4" w:space="0"/>
                  </w:tcBorders>
                  <w:vAlign w:val="center"/>
                </w:tcPr>
                <w:p w14:paraId="0CC1798D">
                  <w:pPr>
                    <w:jc w:val="center"/>
                  </w:pPr>
                </w:p>
              </w:tc>
              <w:tc>
                <w:tcPr>
                  <w:tcW w:w="2742" w:type="pct"/>
                  <w:tcBorders>
                    <w:top w:val="single" w:color="auto" w:sz="4" w:space="0"/>
                    <w:left w:val="single" w:color="auto" w:sz="4" w:space="0"/>
                    <w:bottom w:val="single" w:color="auto" w:sz="4" w:space="0"/>
                    <w:right w:val="single" w:color="auto" w:sz="4" w:space="0"/>
                  </w:tcBorders>
                  <w:vAlign w:val="center"/>
                </w:tcPr>
                <w:p w14:paraId="7560C580">
                  <w:pPr>
                    <w:ind w:left="-105" w:leftChars="-50" w:right="-105" w:rightChars="-50"/>
                    <w:jc w:val="center"/>
                  </w:pPr>
                  <w:r>
                    <w:rPr>
                      <w:rFonts w:ascii="Arial" w:hAnsi="Arial" w:cs="Arial"/>
                    </w:rPr>
                    <w:t>储罐装设的液位自动监测系统应具有油罐渗漏的监测功能，及时感应并发出警报。</w:t>
                  </w:r>
                </w:p>
              </w:tc>
              <w:tc>
                <w:tcPr>
                  <w:tcW w:w="1604" w:type="pct"/>
                  <w:tcBorders>
                    <w:top w:val="single" w:color="auto" w:sz="4" w:space="0"/>
                    <w:left w:val="single" w:color="auto" w:sz="4" w:space="0"/>
                    <w:bottom w:val="single" w:color="auto" w:sz="4" w:space="0"/>
                    <w:right w:val="single" w:color="auto" w:sz="4" w:space="0"/>
                  </w:tcBorders>
                  <w:vAlign w:val="center"/>
                </w:tcPr>
                <w:p w14:paraId="1C85B0F2">
                  <w:pPr>
                    <w:ind w:left="-105" w:leftChars="-50" w:right="-105" w:rightChars="-50"/>
                    <w:jc w:val="center"/>
                  </w:pPr>
                  <w:r>
                    <w:t>设置泄漏检测系统。</w:t>
                  </w:r>
                </w:p>
              </w:tc>
              <w:tc>
                <w:tcPr>
                  <w:tcW w:w="386" w:type="pct"/>
                  <w:tcBorders>
                    <w:top w:val="single" w:color="auto" w:sz="4" w:space="0"/>
                    <w:left w:val="single" w:color="auto" w:sz="4" w:space="0"/>
                    <w:bottom w:val="single" w:color="auto" w:sz="4" w:space="0"/>
                    <w:right w:val="single" w:color="auto" w:sz="4" w:space="0"/>
                  </w:tcBorders>
                  <w:vAlign w:val="center"/>
                </w:tcPr>
                <w:p w14:paraId="4FE1E7B0">
                  <w:pPr>
                    <w:jc w:val="center"/>
                  </w:pPr>
                  <w:r>
                    <w:rPr>
                      <w:rFonts w:hint="eastAsia"/>
                    </w:rPr>
                    <w:t>符合</w:t>
                  </w:r>
                </w:p>
              </w:tc>
            </w:tr>
            <w:tr w14:paraId="582A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65" w:type="pct"/>
                  <w:vMerge w:val="continue"/>
                  <w:tcBorders>
                    <w:left w:val="single" w:color="auto" w:sz="4" w:space="0"/>
                    <w:right w:val="single" w:color="auto" w:sz="4" w:space="0"/>
                  </w:tcBorders>
                  <w:vAlign w:val="center"/>
                </w:tcPr>
                <w:p w14:paraId="26BDB5F4">
                  <w:pPr>
                    <w:jc w:val="center"/>
                  </w:pPr>
                </w:p>
              </w:tc>
              <w:tc>
                <w:tcPr>
                  <w:tcW w:w="2742" w:type="pct"/>
                  <w:tcBorders>
                    <w:top w:val="single" w:color="auto" w:sz="4" w:space="0"/>
                    <w:left w:val="single" w:color="auto" w:sz="4" w:space="0"/>
                    <w:bottom w:val="single" w:color="auto" w:sz="4" w:space="0"/>
                    <w:right w:val="single" w:color="auto" w:sz="4" w:space="0"/>
                  </w:tcBorders>
                  <w:vAlign w:val="center"/>
                </w:tcPr>
                <w:p w14:paraId="56FA215D">
                  <w:pPr>
                    <w:ind w:left="-105" w:leftChars="-50" w:right="-105" w:rightChars="-50"/>
                    <w:jc w:val="center"/>
                  </w:pPr>
                  <w:r>
                    <w:rPr>
                      <w:rFonts w:ascii="Arial" w:hAnsi="Arial" w:cs="Arial"/>
                    </w:rPr>
                    <w:t>装有潜油泵的油罐人孔操作井、卸油口井、加油机底槽等可能发生油品泄漏的部位也采取相应的防漏防渗措施。</w:t>
                  </w:r>
                </w:p>
              </w:tc>
              <w:tc>
                <w:tcPr>
                  <w:tcW w:w="1604" w:type="pct"/>
                  <w:tcBorders>
                    <w:top w:val="single" w:color="auto" w:sz="4" w:space="0"/>
                    <w:left w:val="single" w:color="auto" w:sz="4" w:space="0"/>
                    <w:bottom w:val="single" w:color="auto" w:sz="4" w:space="0"/>
                    <w:right w:val="single" w:color="auto" w:sz="4" w:space="0"/>
                  </w:tcBorders>
                  <w:vAlign w:val="center"/>
                </w:tcPr>
                <w:p w14:paraId="54DED0D0">
                  <w:pPr>
                    <w:ind w:left="-105" w:leftChars="-50" w:right="-105" w:rightChars="-50"/>
                    <w:jc w:val="center"/>
                  </w:pPr>
                  <w:r>
                    <w:rPr>
                      <w:rFonts w:hint="eastAsia"/>
                    </w:rPr>
                    <w:t>油罐人孔操作井、卸油口井、加油机底槽采取相应的防渗措施。</w:t>
                  </w:r>
                </w:p>
              </w:tc>
              <w:tc>
                <w:tcPr>
                  <w:tcW w:w="386" w:type="pct"/>
                  <w:tcBorders>
                    <w:top w:val="single" w:color="auto" w:sz="4" w:space="0"/>
                    <w:left w:val="single" w:color="auto" w:sz="4" w:space="0"/>
                    <w:bottom w:val="single" w:color="auto" w:sz="4" w:space="0"/>
                    <w:right w:val="single" w:color="auto" w:sz="4" w:space="0"/>
                  </w:tcBorders>
                  <w:vAlign w:val="center"/>
                </w:tcPr>
                <w:p w14:paraId="02FDA836">
                  <w:pPr>
                    <w:jc w:val="center"/>
                  </w:pPr>
                  <w:r>
                    <w:rPr>
                      <w:rFonts w:hint="eastAsia"/>
                    </w:rPr>
                    <w:t>符合</w:t>
                  </w:r>
                </w:p>
              </w:tc>
            </w:tr>
            <w:tr w14:paraId="5681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65" w:type="pct"/>
                  <w:vMerge w:val="continue"/>
                  <w:tcBorders>
                    <w:left w:val="single" w:color="auto" w:sz="4" w:space="0"/>
                    <w:right w:val="single" w:color="auto" w:sz="4" w:space="0"/>
                  </w:tcBorders>
                  <w:vAlign w:val="center"/>
                </w:tcPr>
                <w:p w14:paraId="001EB84F">
                  <w:pPr>
                    <w:jc w:val="center"/>
                  </w:pPr>
                </w:p>
              </w:tc>
              <w:tc>
                <w:tcPr>
                  <w:tcW w:w="2742" w:type="pct"/>
                  <w:tcBorders>
                    <w:top w:val="single" w:color="auto" w:sz="4" w:space="0"/>
                    <w:left w:val="single" w:color="auto" w:sz="4" w:space="0"/>
                    <w:bottom w:val="single" w:color="auto" w:sz="4" w:space="0"/>
                    <w:right w:val="single" w:color="auto" w:sz="4" w:space="0"/>
                  </w:tcBorders>
                  <w:vAlign w:val="center"/>
                </w:tcPr>
                <w:p w14:paraId="35915883">
                  <w:pPr>
                    <w:ind w:left="-105" w:leftChars="-50" w:right="-105" w:rightChars="-50"/>
                    <w:jc w:val="center"/>
                  </w:pPr>
                  <w:r>
                    <w:rPr>
                      <w:rFonts w:ascii="Arial" w:hAnsi="Arial" w:cs="Arial"/>
                    </w:rPr>
                    <w:t>储罐应采取防止油罐上浮的措施。</w:t>
                  </w:r>
                </w:p>
              </w:tc>
              <w:tc>
                <w:tcPr>
                  <w:tcW w:w="1604" w:type="pct"/>
                  <w:tcBorders>
                    <w:top w:val="single" w:color="auto" w:sz="4" w:space="0"/>
                    <w:left w:val="single" w:color="auto" w:sz="4" w:space="0"/>
                    <w:bottom w:val="single" w:color="auto" w:sz="4" w:space="0"/>
                    <w:right w:val="single" w:color="auto" w:sz="4" w:space="0"/>
                  </w:tcBorders>
                  <w:vAlign w:val="center"/>
                </w:tcPr>
                <w:p w14:paraId="23FD5AB5">
                  <w:pPr>
                    <w:ind w:left="-105" w:leftChars="-50" w:right="-105" w:rightChars="-50"/>
                    <w:jc w:val="center"/>
                  </w:pPr>
                  <w:r>
                    <w:rPr>
                      <w:rFonts w:hint="eastAsia"/>
                    </w:rPr>
                    <w:t>本项目各埋地油罐采用圆钢连接地脚螺栓固定在底部混凝土上，之后便覆沙土防止油罐上浮。</w:t>
                  </w:r>
                </w:p>
              </w:tc>
              <w:tc>
                <w:tcPr>
                  <w:tcW w:w="386" w:type="pct"/>
                  <w:tcBorders>
                    <w:top w:val="single" w:color="auto" w:sz="4" w:space="0"/>
                    <w:left w:val="single" w:color="auto" w:sz="4" w:space="0"/>
                    <w:bottom w:val="single" w:color="auto" w:sz="4" w:space="0"/>
                    <w:right w:val="single" w:color="auto" w:sz="4" w:space="0"/>
                  </w:tcBorders>
                  <w:vAlign w:val="center"/>
                </w:tcPr>
                <w:p w14:paraId="498D8DB2">
                  <w:pPr>
                    <w:jc w:val="center"/>
                  </w:pPr>
                  <w:r>
                    <w:rPr>
                      <w:rFonts w:hint="eastAsia"/>
                    </w:rPr>
                    <w:t>符合</w:t>
                  </w:r>
                </w:p>
              </w:tc>
            </w:tr>
            <w:tr w14:paraId="66B4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65" w:type="pct"/>
                  <w:tcBorders>
                    <w:left w:val="single" w:color="auto" w:sz="4" w:space="0"/>
                    <w:right w:val="single" w:color="auto" w:sz="4" w:space="0"/>
                  </w:tcBorders>
                  <w:vAlign w:val="center"/>
                </w:tcPr>
                <w:p w14:paraId="4C6874D8">
                  <w:pPr>
                    <w:jc w:val="center"/>
                  </w:pPr>
                  <w:r>
                    <w:rPr>
                      <w:rFonts w:hint="eastAsia"/>
                    </w:rPr>
                    <w:t>4</w:t>
                  </w:r>
                </w:p>
              </w:tc>
              <w:tc>
                <w:tcPr>
                  <w:tcW w:w="2742" w:type="pct"/>
                  <w:tcBorders>
                    <w:top w:val="single" w:color="auto" w:sz="4" w:space="0"/>
                    <w:left w:val="single" w:color="auto" w:sz="4" w:space="0"/>
                    <w:bottom w:val="single" w:color="auto" w:sz="4" w:space="0"/>
                    <w:right w:val="single" w:color="auto" w:sz="4" w:space="0"/>
                  </w:tcBorders>
                  <w:vAlign w:val="center"/>
                </w:tcPr>
                <w:p w14:paraId="5E5754AA">
                  <w:pPr>
                    <w:ind w:left="-105" w:leftChars="-50" w:right="-105" w:rightChars="-50"/>
                    <w:jc w:val="center"/>
                    <w:rPr>
                      <w:rFonts w:ascii="Arial" w:hAnsi="Arial" w:cs="Arial"/>
                    </w:rPr>
                  </w:pPr>
                  <w:r>
                    <w:rPr>
                      <w:rFonts w:hint="eastAsia" w:ascii="Arial" w:hAnsi="Arial" w:cs="Arial"/>
                    </w:rPr>
                    <w:t>处于地下水饮用水水源保护区和补给径流区外的加油站，可设一个地下水监测井；地下水监测井尽量设置在加油站内。</w:t>
                  </w:r>
                </w:p>
              </w:tc>
              <w:tc>
                <w:tcPr>
                  <w:tcW w:w="1604" w:type="pct"/>
                  <w:tcBorders>
                    <w:top w:val="single" w:color="auto" w:sz="4" w:space="0"/>
                    <w:left w:val="single" w:color="auto" w:sz="4" w:space="0"/>
                    <w:bottom w:val="single" w:color="auto" w:sz="4" w:space="0"/>
                    <w:right w:val="single" w:color="auto" w:sz="4" w:space="0"/>
                  </w:tcBorders>
                  <w:vAlign w:val="center"/>
                </w:tcPr>
                <w:p w14:paraId="5757E190">
                  <w:pPr>
                    <w:ind w:left="-105" w:leftChars="-50" w:right="-105" w:rightChars="-50"/>
                    <w:jc w:val="center"/>
                  </w:pPr>
                  <w:r>
                    <w:rPr>
                      <w:rFonts w:hint="eastAsia"/>
                    </w:rPr>
                    <w:t>本项目在站内靠近埋地油罐处设置地下水监测井。</w:t>
                  </w:r>
                </w:p>
              </w:tc>
              <w:tc>
                <w:tcPr>
                  <w:tcW w:w="386" w:type="pct"/>
                  <w:tcBorders>
                    <w:top w:val="single" w:color="auto" w:sz="4" w:space="0"/>
                    <w:left w:val="single" w:color="auto" w:sz="4" w:space="0"/>
                    <w:bottom w:val="single" w:color="auto" w:sz="4" w:space="0"/>
                    <w:right w:val="single" w:color="auto" w:sz="4" w:space="0"/>
                  </w:tcBorders>
                  <w:vAlign w:val="center"/>
                </w:tcPr>
                <w:p w14:paraId="6175290D">
                  <w:pPr>
                    <w:jc w:val="center"/>
                  </w:pPr>
                  <w:r>
                    <w:rPr>
                      <w:rFonts w:hint="eastAsia"/>
                    </w:rPr>
                    <w:t>符合</w:t>
                  </w:r>
                </w:p>
              </w:tc>
            </w:tr>
          </w:tbl>
          <w:p w14:paraId="4114A48E">
            <w:pPr>
              <w:spacing w:line="520" w:lineRule="exact"/>
              <w:ind w:firstLine="480" w:firstLineChars="200"/>
              <w:rPr>
                <w:sz w:val="24"/>
              </w:rPr>
            </w:pPr>
            <w:r>
              <w:rPr>
                <w:rFonts w:hint="eastAsia"/>
                <w:sz w:val="24"/>
              </w:rPr>
              <w:t>6、与《加油站大气污染物排放标准》（GB20952-2020）符合性分析</w:t>
            </w:r>
          </w:p>
          <w:p w14:paraId="4FF9C5AF">
            <w:pPr>
              <w:spacing w:line="520" w:lineRule="exact"/>
              <w:jc w:val="center"/>
              <w:rPr>
                <w:b/>
                <w:sz w:val="24"/>
              </w:rPr>
            </w:pPr>
            <w:r>
              <w:rPr>
                <w:sz w:val="24"/>
              </w:rPr>
              <w:t>表</w:t>
            </w:r>
            <w:r>
              <w:rPr>
                <w:rFonts w:hint="eastAsia"/>
                <w:sz w:val="24"/>
              </w:rPr>
              <w:t xml:space="preserve">1-5   </w:t>
            </w:r>
            <w:r>
              <w:rPr>
                <w:rFonts w:hint="eastAsia"/>
                <w:b/>
                <w:sz w:val="24"/>
              </w:rPr>
              <w:t>《加油站大气污染物排放标准》（GB20952-2020）</w:t>
            </w:r>
            <w:r>
              <w:rPr>
                <w:b/>
                <w:sz w:val="24"/>
              </w:rPr>
              <w:t>相符性分析</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4415"/>
              <w:gridCol w:w="2563"/>
              <w:gridCol w:w="757"/>
            </w:tblGrid>
            <w:tr w14:paraId="248C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tcBorders>
                    <w:top w:val="single" w:color="auto" w:sz="4" w:space="0"/>
                    <w:left w:val="single" w:color="auto" w:sz="4" w:space="0"/>
                    <w:bottom w:val="single" w:color="auto" w:sz="4" w:space="0"/>
                    <w:right w:val="single" w:color="auto" w:sz="4" w:space="0"/>
                  </w:tcBorders>
                  <w:vAlign w:val="center"/>
                </w:tcPr>
                <w:p w14:paraId="3C21AC35">
                  <w:pPr>
                    <w:ind w:left="-105" w:leftChars="-50" w:right="-105" w:rightChars="-50"/>
                    <w:jc w:val="center"/>
                  </w:pPr>
                  <w:r>
                    <w:t>序号</w:t>
                  </w:r>
                </w:p>
              </w:tc>
              <w:tc>
                <w:tcPr>
                  <w:tcW w:w="2701" w:type="pct"/>
                  <w:tcBorders>
                    <w:top w:val="single" w:color="auto" w:sz="4" w:space="0"/>
                    <w:left w:val="single" w:color="auto" w:sz="4" w:space="0"/>
                    <w:bottom w:val="single" w:color="auto" w:sz="4" w:space="0"/>
                    <w:right w:val="single" w:color="auto" w:sz="4" w:space="0"/>
                  </w:tcBorders>
                  <w:vAlign w:val="center"/>
                </w:tcPr>
                <w:p w14:paraId="72D83ABA">
                  <w:pPr>
                    <w:ind w:left="-105" w:leftChars="-50" w:right="-105" w:rightChars="-50"/>
                    <w:jc w:val="center"/>
                  </w:pPr>
                  <w:r>
                    <w:rPr>
                      <w:rFonts w:hint="eastAsia"/>
                    </w:rPr>
                    <w:t>规范要求</w:t>
                  </w:r>
                </w:p>
              </w:tc>
              <w:tc>
                <w:tcPr>
                  <w:tcW w:w="1568" w:type="pct"/>
                  <w:tcBorders>
                    <w:top w:val="single" w:color="auto" w:sz="4" w:space="0"/>
                    <w:left w:val="single" w:color="auto" w:sz="4" w:space="0"/>
                    <w:bottom w:val="single" w:color="auto" w:sz="4" w:space="0"/>
                    <w:right w:val="single" w:color="auto" w:sz="4" w:space="0"/>
                  </w:tcBorders>
                  <w:vAlign w:val="center"/>
                </w:tcPr>
                <w:p w14:paraId="6C51EABA">
                  <w:pPr>
                    <w:ind w:left="-105" w:leftChars="-50" w:right="-105" w:rightChars="-50"/>
                    <w:jc w:val="center"/>
                  </w:pPr>
                  <w:r>
                    <w:rPr>
                      <w:rFonts w:hint="eastAsia"/>
                    </w:rPr>
                    <w:t>企业状况</w:t>
                  </w:r>
                </w:p>
              </w:tc>
              <w:tc>
                <w:tcPr>
                  <w:tcW w:w="463" w:type="pct"/>
                  <w:tcBorders>
                    <w:top w:val="single" w:color="auto" w:sz="4" w:space="0"/>
                    <w:left w:val="single" w:color="auto" w:sz="4" w:space="0"/>
                    <w:bottom w:val="single" w:color="auto" w:sz="4" w:space="0"/>
                    <w:right w:val="single" w:color="auto" w:sz="4" w:space="0"/>
                  </w:tcBorders>
                  <w:vAlign w:val="center"/>
                </w:tcPr>
                <w:p w14:paraId="1DA6D6D6">
                  <w:pPr>
                    <w:ind w:left="-105" w:leftChars="-50" w:right="-105" w:rightChars="-50"/>
                    <w:jc w:val="center"/>
                  </w:pPr>
                  <w:r>
                    <w:rPr>
                      <w:rFonts w:hint="eastAsia"/>
                    </w:rPr>
                    <w:t>相符性</w:t>
                  </w:r>
                </w:p>
              </w:tc>
            </w:tr>
            <w:tr w14:paraId="01AC6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tcBorders>
                    <w:top w:val="single" w:color="auto" w:sz="4" w:space="0"/>
                    <w:left w:val="single" w:color="auto" w:sz="4" w:space="0"/>
                    <w:right w:val="single" w:color="auto" w:sz="4" w:space="0"/>
                  </w:tcBorders>
                  <w:vAlign w:val="center"/>
                </w:tcPr>
                <w:p w14:paraId="3F1F7B2B">
                  <w:pPr>
                    <w:jc w:val="center"/>
                  </w:pPr>
                  <w:r>
                    <w:rPr>
                      <w:rFonts w:hint="eastAsia"/>
                    </w:rPr>
                    <w:t>1</w:t>
                  </w:r>
                </w:p>
              </w:tc>
              <w:tc>
                <w:tcPr>
                  <w:tcW w:w="2701" w:type="pct"/>
                  <w:tcBorders>
                    <w:top w:val="single" w:color="auto" w:sz="4" w:space="0"/>
                    <w:left w:val="single" w:color="auto" w:sz="4" w:space="0"/>
                    <w:bottom w:val="single" w:color="auto" w:sz="4" w:space="0"/>
                    <w:right w:val="single" w:color="auto" w:sz="4" w:space="0"/>
                  </w:tcBorders>
                  <w:vAlign w:val="center"/>
                </w:tcPr>
                <w:p w14:paraId="35C500C1">
                  <w:pPr>
                    <w:ind w:left="-105" w:leftChars="-50" w:right="-105" w:rightChars="-50"/>
                    <w:jc w:val="left"/>
                    <w:rPr>
                      <w:szCs w:val="21"/>
                    </w:rPr>
                  </w:pPr>
                  <w:r>
                    <w:rPr>
                      <w:rFonts w:hint="eastAsia"/>
                      <w:szCs w:val="21"/>
                    </w:rPr>
                    <w:t>1、基本要求：</w:t>
                  </w:r>
                </w:p>
                <w:p w14:paraId="61BAC7AD">
                  <w:pPr>
                    <w:ind w:left="-105" w:leftChars="-50" w:right="-105" w:rightChars="-50"/>
                    <w:jc w:val="left"/>
                    <w:rPr>
                      <w:szCs w:val="21"/>
                    </w:rPr>
                  </w:pPr>
                  <w:r>
                    <w:rPr>
                      <w:rFonts w:hint="eastAsia" w:ascii="宋体" w:hAnsi="宋体" w:cs="宋体"/>
                      <w:szCs w:val="21"/>
                    </w:rPr>
                    <w:t>①</w:t>
                  </w:r>
                  <w:r>
                    <w:rPr>
                      <w:szCs w:val="21"/>
                    </w:rPr>
                    <w:t>加油站卸油、储油和加油时排放的油气，应采用以密闭收集为基础的油气回收方法进行控制。</w:t>
                  </w:r>
                </w:p>
                <w:p w14:paraId="558B1056">
                  <w:pPr>
                    <w:ind w:left="-105" w:leftChars="-50" w:right="-105" w:rightChars="-50"/>
                    <w:jc w:val="left"/>
                  </w:pPr>
                  <w:r>
                    <w:rPr>
                      <w:rFonts w:hint="eastAsia"/>
                      <w:szCs w:val="21"/>
                    </w:rPr>
                    <w:t>②</w:t>
                  </w:r>
                  <w:r>
                    <w:rPr>
                      <w:szCs w:val="21"/>
                    </w:rPr>
                    <w:t>加油站应建立油气回收施工图纸、油气回收系统测试校核、系统参数设置等技术档案，制定加油站油气回收系统管理、操作规程，定期进行检查、维护、维修并记录留档。</w:t>
                  </w:r>
                </w:p>
              </w:tc>
              <w:tc>
                <w:tcPr>
                  <w:tcW w:w="1568" w:type="pct"/>
                  <w:tcBorders>
                    <w:top w:val="single" w:color="auto" w:sz="4" w:space="0"/>
                    <w:left w:val="single" w:color="auto" w:sz="4" w:space="0"/>
                    <w:right w:val="single" w:color="auto" w:sz="4" w:space="0"/>
                  </w:tcBorders>
                  <w:vAlign w:val="center"/>
                </w:tcPr>
                <w:p w14:paraId="52FEA0F0">
                  <w:pPr>
                    <w:jc w:val="left"/>
                  </w:pPr>
                  <w:r>
                    <w:rPr>
                      <w:rFonts w:hint="eastAsia" w:ascii="宋体" w:hAnsi="宋体" w:cs="宋体"/>
                    </w:rPr>
                    <w:t>①</w:t>
                  </w:r>
                  <w:r>
                    <w:t>本项目</w:t>
                  </w:r>
                  <w:r>
                    <w:rPr>
                      <w:rFonts w:hint="eastAsia"/>
                    </w:rPr>
                    <w:t>汽油设油气回收系统，由卸油油气回收系统、储油油气回收系统、加油油气回收系统组成。</w:t>
                  </w:r>
                </w:p>
                <w:p w14:paraId="0D70EE08">
                  <w:pPr>
                    <w:jc w:val="left"/>
                  </w:pPr>
                  <w:r>
                    <w:rPr>
                      <w:rFonts w:hint="eastAsia"/>
                    </w:rPr>
                    <w:t>②设有油气回收相关技术档案，建设单位按要求制定油气回收系统管理、操作规程。</w:t>
                  </w:r>
                  <w:r>
                    <w:rPr>
                      <w:rFonts w:hint="eastAsia"/>
                      <w:szCs w:val="21"/>
                    </w:rPr>
                    <w:t>公司设专人每日对油气回收设施进行检查和维护，并将检查结果和维护情况进行记录。</w:t>
                  </w:r>
                </w:p>
              </w:tc>
              <w:tc>
                <w:tcPr>
                  <w:tcW w:w="463" w:type="pct"/>
                  <w:tcBorders>
                    <w:top w:val="single" w:color="auto" w:sz="4" w:space="0"/>
                    <w:left w:val="single" w:color="auto" w:sz="4" w:space="0"/>
                    <w:bottom w:val="single" w:color="auto" w:sz="4" w:space="0"/>
                    <w:right w:val="single" w:color="auto" w:sz="4" w:space="0"/>
                  </w:tcBorders>
                  <w:vAlign w:val="center"/>
                </w:tcPr>
                <w:p w14:paraId="40687063">
                  <w:pPr>
                    <w:jc w:val="center"/>
                  </w:pPr>
                  <w:r>
                    <w:rPr>
                      <w:rFonts w:hint="eastAsia"/>
                    </w:rPr>
                    <w:t>符合</w:t>
                  </w:r>
                </w:p>
              </w:tc>
            </w:tr>
            <w:tr w14:paraId="6936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65" w:type="pct"/>
                  <w:tcBorders>
                    <w:top w:val="single" w:color="auto" w:sz="4" w:space="0"/>
                    <w:left w:val="single" w:color="auto" w:sz="4" w:space="0"/>
                    <w:right w:val="single" w:color="auto" w:sz="4" w:space="0"/>
                  </w:tcBorders>
                  <w:vAlign w:val="center"/>
                </w:tcPr>
                <w:p w14:paraId="4E87E0A0">
                  <w:pPr>
                    <w:jc w:val="center"/>
                  </w:pPr>
                  <w:r>
                    <w:rPr>
                      <w:rFonts w:hint="eastAsia"/>
                    </w:rPr>
                    <w:t>2</w:t>
                  </w:r>
                </w:p>
              </w:tc>
              <w:tc>
                <w:tcPr>
                  <w:tcW w:w="2701" w:type="pct"/>
                  <w:tcBorders>
                    <w:top w:val="single" w:color="auto" w:sz="4" w:space="0"/>
                    <w:left w:val="single" w:color="auto" w:sz="4" w:space="0"/>
                    <w:bottom w:val="single" w:color="auto" w:sz="4" w:space="0"/>
                    <w:right w:val="single" w:color="auto" w:sz="4" w:space="0"/>
                  </w:tcBorders>
                  <w:vAlign w:val="center"/>
                </w:tcPr>
                <w:p w14:paraId="4DC13FA8">
                  <w:pPr>
                    <w:ind w:left="-105" w:leftChars="-50" w:right="-105" w:rightChars="-50"/>
                    <w:rPr>
                      <w:szCs w:val="21"/>
                    </w:rPr>
                  </w:pPr>
                  <w:r>
                    <w:rPr>
                      <w:rFonts w:hint="eastAsia"/>
                      <w:szCs w:val="21"/>
                    </w:rPr>
                    <w:t>2、</w:t>
                  </w:r>
                  <w:r>
                    <w:t>卸油油气排放控制：</w:t>
                  </w:r>
                </w:p>
                <w:p w14:paraId="09B3DF3C">
                  <w:pPr>
                    <w:ind w:left="-105" w:leftChars="-50" w:right="-105" w:rightChars="-50"/>
                    <w:jc w:val="left"/>
                    <w:rPr>
                      <w:szCs w:val="21"/>
                    </w:rPr>
                  </w:pPr>
                  <w:r>
                    <w:rPr>
                      <w:rFonts w:hint="eastAsia" w:ascii="宋体" w:hAnsi="宋体" w:cs="宋体"/>
                      <w:szCs w:val="21"/>
                    </w:rPr>
                    <w:t>①</w:t>
                  </w:r>
                  <w:r>
                    <w:rPr>
                      <w:szCs w:val="21"/>
                    </w:rPr>
                    <w:t>应采用浸没式卸油方式，卸油管出油口距罐底高度应小于200mm。</w:t>
                  </w:r>
                </w:p>
                <w:p w14:paraId="5487B40C">
                  <w:pPr>
                    <w:ind w:left="-105" w:leftChars="-50" w:right="-105" w:rightChars="-50"/>
                    <w:jc w:val="left"/>
                    <w:rPr>
                      <w:szCs w:val="21"/>
                    </w:rPr>
                  </w:pPr>
                  <w:r>
                    <w:rPr>
                      <w:rFonts w:hint="eastAsia"/>
                      <w:szCs w:val="21"/>
                    </w:rPr>
                    <w:t>②</w:t>
                  </w:r>
                  <w:r>
                    <w:rPr>
                      <w:szCs w:val="21"/>
                    </w:rPr>
                    <w:t>卸油和油气回收接口应安装公称直径为100mm的截流阀（或密封式快速接头）和帽盖，现有加油站已采取卸油油气排放控制措施但接口尺寸不符的可采用变径连接。</w:t>
                  </w:r>
                </w:p>
                <w:p w14:paraId="7513137D">
                  <w:pPr>
                    <w:ind w:left="-105" w:leftChars="-50" w:right="-105" w:rightChars="-50"/>
                    <w:jc w:val="left"/>
                    <w:rPr>
                      <w:szCs w:val="21"/>
                    </w:rPr>
                  </w:pPr>
                  <w:r>
                    <w:rPr>
                      <w:rFonts w:hint="eastAsia"/>
                      <w:szCs w:val="21"/>
                    </w:rPr>
                    <w:t>③</w:t>
                  </w:r>
                  <w:r>
                    <w:rPr>
                      <w:szCs w:val="21"/>
                    </w:rPr>
                    <w:t>连接排气管的地下管线应坡向油罐，坡度不应小于1%，管线公称直径不小于50mm。</w:t>
                  </w:r>
                </w:p>
                <w:p w14:paraId="77DF8829">
                  <w:pPr>
                    <w:ind w:left="-105" w:leftChars="-50" w:right="-105" w:rightChars="-50"/>
                    <w:jc w:val="left"/>
                    <w:rPr>
                      <w:szCs w:val="21"/>
                    </w:rPr>
                  </w:pPr>
                  <w:r>
                    <w:rPr>
                      <w:rFonts w:hint="eastAsia"/>
                      <w:szCs w:val="21"/>
                    </w:rPr>
                    <w:t>④</w:t>
                  </w:r>
                  <w:r>
                    <w:rPr>
                      <w:szCs w:val="21"/>
                    </w:rPr>
                    <w:t>所有油气管线排放口应按GB50156的要求设置压力</w:t>
                  </w:r>
                  <w:r>
                    <w:rPr>
                      <w:rFonts w:ascii="Calibri" w:hAnsi="Calibri" w:cs="Calibri"/>
                      <w:szCs w:val="21"/>
                    </w:rPr>
                    <w:t>/</w:t>
                  </w:r>
                  <w:r>
                    <w:rPr>
                      <w:szCs w:val="21"/>
                    </w:rPr>
                    <w:t>真空阀，如设有阀门，阀门应保持常开状态；未安装压力</w:t>
                  </w:r>
                  <w:r>
                    <w:rPr>
                      <w:rFonts w:ascii="Calibri" w:hAnsi="Calibri" w:cs="Calibri"/>
                      <w:szCs w:val="21"/>
                    </w:rPr>
                    <w:t>/</w:t>
                  </w:r>
                  <w:r>
                    <w:rPr>
                      <w:szCs w:val="21"/>
                    </w:rPr>
                    <w:t>真空阀的汽油排放管应保持常闭状态。</w:t>
                  </w:r>
                </w:p>
                <w:p w14:paraId="55778082">
                  <w:pPr>
                    <w:ind w:left="-105" w:leftChars="-50" w:right="-105" w:rightChars="-50"/>
                    <w:jc w:val="left"/>
                    <w:rPr>
                      <w:szCs w:val="21"/>
                    </w:rPr>
                  </w:pPr>
                  <w:r>
                    <w:rPr>
                      <w:rFonts w:hint="eastAsia"/>
                      <w:szCs w:val="21"/>
                    </w:rPr>
                    <w:t>⑤</w:t>
                  </w:r>
                  <w:r>
                    <w:rPr>
                      <w:szCs w:val="21"/>
                    </w:rPr>
                    <w:t>卸油时应保证卸油油气回收系统密闭。卸油前卸油软管和油气回收软管应与油品运输汽车罐车和埋地油罐紧密连接，然后开启油气回收管路阀门，再开启卸油管路阀门进行卸油作业。</w:t>
                  </w:r>
                </w:p>
                <w:p w14:paraId="6489DF8E">
                  <w:pPr>
                    <w:ind w:left="-105" w:leftChars="-50" w:right="-105" w:rightChars="-50"/>
                    <w:jc w:val="left"/>
                  </w:pPr>
                  <w:r>
                    <w:rPr>
                      <w:rFonts w:hint="eastAsia"/>
                      <w:szCs w:val="21"/>
                    </w:rPr>
                    <w:t>⑥</w:t>
                  </w:r>
                  <w:r>
                    <w:rPr>
                      <w:szCs w:val="21"/>
                    </w:rPr>
                    <w:t>卸油后应先关闭与卸油软管及油气回收软管相关的阀门，再断开卸油软管和油气回收软管。</w:t>
                  </w:r>
                </w:p>
              </w:tc>
              <w:tc>
                <w:tcPr>
                  <w:tcW w:w="1568" w:type="pct"/>
                  <w:tcBorders>
                    <w:left w:val="single" w:color="auto" w:sz="4" w:space="0"/>
                    <w:bottom w:val="single" w:color="auto" w:sz="4" w:space="0"/>
                    <w:right w:val="single" w:color="auto" w:sz="4" w:space="0"/>
                  </w:tcBorders>
                  <w:vAlign w:val="center"/>
                </w:tcPr>
                <w:p w14:paraId="18522CBF">
                  <w:pPr>
                    <w:jc w:val="left"/>
                    <w:rPr>
                      <w:szCs w:val="21"/>
                    </w:rPr>
                  </w:pPr>
                  <w:r>
                    <w:rPr>
                      <w:rFonts w:hint="eastAsia" w:ascii="宋体" w:hAnsi="宋体" w:cs="宋体"/>
                    </w:rPr>
                    <w:t>①</w:t>
                  </w:r>
                  <w:r>
                    <w:t>本项目设置卸油油气回收系统，采用</w:t>
                  </w:r>
                  <w:r>
                    <w:rPr>
                      <w:szCs w:val="21"/>
                    </w:rPr>
                    <w:t>浸没式卸油方式。</w:t>
                  </w:r>
                </w:p>
                <w:p w14:paraId="238B4CEB">
                  <w:pPr>
                    <w:jc w:val="left"/>
                    <w:rPr>
                      <w:szCs w:val="21"/>
                    </w:rPr>
                  </w:pPr>
                  <w:r>
                    <w:rPr>
                      <w:rFonts w:hint="eastAsia"/>
                    </w:rPr>
                    <w:t>②</w:t>
                  </w:r>
                  <w:r>
                    <w:t>油气回收接口设置</w:t>
                  </w:r>
                  <w:r>
                    <w:rPr>
                      <w:rFonts w:hint="eastAsia"/>
                      <w:szCs w:val="21"/>
                    </w:rPr>
                    <w:t xml:space="preserve"> DN100的截留阀、密封式快速接头和帽盖。</w:t>
                  </w:r>
                </w:p>
                <w:p w14:paraId="32128952">
                  <w:pPr>
                    <w:jc w:val="left"/>
                    <w:rPr>
                      <w:szCs w:val="21"/>
                    </w:rPr>
                  </w:pPr>
                  <w:r>
                    <w:rPr>
                      <w:rFonts w:hint="eastAsia"/>
                      <w:szCs w:val="21"/>
                    </w:rPr>
                    <w:t>③地下油气管线设计坡度大于等于1%，直径DN80。</w:t>
                  </w:r>
                </w:p>
                <w:p w14:paraId="0C2AE03D">
                  <w:pPr>
                    <w:jc w:val="left"/>
                    <w:rPr>
                      <w:szCs w:val="21"/>
                    </w:rPr>
                  </w:pPr>
                  <w:r>
                    <w:rPr>
                      <w:rFonts w:hint="eastAsia"/>
                      <w:szCs w:val="21"/>
                    </w:rPr>
                    <w:t>④油气管线排放口设有压力</w:t>
                  </w:r>
                  <w:r>
                    <w:rPr>
                      <w:szCs w:val="21"/>
                    </w:rPr>
                    <w:t>/</w:t>
                  </w:r>
                  <w:r>
                    <w:rPr>
                      <w:rFonts w:hint="eastAsia"/>
                      <w:szCs w:val="21"/>
                    </w:rPr>
                    <w:t>真空阀。</w:t>
                  </w:r>
                </w:p>
                <w:p w14:paraId="63E948A5">
                  <w:pPr>
                    <w:jc w:val="left"/>
                    <w:rPr>
                      <w:szCs w:val="21"/>
                    </w:rPr>
                  </w:pPr>
                  <w:r>
                    <w:rPr>
                      <w:rFonts w:hint="eastAsia"/>
                      <w:szCs w:val="21"/>
                    </w:rPr>
                    <w:t>⑤规范卸油操作，保持卸油油气回收系统密闭。</w:t>
                  </w:r>
                </w:p>
                <w:p w14:paraId="0794BC89">
                  <w:pPr>
                    <w:jc w:val="left"/>
                  </w:pPr>
                  <w:r>
                    <w:rPr>
                      <w:rFonts w:hint="eastAsia"/>
                      <w:szCs w:val="21"/>
                    </w:rPr>
                    <w:t>⑥按照规范操作卸油，保证卸油结束后管道内没有残油。</w:t>
                  </w:r>
                </w:p>
              </w:tc>
              <w:tc>
                <w:tcPr>
                  <w:tcW w:w="463" w:type="pct"/>
                  <w:tcBorders>
                    <w:top w:val="single" w:color="auto" w:sz="4" w:space="0"/>
                    <w:left w:val="single" w:color="auto" w:sz="4" w:space="0"/>
                    <w:bottom w:val="single" w:color="auto" w:sz="4" w:space="0"/>
                    <w:right w:val="single" w:color="auto" w:sz="4" w:space="0"/>
                  </w:tcBorders>
                  <w:vAlign w:val="center"/>
                </w:tcPr>
                <w:p w14:paraId="70117808">
                  <w:pPr>
                    <w:jc w:val="center"/>
                  </w:pPr>
                  <w:r>
                    <w:rPr>
                      <w:rFonts w:hint="eastAsia"/>
                    </w:rPr>
                    <w:t>符合</w:t>
                  </w:r>
                </w:p>
              </w:tc>
            </w:tr>
            <w:tr w14:paraId="04E2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65" w:type="pct"/>
                  <w:tcBorders>
                    <w:left w:val="single" w:color="auto" w:sz="4" w:space="0"/>
                    <w:right w:val="single" w:color="auto" w:sz="4" w:space="0"/>
                  </w:tcBorders>
                  <w:vAlign w:val="center"/>
                </w:tcPr>
                <w:p w14:paraId="759C489B">
                  <w:pPr>
                    <w:jc w:val="center"/>
                  </w:pPr>
                  <w:r>
                    <w:rPr>
                      <w:rFonts w:hint="eastAsia"/>
                    </w:rPr>
                    <w:t>3</w:t>
                  </w:r>
                </w:p>
              </w:tc>
              <w:tc>
                <w:tcPr>
                  <w:tcW w:w="2701" w:type="pct"/>
                  <w:tcBorders>
                    <w:top w:val="single" w:color="auto" w:sz="4" w:space="0"/>
                    <w:left w:val="single" w:color="auto" w:sz="4" w:space="0"/>
                    <w:bottom w:val="single" w:color="auto" w:sz="4" w:space="0"/>
                    <w:right w:val="single" w:color="auto" w:sz="4" w:space="0"/>
                  </w:tcBorders>
                  <w:vAlign w:val="center"/>
                </w:tcPr>
                <w:p w14:paraId="079A5E8B">
                  <w:pPr>
                    <w:ind w:left="-105" w:leftChars="-50" w:right="-105" w:rightChars="-50"/>
                    <w:jc w:val="left"/>
                    <w:rPr>
                      <w:szCs w:val="21"/>
                    </w:rPr>
                  </w:pPr>
                  <w:r>
                    <w:rPr>
                      <w:rFonts w:hint="eastAsia"/>
                      <w:szCs w:val="21"/>
                    </w:rPr>
                    <w:t>3、储油油气排放控制：</w:t>
                  </w:r>
                </w:p>
                <w:p w14:paraId="4829B444">
                  <w:pPr>
                    <w:ind w:left="-105" w:leftChars="-50" w:right="-105" w:rightChars="-50"/>
                    <w:jc w:val="left"/>
                    <w:rPr>
                      <w:szCs w:val="21"/>
                    </w:rPr>
                  </w:pPr>
                  <w:r>
                    <w:rPr>
                      <w:rFonts w:hint="eastAsia" w:ascii="宋体" w:hAnsi="宋体" w:cs="宋体"/>
                      <w:szCs w:val="21"/>
                    </w:rPr>
                    <w:t>①</w:t>
                  </w:r>
                  <w:r>
                    <w:rPr>
                      <w:szCs w:val="21"/>
                    </w:rPr>
                    <w:t>所有影响储油油气密闭性的部件，包括油气管线和所连接的法兰、阀门、快接头以及其他相关部件在正常工作状况下应保持密闭，油气泄漏浓度满足本标准油气回收系统密闭点位限值要求。</w:t>
                  </w:r>
                </w:p>
                <w:p w14:paraId="02F57045">
                  <w:pPr>
                    <w:ind w:left="-105" w:leftChars="-50" w:right="-105" w:rightChars="-50"/>
                    <w:jc w:val="left"/>
                    <w:rPr>
                      <w:szCs w:val="21"/>
                    </w:rPr>
                  </w:pPr>
                  <w:r>
                    <w:rPr>
                      <w:rFonts w:hint="eastAsia"/>
                      <w:szCs w:val="21"/>
                    </w:rPr>
                    <w:t>②</w:t>
                  </w:r>
                  <w:r>
                    <w:rPr>
                      <w:szCs w:val="21"/>
                    </w:rPr>
                    <w:t>采用红外摄像方式检测油气回收系统密闭点位时，不应有油气泄漏。</w:t>
                  </w:r>
                </w:p>
                <w:p w14:paraId="1CE0B932">
                  <w:pPr>
                    <w:ind w:left="-105" w:leftChars="-50" w:right="-105" w:rightChars="-50"/>
                    <w:jc w:val="left"/>
                    <w:rPr>
                      <w:szCs w:val="21"/>
                    </w:rPr>
                  </w:pPr>
                  <w:r>
                    <w:rPr>
                      <w:rFonts w:hint="eastAsia"/>
                      <w:szCs w:val="21"/>
                    </w:rPr>
                    <w:t>③</w:t>
                  </w:r>
                  <w:r>
                    <w:rPr>
                      <w:szCs w:val="21"/>
                    </w:rPr>
                    <w:t>埋地油罐应采用电子式液位计进行汽油密闭测量。</w:t>
                  </w:r>
                </w:p>
              </w:tc>
              <w:tc>
                <w:tcPr>
                  <w:tcW w:w="1568" w:type="pct"/>
                  <w:tcBorders>
                    <w:top w:val="single" w:color="auto" w:sz="4" w:space="0"/>
                    <w:left w:val="single" w:color="auto" w:sz="4" w:space="0"/>
                    <w:bottom w:val="single" w:color="auto" w:sz="4" w:space="0"/>
                    <w:right w:val="single" w:color="auto" w:sz="4" w:space="0"/>
                  </w:tcBorders>
                  <w:vAlign w:val="center"/>
                </w:tcPr>
                <w:p w14:paraId="742D7A7F">
                  <w:pPr>
                    <w:autoSpaceDE w:val="0"/>
                    <w:autoSpaceDN w:val="0"/>
                    <w:adjustRightInd w:val="0"/>
                    <w:jc w:val="left"/>
                    <w:rPr>
                      <w:szCs w:val="21"/>
                    </w:rPr>
                  </w:pPr>
                  <w:r>
                    <w:rPr>
                      <w:rFonts w:hint="eastAsia"/>
                      <w:szCs w:val="21"/>
                    </w:rPr>
                    <w:t>①本项目油罐安装有电子液位仪和渗漏报警器，具备渗漏、泄露报警功能。</w:t>
                  </w:r>
                </w:p>
                <w:p w14:paraId="0FC147FC">
                  <w:pPr>
                    <w:autoSpaceDE w:val="0"/>
                    <w:autoSpaceDN w:val="0"/>
                    <w:adjustRightInd w:val="0"/>
                    <w:jc w:val="left"/>
                    <w:rPr>
                      <w:szCs w:val="21"/>
                    </w:rPr>
                  </w:pPr>
                  <w:r>
                    <w:rPr>
                      <w:rFonts w:hint="eastAsia"/>
                      <w:szCs w:val="21"/>
                    </w:rPr>
                    <w:t>②定期对油气回收系统监测，根据密闭性检测结果，判定系统是否漏气。</w:t>
                  </w:r>
                </w:p>
              </w:tc>
              <w:tc>
                <w:tcPr>
                  <w:tcW w:w="463" w:type="pct"/>
                  <w:tcBorders>
                    <w:top w:val="single" w:color="auto" w:sz="4" w:space="0"/>
                    <w:left w:val="single" w:color="auto" w:sz="4" w:space="0"/>
                    <w:bottom w:val="single" w:color="auto" w:sz="4" w:space="0"/>
                    <w:right w:val="single" w:color="auto" w:sz="4" w:space="0"/>
                  </w:tcBorders>
                  <w:vAlign w:val="center"/>
                </w:tcPr>
                <w:p w14:paraId="04F34D1E">
                  <w:pPr>
                    <w:jc w:val="center"/>
                  </w:pPr>
                  <w:r>
                    <w:rPr>
                      <w:rFonts w:hint="eastAsia"/>
                    </w:rPr>
                    <w:t>符合</w:t>
                  </w:r>
                </w:p>
              </w:tc>
            </w:tr>
            <w:tr w14:paraId="13E5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65" w:type="pct"/>
                  <w:tcBorders>
                    <w:left w:val="single" w:color="auto" w:sz="4" w:space="0"/>
                    <w:right w:val="single" w:color="auto" w:sz="4" w:space="0"/>
                  </w:tcBorders>
                  <w:vAlign w:val="center"/>
                </w:tcPr>
                <w:p w14:paraId="71C10966">
                  <w:pPr>
                    <w:jc w:val="center"/>
                  </w:pPr>
                  <w:r>
                    <w:rPr>
                      <w:rFonts w:hint="eastAsia"/>
                    </w:rPr>
                    <w:t>4</w:t>
                  </w:r>
                </w:p>
              </w:tc>
              <w:tc>
                <w:tcPr>
                  <w:tcW w:w="2701" w:type="pct"/>
                  <w:tcBorders>
                    <w:top w:val="single" w:color="auto" w:sz="4" w:space="0"/>
                    <w:left w:val="single" w:color="auto" w:sz="4" w:space="0"/>
                    <w:bottom w:val="single" w:color="auto" w:sz="4" w:space="0"/>
                    <w:right w:val="single" w:color="auto" w:sz="4" w:space="0"/>
                  </w:tcBorders>
                  <w:vAlign w:val="center"/>
                </w:tcPr>
                <w:p w14:paraId="159293BB">
                  <w:pPr>
                    <w:ind w:left="-105" w:leftChars="-50" w:right="-105" w:rightChars="-50"/>
                    <w:rPr>
                      <w:szCs w:val="21"/>
                    </w:rPr>
                  </w:pPr>
                  <w:r>
                    <w:rPr>
                      <w:rFonts w:hint="eastAsia"/>
                      <w:szCs w:val="21"/>
                    </w:rPr>
                    <w:t>4、加油油气排放控制</w:t>
                  </w:r>
                </w:p>
                <w:p w14:paraId="333A2235">
                  <w:pPr>
                    <w:ind w:left="-105" w:leftChars="-50" w:right="-105" w:rightChars="-50"/>
                    <w:rPr>
                      <w:szCs w:val="21"/>
                    </w:rPr>
                  </w:pPr>
                  <w:r>
                    <w:rPr>
                      <w:rFonts w:hint="eastAsia" w:ascii="宋体" w:hAnsi="宋体" w:cs="宋体"/>
                      <w:szCs w:val="21"/>
                    </w:rPr>
                    <w:t>①</w:t>
                  </w:r>
                  <w:r>
                    <w:rPr>
                      <w:szCs w:val="21"/>
                    </w:rPr>
                    <w:t>加油产生的油气应采用真空辅助方式密闭收集。</w:t>
                  </w:r>
                </w:p>
                <w:p w14:paraId="583F2AB6">
                  <w:pPr>
                    <w:ind w:left="-105" w:leftChars="-50" w:right="-105" w:rightChars="-50"/>
                    <w:rPr>
                      <w:szCs w:val="21"/>
                    </w:rPr>
                  </w:pPr>
                  <w:r>
                    <w:rPr>
                      <w:rFonts w:hint="eastAsia"/>
                      <w:szCs w:val="21"/>
                    </w:rPr>
                    <w:t>②</w:t>
                  </w:r>
                  <w:r>
                    <w:rPr>
                      <w:szCs w:val="21"/>
                    </w:rPr>
                    <w:t>油气回收管线应坡向油罐，坡度不应小于1%，受地形限制无法满足坡度要求的可设置集液器，集液器的凝结液应能密闭回收至低标号的汽油罐中。</w:t>
                  </w:r>
                </w:p>
                <w:p w14:paraId="0A5671B2">
                  <w:pPr>
                    <w:ind w:left="-105" w:leftChars="-50" w:right="-105" w:rightChars="-50"/>
                    <w:rPr>
                      <w:szCs w:val="21"/>
                    </w:rPr>
                  </w:pPr>
                  <w:r>
                    <w:rPr>
                      <w:rFonts w:hint="eastAsia"/>
                      <w:szCs w:val="21"/>
                    </w:rPr>
                    <w:t>③</w:t>
                  </w:r>
                  <w:r>
                    <w:rPr>
                      <w:szCs w:val="21"/>
                    </w:rPr>
                    <w:t>加油软管应配备拉断截止阀，加油时应防止溢油和滴油。</w:t>
                  </w:r>
                </w:p>
                <w:p w14:paraId="31546A85">
                  <w:pPr>
                    <w:ind w:left="-105" w:leftChars="-50" w:right="-105" w:rightChars="-50"/>
                    <w:rPr>
                      <w:szCs w:val="21"/>
                    </w:rPr>
                  </w:pPr>
                  <w:r>
                    <w:rPr>
                      <w:rFonts w:hint="eastAsia"/>
                      <w:szCs w:val="21"/>
                    </w:rPr>
                    <w:t>④</w:t>
                  </w:r>
                  <w:r>
                    <w:rPr>
                      <w:szCs w:val="21"/>
                    </w:rPr>
                    <w:t>新建、改建、扩建的加油站在油气管线覆土、地面硬化施工之前，应向管线内注入</w:t>
                  </w:r>
                  <w:r>
                    <w:rPr>
                      <w:rFonts w:ascii="Calibri" w:hAnsi="Calibri" w:cs="Calibri"/>
                      <w:szCs w:val="21"/>
                    </w:rPr>
                    <w:t>10L</w:t>
                  </w:r>
                  <w:r>
                    <w:rPr>
                      <w:szCs w:val="21"/>
                    </w:rPr>
                    <w:t>汽油并检测液阻。</w:t>
                  </w:r>
                </w:p>
              </w:tc>
              <w:tc>
                <w:tcPr>
                  <w:tcW w:w="1568" w:type="pct"/>
                  <w:tcBorders>
                    <w:top w:val="single" w:color="auto" w:sz="4" w:space="0"/>
                    <w:left w:val="single" w:color="auto" w:sz="4" w:space="0"/>
                    <w:bottom w:val="single" w:color="auto" w:sz="4" w:space="0"/>
                    <w:right w:val="single" w:color="auto" w:sz="4" w:space="0"/>
                  </w:tcBorders>
                  <w:vAlign w:val="center"/>
                </w:tcPr>
                <w:p w14:paraId="0E873448">
                  <w:pPr>
                    <w:ind w:left="-105" w:leftChars="-50" w:right="-105" w:rightChars="-50"/>
                    <w:rPr>
                      <w:szCs w:val="21"/>
                    </w:rPr>
                  </w:pPr>
                  <w:r>
                    <w:rPr>
                      <w:rFonts w:hint="eastAsia" w:ascii="宋体" w:hAnsi="宋体" w:cs="宋体"/>
                      <w:szCs w:val="21"/>
                    </w:rPr>
                    <w:t>①</w:t>
                  </w:r>
                  <w:r>
                    <w:rPr>
                      <w:rFonts w:hint="eastAsia"/>
                      <w:szCs w:val="21"/>
                    </w:rPr>
                    <w:t>加油过程中采用真空辅助方式回收加油油气。</w:t>
                  </w:r>
                </w:p>
                <w:p w14:paraId="73ED57F7">
                  <w:pPr>
                    <w:ind w:left="-105" w:leftChars="-50" w:right="-105" w:rightChars="-50"/>
                    <w:rPr>
                      <w:szCs w:val="21"/>
                    </w:rPr>
                  </w:pPr>
                  <w:r>
                    <w:rPr>
                      <w:rFonts w:hint="eastAsia"/>
                      <w:szCs w:val="21"/>
                    </w:rPr>
                    <w:t>②</w:t>
                  </w:r>
                  <w:r>
                    <w:rPr>
                      <w:szCs w:val="21"/>
                    </w:rPr>
                    <w:t>油气回收管线应坡向油罐，坡度大于等于1%。</w:t>
                  </w:r>
                </w:p>
                <w:p w14:paraId="73548634">
                  <w:pPr>
                    <w:ind w:left="-105" w:leftChars="-50" w:right="-105" w:rightChars="-50"/>
                    <w:rPr>
                      <w:szCs w:val="21"/>
                    </w:rPr>
                  </w:pPr>
                  <w:r>
                    <w:rPr>
                      <w:rFonts w:hint="eastAsia"/>
                      <w:szCs w:val="21"/>
                    </w:rPr>
                    <w:t>③</w:t>
                  </w:r>
                  <w:r>
                    <w:rPr>
                      <w:szCs w:val="21"/>
                    </w:rPr>
                    <w:t>加油软管配备拉断截止阀，</w:t>
                  </w:r>
                  <w:r>
                    <w:rPr>
                      <w:rFonts w:hint="eastAsia"/>
                      <w:szCs w:val="21"/>
                    </w:rPr>
                    <w:t>定期对管线、接头进行检查维护，防止出现跑冒滴漏现象。</w:t>
                  </w:r>
                </w:p>
                <w:p w14:paraId="0CAD7341">
                  <w:pPr>
                    <w:ind w:left="-105" w:leftChars="-50" w:right="-105" w:rightChars="-50"/>
                    <w:rPr>
                      <w:szCs w:val="21"/>
                    </w:rPr>
                  </w:pPr>
                  <w:r>
                    <w:rPr>
                      <w:rFonts w:hint="eastAsia"/>
                      <w:szCs w:val="21"/>
                    </w:rPr>
                    <w:t>④本项目</w:t>
                  </w:r>
                  <w:r>
                    <w:rPr>
                      <w:szCs w:val="21"/>
                    </w:rPr>
                    <w:t>在油气管线覆土、地面硬化施工之前，应向管线内注入</w:t>
                  </w:r>
                  <w:r>
                    <w:rPr>
                      <w:rFonts w:ascii="Calibri" w:hAnsi="Calibri" w:cs="Calibri"/>
                      <w:szCs w:val="21"/>
                    </w:rPr>
                    <w:t>10L</w:t>
                  </w:r>
                  <w:r>
                    <w:rPr>
                      <w:szCs w:val="21"/>
                    </w:rPr>
                    <w:t>汽油并检测液阻。</w:t>
                  </w:r>
                </w:p>
              </w:tc>
              <w:tc>
                <w:tcPr>
                  <w:tcW w:w="463" w:type="pct"/>
                  <w:tcBorders>
                    <w:top w:val="single" w:color="auto" w:sz="4" w:space="0"/>
                    <w:left w:val="single" w:color="auto" w:sz="4" w:space="0"/>
                    <w:bottom w:val="single" w:color="auto" w:sz="4" w:space="0"/>
                    <w:right w:val="single" w:color="auto" w:sz="4" w:space="0"/>
                  </w:tcBorders>
                  <w:vAlign w:val="center"/>
                </w:tcPr>
                <w:p w14:paraId="752B298D">
                  <w:pPr>
                    <w:jc w:val="center"/>
                  </w:pPr>
                  <w:r>
                    <w:rPr>
                      <w:rFonts w:hint="eastAsia"/>
                    </w:rPr>
                    <w:t>符合</w:t>
                  </w:r>
                </w:p>
              </w:tc>
            </w:tr>
            <w:tr w14:paraId="7183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65" w:type="pct"/>
                  <w:tcBorders>
                    <w:left w:val="single" w:color="auto" w:sz="4" w:space="0"/>
                    <w:right w:val="single" w:color="auto" w:sz="4" w:space="0"/>
                  </w:tcBorders>
                  <w:vAlign w:val="center"/>
                </w:tcPr>
                <w:p w14:paraId="77F95324">
                  <w:pPr>
                    <w:jc w:val="center"/>
                  </w:pPr>
                  <w:r>
                    <w:rPr>
                      <w:rFonts w:hint="eastAsia"/>
                    </w:rPr>
                    <w:t>5</w:t>
                  </w:r>
                </w:p>
              </w:tc>
              <w:tc>
                <w:tcPr>
                  <w:tcW w:w="2701" w:type="pct"/>
                  <w:tcBorders>
                    <w:top w:val="single" w:color="auto" w:sz="4" w:space="0"/>
                    <w:left w:val="single" w:color="auto" w:sz="4" w:space="0"/>
                    <w:bottom w:val="single" w:color="auto" w:sz="4" w:space="0"/>
                    <w:right w:val="single" w:color="auto" w:sz="4" w:space="0"/>
                  </w:tcBorders>
                  <w:vAlign w:val="center"/>
                </w:tcPr>
                <w:p w14:paraId="32F784B7">
                  <w:pPr>
                    <w:ind w:left="-105" w:leftChars="-50" w:right="-105" w:rightChars="-50"/>
                    <w:rPr>
                      <w:szCs w:val="21"/>
                    </w:rPr>
                  </w:pPr>
                  <w:r>
                    <w:rPr>
                      <w:rFonts w:hint="eastAsia"/>
                      <w:szCs w:val="21"/>
                    </w:rPr>
                    <w:t>5、在线监测系统</w:t>
                  </w:r>
                </w:p>
                <w:p w14:paraId="5CAB250A">
                  <w:pPr>
                    <w:ind w:left="-105" w:leftChars="-50" w:right="-105" w:rightChars="-50"/>
                    <w:rPr>
                      <w:szCs w:val="21"/>
                    </w:rPr>
                  </w:pPr>
                  <w:r>
                    <w:rPr>
                      <w:rFonts w:hint="eastAsia" w:ascii="宋体" w:hAnsi="宋体" w:cs="宋体"/>
                      <w:szCs w:val="21"/>
                    </w:rPr>
                    <w:t>①</w:t>
                  </w:r>
                  <w:r>
                    <w:rPr>
                      <w:rFonts w:hint="eastAsia"/>
                      <w:szCs w:val="21"/>
                    </w:rPr>
                    <w:t>在线监测系统应能够监测每条加油枪气液比和油气回收系统压力，具备至少储存1年数据、远距离传输，具备预警、警告功能。在线监测系统监测功能、技术要求和预报警条件等见附录E。</w:t>
                  </w:r>
                </w:p>
                <w:p w14:paraId="2CB8D231">
                  <w:pPr>
                    <w:ind w:left="-105" w:leftChars="-50" w:right="-105" w:rightChars="-50"/>
                    <w:rPr>
                      <w:szCs w:val="21"/>
                    </w:rPr>
                  </w:pPr>
                  <w:r>
                    <w:rPr>
                      <w:rFonts w:hint="eastAsia"/>
                      <w:szCs w:val="21"/>
                    </w:rPr>
                    <w:t>②在线监控系统可在卸油口附近、加油机内外（加油区）、人工量油井、油气处理装置排放口等处安装浓度传感器监测油气泄漏浓度。</w:t>
                  </w:r>
                </w:p>
                <w:p w14:paraId="4964684F">
                  <w:pPr>
                    <w:ind w:left="-105" w:leftChars="-50" w:right="-105" w:rightChars="-50"/>
                    <w:rPr>
                      <w:szCs w:val="21"/>
                    </w:rPr>
                  </w:pPr>
                  <w:r>
                    <w:rPr>
                      <w:rFonts w:hint="eastAsia"/>
                      <w:szCs w:val="21"/>
                    </w:rPr>
                    <w:t>③在线监测系统可在卸油区附件、人工量油井、加油区等重点区域安装视频监测用高清摄像头，连续对卸油操作、手工量油、加油操作等进行视频录像并存储。可整合利用加油站现有视频设备，视频资料应保持3个月以上以备生态环境部门监督检查，并预留接入到环保管理平台的条件。</w:t>
                  </w:r>
                </w:p>
                <w:p w14:paraId="2C02759E">
                  <w:pPr>
                    <w:ind w:left="-105" w:leftChars="-50" w:right="-105" w:rightChars="-50"/>
                    <w:rPr>
                      <w:szCs w:val="21"/>
                    </w:rPr>
                  </w:pPr>
                  <w:r>
                    <w:rPr>
                      <w:rFonts w:hint="eastAsia"/>
                      <w:szCs w:val="21"/>
                    </w:rPr>
                    <w:t>④在线监测系统应能监测油气处理装置进出口的压力、油气温度（冷凝法）、实时运行情况和运行时间等。</w:t>
                  </w:r>
                </w:p>
              </w:tc>
              <w:tc>
                <w:tcPr>
                  <w:tcW w:w="1568" w:type="pct"/>
                  <w:tcBorders>
                    <w:top w:val="single" w:color="auto" w:sz="4" w:space="0"/>
                    <w:left w:val="single" w:color="auto" w:sz="4" w:space="0"/>
                    <w:bottom w:val="single" w:color="auto" w:sz="4" w:space="0"/>
                    <w:right w:val="single" w:color="auto" w:sz="4" w:space="0"/>
                  </w:tcBorders>
                  <w:vAlign w:val="center"/>
                </w:tcPr>
                <w:p w14:paraId="7566FCD8">
                  <w:pPr>
                    <w:ind w:left="-105" w:leftChars="-50" w:right="-105" w:rightChars="-50"/>
                    <w:jc w:val="center"/>
                    <w:rPr>
                      <w:rFonts w:ascii="宋体" w:hAnsi="宋体" w:cs="宋体"/>
                      <w:szCs w:val="21"/>
                    </w:rPr>
                  </w:pPr>
                  <w:r>
                    <w:rPr>
                      <w:rFonts w:hint="eastAsia" w:ascii="宋体" w:hAnsi="宋体" w:cs="宋体"/>
                      <w:szCs w:val="21"/>
                    </w:rPr>
                    <w:t>根据《油品储运销挥发性有机物治理实用手册》，本项目尚未达到安装在线监测系统的符合条件，故暂不安装在线监测系统。</w:t>
                  </w:r>
                </w:p>
              </w:tc>
              <w:tc>
                <w:tcPr>
                  <w:tcW w:w="463" w:type="pct"/>
                  <w:tcBorders>
                    <w:top w:val="single" w:color="auto" w:sz="4" w:space="0"/>
                    <w:left w:val="single" w:color="auto" w:sz="4" w:space="0"/>
                    <w:bottom w:val="single" w:color="auto" w:sz="4" w:space="0"/>
                    <w:right w:val="single" w:color="auto" w:sz="4" w:space="0"/>
                  </w:tcBorders>
                  <w:vAlign w:val="center"/>
                </w:tcPr>
                <w:p w14:paraId="0AFEF17E">
                  <w:pPr>
                    <w:jc w:val="center"/>
                  </w:pPr>
                  <w:r>
                    <w:rPr>
                      <w:rFonts w:hint="eastAsia"/>
                    </w:rPr>
                    <w:t>符合</w:t>
                  </w:r>
                </w:p>
              </w:tc>
            </w:tr>
            <w:tr w14:paraId="3056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65" w:type="pct"/>
                  <w:tcBorders>
                    <w:left w:val="single" w:color="auto" w:sz="4" w:space="0"/>
                    <w:right w:val="single" w:color="auto" w:sz="4" w:space="0"/>
                  </w:tcBorders>
                  <w:vAlign w:val="center"/>
                </w:tcPr>
                <w:p w14:paraId="509D2DB6">
                  <w:pPr>
                    <w:jc w:val="center"/>
                  </w:pPr>
                  <w:r>
                    <w:rPr>
                      <w:rFonts w:hint="eastAsia"/>
                    </w:rPr>
                    <w:t>6</w:t>
                  </w:r>
                </w:p>
              </w:tc>
              <w:tc>
                <w:tcPr>
                  <w:tcW w:w="2701" w:type="pct"/>
                  <w:tcBorders>
                    <w:top w:val="single" w:color="auto" w:sz="4" w:space="0"/>
                    <w:left w:val="single" w:color="auto" w:sz="4" w:space="0"/>
                    <w:bottom w:val="single" w:color="auto" w:sz="4" w:space="0"/>
                    <w:right w:val="single" w:color="auto" w:sz="4" w:space="0"/>
                  </w:tcBorders>
                  <w:vAlign w:val="center"/>
                </w:tcPr>
                <w:p w14:paraId="38EF8758">
                  <w:pPr>
                    <w:ind w:left="-105" w:leftChars="-50" w:right="-105" w:rightChars="-50"/>
                    <w:rPr>
                      <w:szCs w:val="21"/>
                    </w:rPr>
                  </w:pPr>
                  <w:r>
                    <w:rPr>
                      <w:rFonts w:hint="eastAsia"/>
                      <w:szCs w:val="21"/>
                    </w:rPr>
                    <w:t>6、油气处理装置</w:t>
                  </w:r>
                </w:p>
                <w:p w14:paraId="582807D8">
                  <w:pPr>
                    <w:ind w:left="-105" w:leftChars="-50" w:right="-105" w:rightChars="-50"/>
                    <w:rPr>
                      <w:szCs w:val="21"/>
                    </w:rPr>
                  </w:pPr>
                  <w:r>
                    <w:rPr>
                      <w:rFonts w:hint="eastAsia" w:ascii="宋体" w:hAnsi="宋体" w:cs="宋体"/>
                      <w:szCs w:val="21"/>
                    </w:rPr>
                    <w:t>①</w:t>
                  </w:r>
                  <w:r>
                    <w:rPr>
                      <w:rFonts w:hint="eastAsia"/>
                      <w:szCs w:val="21"/>
                    </w:rPr>
                    <w:t>油气处理装置启动运行的压力感应值宜设在+150Pa，停止运行的压力感应值宜设在0-50Pa或根据加油站情况自行调整。</w:t>
                  </w:r>
                </w:p>
                <w:p w14:paraId="12C1D13F">
                  <w:pPr>
                    <w:ind w:left="-105" w:leftChars="-50" w:right="-105" w:rightChars="-50"/>
                    <w:rPr>
                      <w:szCs w:val="21"/>
                    </w:rPr>
                  </w:pPr>
                  <w:r>
                    <w:rPr>
                      <w:rFonts w:hint="eastAsia"/>
                      <w:szCs w:val="21"/>
                    </w:rPr>
                    <w:t>②油气处理装置排气口距地平面高度不应小于4m ，具体高度以及与周围建筑物的距离应根据环境影响评价文件确定，排气口应设阻火器。油气处理装置回油管横向地下油罐的坡度不应小于1%。</w:t>
                  </w:r>
                </w:p>
                <w:p w14:paraId="30852751">
                  <w:pPr>
                    <w:ind w:left="-105" w:leftChars="-50" w:right="-105" w:rightChars="-50"/>
                    <w:rPr>
                      <w:szCs w:val="21"/>
                    </w:rPr>
                  </w:pPr>
                  <w:r>
                    <w:rPr>
                      <w:rFonts w:hint="eastAsia"/>
                      <w:szCs w:val="21"/>
                    </w:rPr>
                    <w:t>③油气处理装置在卸油期间应保持正常运行状态。</w:t>
                  </w:r>
                </w:p>
              </w:tc>
              <w:tc>
                <w:tcPr>
                  <w:tcW w:w="1568" w:type="pct"/>
                  <w:tcBorders>
                    <w:top w:val="single" w:color="auto" w:sz="4" w:space="0"/>
                    <w:left w:val="single" w:color="auto" w:sz="4" w:space="0"/>
                    <w:bottom w:val="single" w:color="auto" w:sz="4" w:space="0"/>
                    <w:right w:val="single" w:color="auto" w:sz="4" w:space="0"/>
                  </w:tcBorders>
                  <w:vAlign w:val="center"/>
                </w:tcPr>
                <w:p w14:paraId="7F422890">
                  <w:pPr>
                    <w:ind w:left="-105" w:leftChars="-50" w:right="-105" w:rightChars="-50"/>
                    <w:jc w:val="center"/>
                    <w:rPr>
                      <w:rFonts w:ascii="宋体" w:hAnsi="宋体" w:cs="宋体"/>
                      <w:szCs w:val="21"/>
                    </w:rPr>
                  </w:pPr>
                  <w:r>
                    <w:rPr>
                      <w:rFonts w:hint="eastAsia"/>
                      <w:szCs w:val="21"/>
                    </w:rPr>
                    <w:t>本项目预先埋设油气处理装置设备管线，且预留了油气处理装置的安装位置，待项目建成投产后，如果安徽省生态环境部门对加油站安装油气处理装置有明确要求，则按照要求增加油气处理装置。</w:t>
                  </w:r>
                </w:p>
              </w:tc>
              <w:tc>
                <w:tcPr>
                  <w:tcW w:w="463" w:type="pct"/>
                  <w:tcBorders>
                    <w:top w:val="single" w:color="auto" w:sz="4" w:space="0"/>
                    <w:left w:val="single" w:color="auto" w:sz="4" w:space="0"/>
                    <w:bottom w:val="single" w:color="auto" w:sz="4" w:space="0"/>
                    <w:right w:val="single" w:color="auto" w:sz="4" w:space="0"/>
                  </w:tcBorders>
                  <w:vAlign w:val="center"/>
                </w:tcPr>
                <w:p w14:paraId="281B09DC">
                  <w:pPr>
                    <w:jc w:val="center"/>
                  </w:pPr>
                  <w:r>
                    <w:rPr>
                      <w:rFonts w:hint="eastAsia"/>
                    </w:rPr>
                    <w:t>符合</w:t>
                  </w:r>
                </w:p>
              </w:tc>
            </w:tr>
          </w:tbl>
          <w:p w14:paraId="6F30257A">
            <w:pPr>
              <w:spacing w:line="500" w:lineRule="exact"/>
              <w:rPr>
                <w:b/>
                <w:bCs/>
                <w:color w:val="000000"/>
                <w:sz w:val="24"/>
              </w:rPr>
            </w:pPr>
            <w:r>
              <w:rPr>
                <w:rFonts w:hint="eastAsia"/>
                <w:b/>
                <w:bCs/>
                <w:color w:val="000000"/>
                <w:sz w:val="24"/>
              </w:rPr>
              <w:t>3、</w:t>
            </w:r>
            <w:r>
              <w:rPr>
                <w:b/>
                <w:bCs/>
                <w:color w:val="000000"/>
                <w:sz w:val="24"/>
              </w:rPr>
              <w:t>本项目与《汽车加油加气加站技术标准》(GB50156-2021)符合性</w:t>
            </w:r>
            <w:r>
              <w:rPr>
                <w:rFonts w:hint="eastAsia"/>
                <w:b/>
                <w:bCs/>
                <w:color w:val="000000"/>
                <w:sz w:val="24"/>
              </w:rPr>
              <w:t>分析</w:t>
            </w:r>
          </w:p>
          <w:p w14:paraId="251ABB79">
            <w:pPr>
              <w:spacing w:line="50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本项目新建油罐区</w:t>
            </w:r>
            <w:r>
              <w:rPr>
                <w:rFonts w:hint="eastAsia"/>
                <w:color w:val="000000" w:themeColor="text1"/>
                <w:sz w:val="24"/>
                <w14:textFill>
                  <w14:solidFill>
                    <w14:schemeClr w14:val="tx1"/>
                  </w14:solidFill>
                </w14:textFill>
              </w:rPr>
              <w:t>90㎡，20m³</w:t>
            </w:r>
            <w:r>
              <w:rPr>
                <w:rFonts w:hint="eastAsia"/>
                <w:color w:val="000000" w:themeColor="text1"/>
                <w:sz w:val="24"/>
                <w:lang w:val="en-US" w:eastAsia="zh-CN"/>
                <w14:textFill>
                  <w14:solidFill>
                    <w14:schemeClr w14:val="tx1"/>
                  </w14:solidFill>
                </w14:textFill>
              </w:rPr>
              <w:t>汽</w:t>
            </w:r>
            <w:r>
              <w:rPr>
                <w:rFonts w:hint="eastAsia"/>
                <w:color w:val="000000" w:themeColor="text1"/>
                <w:sz w:val="24"/>
                <w14:textFill>
                  <w14:solidFill>
                    <w14:schemeClr w14:val="tx1"/>
                  </w14:solidFill>
                </w14:textFill>
              </w:rPr>
              <w:t>油储罐4台、20m³</w:t>
            </w:r>
            <w:r>
              <w:rPr>
                <w:rFonts w:hint="eastAsia"/>
                <w:color w:val="000000" w:themeColor="text1"/>
                <w:sz w:val="24"/>
                <w:lang w:val="en-US" w:eastAsia="zh-CN"/>
                <w14:textFill>
                  <w14:solidFill>
                    <w14:schemeClr w14:val="tx1"/>
                  </w14:solidFill>
                </w14:textFill>
              </w:rPr>
              <w:t>柴油</w:t>
            </w:r>
            <w:r>
              <w:rPr>
                <w:rFonts w:hint="eastAsia"/>
                <w:color w:val="000000" w:themeColor="text1"/>
                <w:sz w:val="24"/>
                <w14:textFill>
                  <w14:solidFill>
                    <w14:schemeClr w14:val="tx1"/>
                  </w14:solidFill>
                </w14:textFill>
              </w:rPr>
              <w:t>储罐1台</w:t>
            </w:r>
            <w:r>
              <w:rPr>
                <w:color w:val="000000" w:themeColor="text1"/>
                <w:sz w:val="24"/>
                <w14:textFill>
                  <w14:solidFill>
                    <w14:schemeClr w14:val="tx1"/>
                  </w14:solidFill>
                </w14:textFill>
              </w:rPr>
              <w:t>，折合总容积</w:t>
            </w:r>
            <w:r>
              <w:rPr>
                <w:rFonts w:hint="eastAsia"/>
                <w:color w:val="000000" w:themeColor="text1"/>
                <w:sz w:val="24"/>
                <w14:textFill>
                  <w14:solidFill>
                    <w14:schemeClr w14:val="tx1"/>
                  </w14:solidFill>
                </w14:textFill>
              </w:rPr>
              <w:t>90m³</w:t>
            </w:r>
            <w:r>
              <w:rPr>
                <w:color w:val="000000" w:themeColor="text1"/>
                <w:sz w:val="24"/>
                <w14:textFill>
                  <w14:solidFill>
                    <w14:schemeClr w14:val="tx1"/>
                  </w14:solidFill>
                </w14:textFill>
              </w:rPr>
              <w:t>(柴油折半计)，根据《汽车加油加气加氢站技术标准》 (GB50156-2021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可知</w:t>
            </w:r>
            <w:r>
              <w:rPr>
                <w:rFonts w:hint="eastAsia"/>
                <w:color w:val="000000" w:themeColor="text1"/>
                <w:sz w:val="24"/>
                <w14:textFill>
                  <w14:solidFill>
                    <w14:schemeClr w14:val="tx1"/>
                  </w14:solidFill>
                </w14:textFill>
              </w:rPr>
              <w:t>，确定</w:t>
            </w: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属于三级加油</w:t>
            </w:r>
            <w:r>
              <w:rPr>
                <w:color w:val="000000" w:themeColor="text1"/>
                <w:sz w:val="24"/>
                <w14:textFill>
                  <w14:solidFill>
                    <w14:schemeClr w14:val="tx1"/>
                  </w14:solidFill>
                </w14:textFill>
              </w:rPr>
              <w:t>站。具体等级划分见表1-</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所示。</w:t>
            </w:r>
          </w:p>
          <w:p w14:paraId="0D96D811">
            <w:pPr>
              <w:spacing w:line="500" w:lineRule="exact"/>
              <w:ind w:firstLine="360" w:firstLineChars="200"/>
              <w:jc w:val="center"/>
              <w:rPr>
                <w:color w:val="000000" w:themeColor="text1"/>
                <w14:textFill>
                  <w14:solidFill>
                    <w14:schemeClr w14:val="tx1"/>
                  </w14:solidFill>
                </w14:textFill>
              </w:rPr>
            </w:pPr>
            <w:r>
              <w:rPr>
                <w:rFonts w:hint="eastAsia"/>
                <w:color w:val="000000"/>
                <w:sz w:val="18"/>
                <w:szCs w:val="18"/>
              </w:rPr>
              <w:drawing>
                <wp:anchor distT="0" distB="0" distL="114300" distR="114300" simplePos="0" relativeHeight="251688960" behindDoc="0" locked="0" layoutInCell="1" allowOverlap="1">
                  <wp:simplePos x="0" y="0"/>
                  <wp:positionH relativeFrom="column">
                    <wp:posOffset>17780</wp:posOffset>
                  </wp:positionH>
                  <wp:positionV relativeFrom="paragraph">
                    <wp:posOffset>301625</wp:posOffset>
                  </wp:positionV>
                  <wp:extent cx="5193665" cy="1556385"/>
                  <wp:effectExtent l="0" t="0" r="3175" b="13335"/>
                  <wp:wrapNone/>
                  <wp:docPr id="5" name="图片 5" descr="173891156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38911562929"/>
                          <pic:cNvPicPr>
                            <a:picLocks noChangeAspect="1"/>
                          </pic:cNvPicPr>
                        </pic:nvPicPr>
                        <pic:blipFill>
                          <a:blip r:embed="rId8"/>
                          <a:stretch>
                            <a:fillRect/>
                          </a:stretch>
                        </pic:blipFill>
                        <pic:spPr>
                          <a:xfrm>
                            <a:off x="0" y="0"/>
                            <a:ext cx="5193665" cy="1556385"/>
                          </a:xfrm>
                          <a:prstGeom prst="rect">
                            <a:avLst/>
                          </a:prstGeom>
                        </pic:spPr>
                      </pic:pic>
                    </a:graphicData>
                  </a:graphic>
                </wp:anchor>
              </w:drawing>
            </w:r>
            <w:r>
              <w:rPr>
                <w:rFonts w:hint="eastAsia"/>
                <w:b/>
                <w:bCs/>
                <w:color w:val="000000" w:themeColor="text1"/>
                <w:sz w:val="24"/>
                <w14:textFill>
                  <w14:solidFill>
                    <w14:schemeClr w14:val="tx1"/>
                  </w14:solidFill>
                </w14:textFill>
              </w:rPr>
              <w:t>表1-6 加油站等级划分</w:t>
            </w:r>
          </w:p>
          <w:p w14:paraId="6EEBC61C">
            <w:pPr>
              <w:spacing w:line="500" w:lineRule="exact"/>
              <w:ind w:firstLine="360" w:firstLineChars="200"/>
              <w:rPr>
                <w:color w:val="000000"/>
                <w:sz w:val="18"/>
                <w:szCs w:val="18"/>
              </w:rPr>
            </w:pPr>
          </w:p>
          <w:p w14:paraId="661C1A61">
            <w:pPr>
              <w:spacing w:line="500" w:lineRule="exact"/>
              <w:ind w:firstLine="360" w:firstLineChars="200"/>
              <w:rPr>
                <w:color w:val="000000"/>
                <w:sz w:val="18"/>
                <w:szCs w:val="18"/>
              </w:rPr>
            </w:pPr>
          </w:p>
          <w:p w14:paraId="5F2CDEF7">
            <w:pPr>
              <w:spacing w:line="500" w:lineRule="exact"/>
              <w:ind w:firstLine="360" w:firstLineChars="200"/>
              <w:rPr>
                <w:color w:val="000000"/>
                <w:sz w:val="18"/>
                <w:szCs w:val="18"/>
              </w:rPr>
            </w:pPr>
          </w:p>
          <w:p w14:paraId="5772A0DE">
            <w:pPr>
              <w:spacing w:line="500" w:lineRule="exact"/>
              <w:ind w:firstLine="360" w:firstLineChars="200"/>
              <w:rPr>
                <w:color w:val="000000"/>
                <w:sz w:val="18"/>
                <w:szCs w:val="18"/>
              </w:rPr>
            </w:pPr>
          </w:p>
          <w:p w14:paraId="63923725">
            <w:pPr>
              <w:spacing w:line="500" w:lineRule="exact"/>
              <w:ind w:firstLine="360" w:firstLineChars="200"/>
              <w:rPr>
                <w:color w:val="000000"/>
                <w:sz w:val="18"/>
                <w:szCs w:val="18"/>
              </w:rPr>
            </w:pPr>
          </w:p>
          <w:p w14:paraId="7B5A5FC1">
            <w:pPr>
              <w:spacing w:line="520" w:lineRule="exact"/>
              <w:rPr>
                <w:b/>
                <w:color w:val="000000"/>
                <w:sz w:val="24"/>
                <w:lang w:val="en-GB"/>
              </w:rPr>
            </w:pPr>
            <w:r>
              <w:rPr>
                <w:b/>
                <w:bCs/>
                <w:color w:val="000000"/>
                <w:sz w:val="24"/>
              </w:rPr>
              <w:t>2</w:t>
            </w:r>
            <w:r>
              <w:rPr>
                <w:rFonts w:hint="eastAsia"/>
                <w:b/>
                <w:bCs/>
                <w:color w:val="000000"/>
                <w:sz w:val="24"/>
              </w:rPr>
              <w:t>、</w:t>
            </w:r>
            <w:r>
              <w:rPr>
                <w:b/>
                <w:color w:val="000000"/>
                <w:sz w:val="24"/>
              </w:rPr>
              <w:t>与“安徽省2021年应对气候变化和大气污染防治重点工作任务”符合性分析</w:t>
            </w:r>
          </w:p>
          <w:p w14:paraId="55185CBB">
            <w:pPr>
              <w:spacing w:line="520" w:lineRule="exact"/>
              <w:jc w:val="center"/>
              <w:rPr>
                <w:b/>
                <w:color w:val="000000"/>
                <w:sz w:val="24"/>
              </w:rPr>
            </w:pPr>
            <w:r>
              <w:rPr>
                <w:b/>
                <w:color w:val="000000"/>
                <w:sz w:val="24"/>
              </w:rPr>
              <w:t>表1-</w:t>
            </w:r>
            <w:r>
              <w:rPr>
                <w:rFonts w:hint="eastAsia"/>
                <w:b/>
                <w:color w:val="000000"/>
                <w:sz w:val="24"/>
              </w:rPr>
              <w:t>7</w:t>
            </w:r>
            <w:r>
              <w:rPr>
                <w:b/>
                <w:color w:val="000000"/>
                <w:sz w:val="24"/>
              </w:rPr>
              <w:t xml:space="preserve">   “安徽省2021年应对气候变化和大气污染防治重点工作任务”符合性分析（皖大气办函[2021]3号）</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5053"/>
              <w:gridCol w:w="1716"/>
              <w:gridCol w:w="757"/>
            </w:tblGrid>
            <w:tr w14:paraId="345B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94" w:type="pct"/>
                  <w:tcBorders>
                    <w:top w:val="single" w:color="auto" w:sz="4" w:space="0"/>
                    <w:left w:val="single" w:color="auto" w:sz="4" w:space="0"/>
                    <w:bottom w:val="single" w:color="auto" w:sz="4" w:space="0"/>
                    <w:right w:val="single" w:color="auto" w:sz="4" w:space="0"/>
                  </w:tcBorders>
                  <w:vAlign w:val="center"/>
                </w:tcPr>
                <w:p w14:paraId="22AA683F">
                  <w:pPr>
                    <w:snapToGrid w:val="0"/>
                    <w:ind w:left="-73" w:leftChars="-35" w:right="-94" w:rightChars="-45"/>
                    <w:rPr>
                      <w:color w:val="000000"/>
                      <w:szCs w:val="21"/>
                    </w:rPr>
                  </w:pPr>
                  <w:r>
                    <w:rPr>
                      <w:color w:val="000000"/>
                      <w:szCs w:val="21"/>
                    </w:rPr>
                    <w:t>序号</w:t>
                  </w:r>
                </w:p>
              </w:tc>
              <w:tc>
                <w:tcPr>
                  <w:tcW w:w="3092" w:type="pct"/>
                  <w:tcBorders>
                    <w:top w:val="single" w:color="auto" w:sz="4" w:space="0"/>
                    <w:left w:val="single" w:color="auto" w:sz="4" w:space="0"/>
                    <w:bottom w:val="single" w:color="auto" w:sz="4" w:space="0"/>
                    <w:right w:val="single" w:color="auto" w:sz="4" w:space="0"/>
                  </w:tcBorders>
                  <w:vAlign w:val="center"/>
                </w:tcPr>
                <w:p w14:paraId="7E6E0B74">
                  <w:pPr>
                    <w:snapToGrid w:val="0"/>
                    <w:rPr>
                      <w:color w:val="000000"/>
                      <w:szCs w:val="21"/>
                    </w:rPr>
                  </w:pPr>
                  <w:r>
                    <w:rPr>
                      <w:color w:val="000000"/>
                      <w:szCs w:val="21"/>
                    </w:rPr>
                    <w:t>要求内容</w:t>
                  </w:r>
                </w:p>
              </w:tc>
              <w:tc>
                <w:tcPr>
                  <w:tcW w:w="1050" w:type="pct"/>
                  <w:tcBorders>
                    <w:top w:val="single" w:color="auto" w:sz="4" w:space="0"/>
                    <w:left w:val="single" w:color="auto" w:sz="4" w:space="0"/>
                    <w:bottom w:val="single" w:color="auto" w:sz="4" w:space="0"/>
                    <w:right w:val="single" w:color="auto" w:sz="4" w:space="0"/>
                  </w:tcBorders>
                  <w:vAlign w:val="center"/>
                </w:tcPr>
                <w:p w14:paraId="5EBA67C9">
                  <w:pPr>
                    <w:snapToGrid w:val="0"/>
                    <w:rPr>
                      <w:color w:val="000000"/>
                      <w:szCs w:val="21"/>
                    </w:rPr>
                  </w:pPr>
                  <w:r>
                    <w:rPr>
                      <w:color w:val="000000"/>
                      <w:szCs w:val="21"/>
                    </w:rPr>
                    <w:t>企业状况</w:t>
                  </w:r>
                </w:p>
              </w:tc>
              <w:tc>
                <w:tcPr>
                  <w:tcW w:w="463" w:type="pct"/>
                  <w:tcBorders>
                    <w:top w:val="single" w:color="auto" w:sz="4" w:space="0"/>
                    <w:left w:val="single" w:color="auto" w:sz="4" w:space="0"/>
                    <w:bottom w:val="single" w:color="auto" w:sz="4" w:space="0"/>
                    <w:right w:val="single" w:color="auto" w:sz="4" w:space="0"/>
                  </w:tcBorders>
                  <w:vAlign w:val="center"/>
                </w:tcPr>
                <w:p w14:paraId="302C7398">
                  <w:pPr>
                    <w:snapToGrid w:val="0"/>
                    <w:ind w:left="-107" w:leftChars="-51" w:right="-101" w:rightChars="-48"/>
                    <w:rPr>
                      <w:color w:val="000000"/>
                      <w:szCs w:val="21"/>
                    </w:rPr>
                  </w:pPr>
                  <w:r>
                    <w:rPr>
                      <w:color w:val="000000"/>
                      <w:szCs w:val="21"/>
                    </w:rPr>
                    <w:t>相符性</w:t>
                  </w:r>
                </w:p>
              </w:tc>
            </w:tr>
            <w:tr w14:paraId="199D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tcBorders>
                    <w:top w:val="single" w:color="auto" w:sz="4" w:space="0"/>
                    <w:left w:val="single" w:color="auto" w:sz="4" w:space="0"/>
                    <w:bottom w:val="single" w:color="auto" w:sz="4" w:space="0"/>
                    <w:right w:val="single" w:color="auto" w:sz="4" w:space="0"/>
                  </w:tcBorders>
                  <w:vAlign w:val="center"/>
                </w:tcPr>
                <w:p w14:paraId="314F3DA6">
                  <w:pPr>
                    <w:snapToGrid w:val="0"/>
                    <w:rPr>
                      <w:color w:val="000000"/>
                      <w:szCs w:val="21"/>
                    </w:rPr>
                  </w:pPr>
                  <w:r>
                    <w:rPr>
                      <w:color w:val="000000"/>
                      <w:szCs w:val="21"/>
                    </w:rPr>
                    <w:t>1</w:t>
                  </w:r>
                </w:p>
              </w:tc>
              <w:tc>
                <w:tcPr>
                  <w:tcW w:w="3092" w:type="pct"/>
                  <w:tcBorders>
                    <w:top w:val="single" w:color="auto" w:sz="4" w:space="0"/>
                    <w:left w:val="single" w:color="auto" w:sz="4" w:space="0"/>
                    <w:bottom w:val="single" w:color="auto" w:sz="4" w:space="0"/>
                    <w:right w:val="single" w:color="auto" w:sz="4" w:space="0"/>
                  </w:tcBorders>
                  <w:vAlign w:val="center"/>
                </w:tcPr>
                <w:p w14:paraId="47FCD97A">
                  <w:pPr>
                    <w:snapToGrid w:val="0"/>
                    <w:rPr>
                      <w:color w:val="000000"/>
                      <w:szCs w:val="21"/>
                    </w:rPr>
                  </w:pPr>
                  <w:r>
                    <w:rPr>
                      <w:color w:val="000000"/>
                      <w:szCs w:val="21"/>
                    </w:rPr>
                    <w:t>优化产业</w:t>
                  </w:r>
                  <w:r>
                    <w:rPr>
                      <w:rFonts w:hint="eastAsia"/>
                      <w:color w:val="000000"/>
                      <w:szCs w:val="21"/>
                    </w:rPr>
                    <w:t>结构</w:t>
                  </w:r>
                  <w:r>
                    <w:rPr>
                      <w:color w:val="000000"/>
                      <w:szCs w:val="21"/>
                    </w:rPr>
                    <w:t>及布局。对标节能减排要求和碳达峰碳中和目标，坚决遏制高耗能高排放项目盲目发展。提高新建项目节能环保准入标准，加大落后和过剩产能压减力度。严格执行国家高耗能、髙污染和高资源型行业准入条件，钢铁、水泥熟料、平板玻璃、炼化、焦化、铝冶炼等新、扩建项目严格实施产能减量置换，不再新建未纳入国家规划的炼油、煤化工等项目。加快推动沿江地区制造业绿色发展，创建一批国家绿色工厂、绿色设计产品、绿色工业园区、绿色供应链管理企业。以清洁生产一级水平为标杆，加快传统产业技术改造，推动我省长三角中心区内8市钢铁、石化、有色金属、建材、船舶、纺织印染、酿造等传统产业绿色转型。严格按照《产业结构调整指导目录》，支持发展先进产能，依法淘汰落后产能，建立“散乱污”企业动态管理机制，坚决杜绝“散乱污"企业异地转移，严防死灰复燃。</w:t>
                  </w:r>
                </w:p>
              </w:tc>
              <w:tc>
                <w:tcPr>
                  <w:tcW w:w="1050" w:type="pct"/>
                  <w:tcBorders>
                    <w:top w:val="single" w:color="auto" w:sz="4" w:space="0"/>
                    <w:left w:val="single" w:color="auto" w:sz="4" w:space="0"/>
                    <w:bottom w:val="single" w:color="auto" w:sz="4" w:space="0"/>
                    <w:right w:val="single" w:color="auto" w:sz="4" w:space="0"/>
                  </w:tcBorders>
                  <w:vAlign w:val="center"/>
                </w:tcPr>
                <w:p w14:paraId="4A3004CC">
                  <w:pPr>
                    <w:snapToGrid w:val="0"/>
                    <w:ind w:left="-99" w:leftChars="-47" w:right="-63" w:rightChars="-30"/>
                    <w:jc w:val="center"/>
                    <w:rPr>
                      <w:color w:val="000000"/>
                      <w:szCs w:val="21"/>
                    </w:rPr>
                  </w:pPr>
                  <w:r>
                    <w:rPr>
                      <w:rFonts w:hint="eastAsia"/>
                      <w:color w:val="000000"/>
                      <w:szCs w:val="21"/>
                    </w:rPr>
                    <w:t>本项目属于F5265机动车燃油零售，根据《产业结构调整指导目录（2024年本）》属于允许类，符合产业政策。</w:t>
                  </w:r>
                </w:p>
              </w:tc>
              <w:tc>
                <w:tcPr>
                  <w:tcW w:w="463" w:type="pct"/>
                  <w:tcBorders>
                    <w:top w:val="single" w:color="auto" w:sz="4" w:space="0"/>
                    <w:left w:val="single" w:color="auto" w:sz="4" w:space="0"/>
                    <w:bottom w:val="single" w:color="auto" w:sz="4" w:space="0"/>
                    <w:right w:val="single" w:color="auto" w:sz="4" w:space="0"/>
                  </w:tcBorders>
                  <w:vAlign w:val="center"/>
                </w:tcPr>
                <w:p w14:paraId="2F34DA08">
                  <w:pPr>
                    <w:snapToGrid w:val="0"/>
                    <w:rPr>
                      <w:color w:val="000000"/>
                      <w:szCs w:val="21"/>
                    </w:rPr>
                  </w:pPr>
                  <w:r>
                    <w:rPr>
                      <w:color w:val="000000"/>
                      <w:szCs w:val="21"/>
                    </w:rPr>
                    <w:t>符合</w:t>
                  </w:r>
                </w:p>
              </w:tc>
            </w:tr>
            <w:tr w14:paraId="3FCA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atLeast"/>
                <w:jc w:val="center"/>
              </w:trPr>
              <w:tc>
                <w:tcPr>
                  <w:tcW w:w="394" w:type="pct"/>
                  <w:tcBorders>
                    <w:top w:val="single" w:color="auto" w:sz="4" w:space="0"/>
                    <w:left w:val="single" w:color="auto" w:sz="4" w:space="0"/>
                    <w:bottom w:val="single" w:color="auto" w:sz="4" w:space="0"/>
                    <w:right w:val="single" w:color="auto" w:sz="4" w:space="0"/>
                  </w:tcBorders>
                  <w:vAlign w:val="center"/>
                </w:tcPr>
                <w:p w14:paraId="3D411C4E">
                  <w:pPr>
                    <w:snapToGrid w:val="0"/>
                    <w:rPr>
                      <w:color w:val="000000"/>
                      <w:szCs w:val="21"/>
                    </w:rPr>
                  </w:pPr>
                  <w:r>
                    <w:rPr>
                      <w:color w:val="000000"/>
                      <w:szCs w:val="21"/>
                    </w:rPr>
                    <w:t>2</w:t>
                  </w:r>
                </w:p>
              </w:tc>
              <w:tc>
                <w:tcPr>
                  <w:tcW w:w="3092" w:type="pct"/>
                  <w:tcBorders>
                    <w:top w:val="single" w:color="auto" w:sz="4" w:space="0"/>
                    <w:left w:val="single" w:color="auto" w:sz="4" w:space="0"/>
                    <w:bottom w:val="single" w:color="auto" w:sz="4" w:space="0"/>
                    <w:right w:val="single" w:color="auto" w:sz="4" w:space="0"/>
                  </w:tcBorders>
                  <w:vAlign w:val="center"/>
                </w:tcPr>
                <w:p w14:paraId="05E7B355">
                  <w:pPr>
                    <w:snapToGrid w:val="0"/>
                    <w:rPr>
                      <w:color w:val="000000"/>
                      <w:szCs w:val="21"/>
                    </w:rPr>
                  </w:pPr>
                  <w:r>
                    <w:rPr>
                      <w:color w:val="000000"/>
                      <w:szCs w:val="21"/>
                    </w:rPr>
                    <w:t>加快区域产业调整。加快推进城市建成区重污染企业搬迁改造、兼并重组、转型升级或关闭退出，继续推动实施水泥、钢铁、玻璃、焦化、化工等重污染企业搬迁工程。沿江城市要全面落实“1515”三道防线和“禁新建、减存量、关污源、进园区、建新绿、纳统管、强机制”七项举措，推进化工企业关闭或搬迁至合规园区</w:t>
                  </w:r>
                </w:p>
              </w:tc>
              <w:tc>
                <w:tcPr>
                  <w:tcW w:w="1050" w:type="pct"/>
                  <w:tcBorders>
                    <w:top w:val="single" w:color="auto" w:sz="4" w:space="0"/>
                    <w:left w:val="single" w:color="auto" w:sz="4" w:space="0"/>
                    <w:bottom w:val="single" w:color="auto" w:sz="4" w:space="0"/>
                    <w:right w:val="single" w:color="auto" w:sz="4" w:space="0"/>
                  </w:tcBorders>
                  <w:vAlign w:val="center"/>
                </w:tcPr>
                <w:p w14:paraId="24D772F0">
                  <w:pPr>
                    <w:snapToGrid w:val="0"/>
                    <w:jc w:val="center"/>
                    <w:rPr>
                      <w:color w:val="000000"/>
                      <w:szCs w:val="21"/>
                    </w:rPr>
                  </w:pPr>
                  <w:r>
                    <w:rPr>
                      <w:color w:val="000000"/>
                      <w:szCs w:val="21"/>
                    </w:rPr>
                    <w:t>本项</w:t>
                  </w:r>
                  <w:r>
                    <w:rPr>
                      <w:rFonts w:hint="eastAsia"/>
                      <w:color w:val="000000"/>
                      <w:szCs w:val="21"/>
                    </w:rPr>
                    <w:t>目属于机动车燃油零售</w:t>
                  </w:r>
                </w:p>
              </w:tc>
              <w:tc>
                <w:tcPr>
                  <w:tcW w:w="463" w:type="pct"/>
                  <w:tcBorders>
                    <w:top w:val="single" w:color="auto" w:sz="4" w:space="0"/>
                    <w:left w:val="single" w:color="auto" w:sz="4" w:space="0"/>
                    <w:bottom w:val="single" w:color="auto" w:sz="4" w:space="0"/>
                    <w:right w:val="single" w:color="auto" w:sz="4" w:space="0"/>
                  </w:tcBorders>
                  <w:vAlign w:val="center"/>
                </w:tcPr>
                <w:p w14:paraId="7861175C">
                  <w:pPr>
                    <w:snapToGrid w:val="0"/>
                    <w:rPr>
                      <w:color w:val="000000"/>
                      <w:szCs w:val="21"/>
                    </w:rPr>
                  </w:pPr>
                  <w:r>
                    <w:rPr>
                      <w:color w:val="000000"/>
                      <w:szCs w:val="21"/>
                    </w:rPr>
                    <w:t>符合</w:t>
                  </w:r>
                </w:p>
              </w:tc>
            </w:tr>
            <w:tr w14:paraId="5E99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jc w:val="center"/>
              </w:trPr>
              <w:tc>
                <w:tcPr>
                  <w:tcW w:w="394" w:type="pct"/>
                  <w:tcBorders>
                    <w:top w:val="single" w:color="auto" w:sz="4" w:space="0"/>
                    <w:left w:val="single" w:color="auto" w:sz="4" w:space="0"/>
                    <w:bottom w:val="single" w:color="auto" w:sz="4" w:space="0"/>
                    <w:right w:val="single" w:color="auto" w:sz="4" w:space="0"/>
                  </w:tcBorders>
                  <w:vAlign w:val="center"/>
                </w:tcPr>
                <w:p w14:paraId="450C2C90">
                  <w:pPr>
                    <w:snapToGrid w:val="0"/>
                    <w:rPr>
                      <w:color w:val="000000"/>
                      <w:szCs w:val="21"/>
                    </w:rPr>
                  </w:pPr>
                  <w:r>
                    <w:rPr>
                      <w:color w:val="000000"/>
                      <w:szCs w:val="21"/>
                    </w:rPr>
                    <w:t>3</w:t>
                  </w:r>
                </w:p>
              </w:tc>
              <w:tc>
                <w:tcPr>
                  <w:tcW w:w="3092" w:type="pct"/>
                  <w:tcBorders>
                    <w:top w:val="single" w:color="auto" w:sz="4" w:space="0"/>
                    <w:left w:val="single" w:color="auto" w:sz="4" w:space="0"/>
                    <w:bottom w:val="single" w:color="auto" w:sz="4" w:space="0"/>
                    <w:right w:val="single" w:color="auto" w:sz="4" w:space="0"/>
                  </w:tcBorders>
                  <w:vAlign w:val="center"/>
                </w:tcPr>
                <w:p w14:paraId="7F1679F5">
                  <w:pPr>
                    <w:snapToGrid w:val="0"/>
                    <w:rPr>
                      <w:color w:val="000000"/>
                      <w:szCs w:val="21"/>
                      <w:lang w:bidi="zh-TW"/>
                    </w:rPr>
                  </w:pPr>
                  <w:r>
                    <w:rPr>
                      <w:color w:val="000000"/>
                      <w:szCs w:val="21"/>
                      <w:lang w:bidi="zh-TW"/>
                    </w:rPr>
                    <w:t>推进重点行业提标改造。鼓励电力行业实施超净排放改造，其他行业参照重污染天气应急减排指南</w:t>
                  </w:r>
                  <w:r>
                    <w:rPr>
                      <w:color w:val="000000"/>
                      <w:szCs w:val="21"/>
                      <w:lang w:bidi="en-US"/>
                    </w:rPr>
                    <w:t>B</w:t>
                  </w:r>
                  <w:r>
                    <w:rPr>
                      <w:color w:val="000000"/>
                      <w:szCs w:val="21"/>
                      <w:lang w:bidi="zh-TW"/>
                    </w:rPr>
                    <w:t>级以上绩效开展提标改造。制定安徽省玻璃等行业大气污染物排放标准，推动建材类企业提标改造；已纳入排污许可证管理的铸造、砖瓦、胶合板等行业企业，开展整合升级改造示范；未纳入排污许可证的企业依法责令停产整治直至停业关闭。</w:t>
                  </w:r>
                </w:p>
              </w:tc>
              <w:tc>
                <w:tcPr>
                  <w:tcW w:w="1050" w:type="pct"/>
                  <w:tcBorders>
                    <w:top w:val="single" w:color="auto" w:sz="4" w:space="0"/>
                    <w:left w:val="single" w:color="auto" w:sz="4" w:space="0"/>
                    <w:bottom w:val="single" w:color="auto" w:sz="4" w:space="0"/>
                    <w:right w:val="single" w:color="auto" w:sz="4" w:space="0"/>
                  </w:tcBorders>
                  <w:vAlign w:val="center"/>
                </w:tcPr>
                <w:p w14:paraId="1C51B08E">
                  <w:pPr>
                    <w:snapToGrid w:val="0"/>
                    <w:ind w:left="-99" w:leftChars="-47" w:right="-63" w:rightChars="-30"/>
                    <w:jc w:val="center"/>
                    <w:rPr>
                      <w:color w:val="000000"/>
                      <w:szCs w:val="21"/>
                    </w:rPr>
                  </w:pPr>
                  <w:r>
                    <w:rPr>
                      <w:color w:val="000000"/>
                      <w:szCs w:val="21"/>
                    </w:rPr>
                    <w:t>本项目</w:t>
                  </w:r>
                  <w:r>
                    <w:rPr>
                      <w:color w:val="000000"/>
                      <w:szCs w:val="21"/>
                      <w:lang w:bidi="zh-TW"/>
                    </w:rPr>
                    <w:t>参照重污染天气应急减排</w:t>
                  </w:r>
                  <w:r>
                    <w:rPr>
                      <w:rFonts w:hint="eastAsia"/>
                      <w:color w:val="000000"/>
                      <w:szCs w:val="21"/>
                    </w:rPr>
                    <w:t>指南</w:t>
                  </w:r>
                  <w:r>
                    <w:rPr>
                      <w:color w:val="000000"/>
                      <w:szCs w:val="21"/>
                      <w:lang w:bidi="en-US"/>
                    </w:rPr>
                    <w:t>B</w:t>
                  </w:r>
                  <w:r>
                    <w:rPr>
                      <w:color w:val="000000"/>
                      <w:szCs w:val="21"/>
                      <w:lang w:bidi="zh-TW"/>
                    </w:rPr>
                    <w:t>级以上绩效开展建设</w:t>
                  </w:r>
                </w:p>
              </w:tc>
              <w:tc>
                <w:tcPr>
                  <w:tcW w:w="463" w:type="pct"/>
                  <w:tcBorders>
                    <w:top w:val="single" w:color="auto" w:sz="4" w:space="0"/>
                    <w:left w:val="single" w:color="auto" w:sz="4" w:space="0"/>
                    <w:bottom w:val="single" w:color="auto" w:sz="4" w:space="0"/>
                    <w:right w:val="single" w:color="auto" w:sz="4" w:space="0"/>
                  </w:tcBorders>
                  <w:vAlign w:val="center"/>
                </w:tcPr>
                <w:p w14:paraId="04EEF781">
                  <w:pPr>
                    <w:snapToGrid w:val="0"/>
                    <w:rPr>
                      <w:color w:val="000000"/>
                      <w:szCs w:val="21"/>
                    </w:rPr>
                  </w:pPr>
                  <w:r>
                    <w:rPr>
                      <w:color w:val="000000"/>
                      <w:szCs w:val="21"/>
                    </w:rPr>
                    <w:t>符合</w:t>
                  </w:r>
                </w:p>
              </w:tc>
            </w:tr>
            <w:tr w14:paraId="74E9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tcBorders>
                    <w:top w:val="single" w:color="auto" w:sz="4" w:space="0"/>
                    <w:left w:val="single" w:color="auto" w:sz="4" w:space="0"/>
                    <w:bottom w:val="single" w:color="auto" w:sz="4" w:space="0"/>
                    <w:right w:val="single" w:color="auto" w:sz="4" w:space="0"/>
                  </w:tcBorders>
                  <w:vAlign w:val="center"/>
                </w:tcPr>
                <w:p w14:paraId="4B8E9649">
                  <w:pPr>
                    <w:snapToGrid w:val="0"/>
                    <w:rPr>
                      <w:color w:val="000000"/>
                      <w:szCs w:val="21"/>
                    </w:rPr>
                  </w:pPr>
                  <w:r>
                    <w:rPr>
                      <w:color w:val="000000"/>
                      <w:szCs w:val="21"/>
                    </w:rPr>
                    <w:t>4</w:t>
                  </w:r>
                </w:p>
              </w:tc>
              <w:tc>
                <w:tcPr>
                  <w:tcW w:w="3092" w:type="pct"/>
                  <w:tcBorders>
                    <w:top w:val="single" w:color="auto" w:sz="4" w:space="0"/>
                    <w:left w:val="single" w:color="auto" w:sz="4" w:space="0"/>
                    <w:bottom w:val="single" w:color="auto" w:sz="4" w:space="0"/>
                    <w:right w:val="single" w:color="auto" w:sz="4" w:space="0"/>
                  </w:tcBorders>
                  <w:vAlign w:val="center"/>
                </w:tcPr>
                <w:p w14:paraId="38285493">
                  <w:pPr>
                    <w:snapToGrid w:val="0"/>
                    <w:rPr>
                      <w:color w:val="000000"/>
                      <w:szCs w:val="21"/>
                    </w:rPr>
                  </w:pPr>
                  <w:r>
                    <w:rPr>
                      <w:color w:val="000000"/>
                      <w:szCs w:val="21"/>
                    </w:rPr>
                    <w:t>开展锅炉炉窑深度治理。进一步摸排清理现有燃煤小热电和燃煤锅炉,确保区域内35蒸吨/小时以下燃煤锅炉清零。加快推进30万千瓦及以上热电联产机组供热半径30公里范围内燃煤锅炉和低效燃煤小热电关停整合，积极推进陶瓷、玻璃、铸造等行业清洁燃料替代工程；清理整治无法稳定达标排放的工业炉窑锅炉，取缔不达标燃料类煤气发生炉；4月底前，摸排全省生物质锅炉并建立台账，年底前完成建成区生物质锅炉超低排放改造，淘汰不能稳定达标（特排标准）的生物质锅炉和非生物质专用锅炉。</w:t>
                  </w:r>
                </w:p>
              </w:tc>
              <w:tc>
                <w:tcPr>
                  <w:tcW w:w="1050" w:type="pct"/>
                  <w:tcBorders>
                    <w:top w:val="single" w:color="auto" w:sz="4" w:space="0"/>
                    <w:left w:val="single" w:color="auto" w:sz="4" w:space="0"/>
                    <w:bottom w:val="single" w:color="auto" w:sz="4" w:space="0"/>
                    <w:right w:val="single" w:color="auto" w:sz="4" w:space="0"/>
                  </w:tcBorders>
                  <w:vAlign w:val="center"/>
                </w:tcPr>
                <w:p w14:paraId="7E414E03">
                  <w:pPr>
                    <w:snapToGrid w:val="0"/>
                    <w:jc w:val="center"/>
                    <w:rPr>
                      <w:color w:val="000000"/>
                      <w:szCs w:val="21"/>
                    </w:rPr>
                  </w:pPr>
                  <w:r>
                    <w:rPr>
                      <w:color w:val="000000"/>
                      <w:szCs w:val="21"/>
                    </w:rPr>
                    <w:t>本项目无燃煤锅炉</w:t>
                  </w:r>
                  <w:r>
                    <w:rPr>
                      <w:rFonts w:hint="eastAsia"/>
                      <w:color w:val="000000"/>
                      <w:szCs w:val="21"/>
                    </w:rPr>
                    <w:t>。</w:t>
                  </w:r>
                </w:p>
              </w:tc>
              <w:tc>
                <w:tcPr>
                  <w:tcW w:w="463" w:type="pct"/>
                  <w:tcBorders>
                    <w:top w:val="single" w:color="auto" w:sz="4" w:space="0"/>
                    <w:left w:val="single" w:color="auto" w:sz="4" w:space="0"/>
                    <w:bottom w:val="single" w:color="auto" w:sz="4" w:space="0"/>
                    <w:right w:val="single" w:color="auto" w:sz="4" w:space="0"/>
                  </w:tcBorders>
                  <w:vAlign w:val="center"/>
                </w:tcPr>
                <w:p w14:paraId="2A5AB54A">
                  <w:pPr>
                    <w:snapToGrid w:val="0"/>
                    <w:rPr>
                      <w:color w:val="000000"/>
                      <w:szCs w:val="21"/>
                    </w:rPr>
                  </w:pPr>
                  <w:r>
                    <w:rPr>
                      <w:color w:val="000000"/>
                      <w:szCs w:val="21"/>
                    </w:rPr>
                    <w:t>符合</w:t>
                  </w:r>
                </w:p>
              </w:tc>
            </w:tr>
            <w:tr w14:paraId="1228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tcBorders>
                    <w:top w:val="single" w:color="auto" w:sz="4" w:space="0"/>
                    <w:left w:val="single" w:color="auto" w:sz="4" w:space="0"/>
                    <w:bottom w:val="single" w:color="auto" w:sz="4" w:space="0"/>
                    <w:right w:val="single" w:color="auto" w:sz="4" w:space="0"/>
                  </w:tcBorders>
                  <w:vAlign w:val="center"/>
                </w:tcPr>
                <w:p w14:paraId="403D86F4">
                  <w:pPr>
                    <w:snapToGrid w:val="0"/>
                    <w:rPr>
                      <w:color w:val="000000"/>
                      <w:szCs w:val="21"/>
                    </w:rPr>
                  </w:pPr>
                  <w:r>
                    <w:rPr>
                      <w:color w:val="000000"/>
                      <w:szCs w:val="21"/>
                    </w:rPr>
                    <w:t>5</w:t>
                  </w:r>
                </w:p>
              </w:tc>
              <w:tc>
                <w:tcPr>
                  <w:tcW w:w="3092" w:type="pct"/>
                  <w:tcBorders>
                    <w:top w:val="single" w:color="auto" w:sz="4" w:space="0"/>
                    <w:left w:val="single" w:color="auto" w:sz="4" w:space="0"/>
                    <w:bottom w:val="single" w:color="auto" w:sz="4" w:space="0"/>
                    <w:right w:val="single" w:color="auto" w:sz="4" w:space="0"/>
                  </w:tcBorders>
                  <w:vAlign w:val="center"/>
                </w:tcPr>
                <w:p w14:paraId="136F1C14">
                  <w:pPr>
                    <w:snapToGrid w:val="0"/>
                    <w:rPr>
                      <w:color w:val="000000"/>
                      <w:szCs w:val="21"/>
                    </w:rPr>
                  </w:pPr>
                  <w:r>
                    <w:rPr>
                      <w:color w:val="000000"/>
                      <w:szCs w:val="21"/>
                    </w:rPr>
                    <w:t>加快推动</w:t>
                  </w:r>
                  <w:r>
                    <w:rPr>
                      <w:rFonts w:hint="eastAsia"/>
                      <w:color w:val="000000"/>
                      <w:szCs w:val="21"/>
                    </w:rPr>
                    <w:t>非甲烷总烃</w:t>
                  </w:r>
                  <w:r>
                    <w:rPr>
                      <w:color w:val="000000"/>
                      <w:szCs w:val="21"/>
                    </w:rPr>
                    <w:t>精细化治理。实施</w:t>
                  </w:r>
                  <w:r>
                    <w:rPr>
                      <w:rFonts w:hint="eastAsia"/>
                      <w:color w:val="000000"/>
                      <w:szCs w:val="21"/>
                    </w:rPr>
                    <w:t>非甲烷总烃</w:t>
                  </w:r>
                  <w:r>
                    <w:rPr>
                      <w:color w:val="000000"/>
                      <w:szCs w:val="21"/>
                    </w:rPr>
                    <w:t>产品源头替代工程，严格落实《油墨中可挥发性有机化合物含量的限值》等国家产品</w:t>
                  </w:r>
                  <w:r>
                    <w:rPr>
                      <w:rFonts w:hint="eastAsia"/>
                      <w:color w:val="000000"/>
                      <w:szCs w:val="21"/>
                    </w:rPr>
                    <w:t>非甲烷总烃</w:t>
                  </w:r>
                  <w:r>
                    <w:rPr>
                      <w:color w:val="000000"/>
                      <w:szCs w:val="21"/>
                    </w:rPr>
                    <w:t>含量限值标准，推进家具制造、汽车制造、印刷和记录媒介、橡胶和塑料制品等行业低</w:t>
                  </w:r>
                  <w:r>
                    <w:rPr>
                      <w:rFonts w:hint="eastAsia"/>
                      <w:color w:val="000000"/>
                      <w:szCs w:val="21"/>
                    </w:rPr>
                    <w:t>非甲烷总烃</w:t>
                  </w:r>
                  <w:r>
                    <w:rPr>
                      <w:color w:val="000000"/>
                      <w:szCs w:val="21"/>
                    </w:rPr>
                    <w:t>含量原辅材料替代。实施重点企业</w:t>
                  </w:r>
                  <w:r>
                    <w:rPr>
                      <w:rFonts w:hint="eastAsia"/>
                      <w:color w:val="000000"/>
                      <w:szCs w:val="21"/>
                    </w:rPr>
                    <w:t>非甲烷总烃</w:t>
                  </w:r>
                  <w:r>
                    <w:rPr>
                      <w:color w:val="000000"/>
                      <w:szCs w:val="21"/>
                    </w:rPr>
                    <w:t xml:space="preserve">综合治理工程，编制执行“一企一策"，推进治污设施改造升级。继续加强无组织排放管控 </w:t>
                  </w:r>
                </w:p>
              </w:tc>
              <w:tc>
                <w:tcPr>
                  <w:tcW w:w="1050" w:type="pct"/>
                  <w:tcBorders>
                    <w:top w:val="single" w:color="auto" w:sz="4" w:space="0"/>
                    <w:left w:val="single" w:color="auto" w:sz="4" w:space="0"/>
                    <w:bottom w:val="single" w:color="auto" w:sz="4" w:space="0"/>
                    <w:right w:val="single" w:color="auto" w:sz="4" w:space="0"/>
                  </w:tcBorders>
                  <w:vAlign w:val="center"/>
                </w:tcPr>
                <w:p w14:paraId="2894F226">
                  <w:pPr>
                    <w:snapToGrid w:val="0"/>
                    <w:jc w:val="center"/>
                    <w:rPr>
                      <w:color w:val="000000"/>
                      <w:szCs w:val="21"/>
                    </w:rPr>
                  </w:pPr>
                  <w:r>
                    <w:rPr>
                      <w:color w:val="000000"/>
                      <w:szCs w:val="21"/>
                    </w:rPr>
                    <w:t>本项目</w:t>
                  </w:r>
                  <w:r>
                    <w:rPr>
                      <w:rFonts w:hint="eastAsia"/>
                      <w:color w:val="000000"/>
                      <w:szCs w:val="21"/>
                    </w:rPr>
                    <w:t>加油站非甲烷总烃经油气回收系统处理后无组织排放</w:t>
                  </w:r>
                </w:p>
              </w:tc>
              <w:tc>
                <w:tcPr>
                  <w:tcW w:w="463" w:type="pct"/>
                  <w:tcBorders>
                    <w:top w:val="single" w:color="auto" w:sz="4" w:space="0"/>
                    <w:left w:val="single" w:color="auto" w:sz="4" w:space="0"/>
                    <w:bottom w:val="single" w:color="auto" w:sz="4" w:space="0"/>
                    <w:right w:val="single" w:color="auto" w:sz="4" w:space="0"/>
                  </w:tcBorders>
                  <w:vAlign w:val="center"/>
                </w:tcPr>
                <w:p w14:paraId="751A6F32">
                  <w:pPr>
                    <w:snapToGrid w:val="0"/>
                    <w:rPr>
                      <w:color w:val="000000"/>
                      <w:szCs w:val="21"/>
                    </w:rPr>
                  </w:pPr>
                  <w:r>
                    <w:rPr>
                      <w:color w:val="000000"/>
                      <w:szCs w:val="21"/>
                    </w:rPr>
                    <w:t>符合</w:t>
                  </w:r>
                </w:p>
              </w:tc>
            </w:tr>
          </w:tbl>
          <w:p w14:paraId="43E929D4">
            <w:pPr>
              <w:spacing w:line="400" w:lineRule="exact"/>
              <w:rPr>
                <w:b/>
                <w:bCs/>
                <w:color w:val="000000"/>
                <w:sz w:val="24"/>
              </w:rPr>
            </w:pPr>
            <w:r>
              <w:rPr>
                <w:rFonts w:hint="eastAsia"/>
                <w:b/>
                <w:bCs/>
                <w:color w:val="000000"/>
                <w:sz w:val="24"/>
              </w:rPr>
              <w:t>3、</w:t>
            </w:r>
            <w:r>
              <w:rPr>
                <w:b/>
                <w:bCs/>
                <w:color w:val="000000"/>
                <w:sz w:val="24"/>
              </w:rPr>
              <w:t>与</w:t>
            </w:r>
            <w:r>
              <w:rPr>
                <w:rFonts w:hint="eastAsia"/>
                <w:b/>
                <w:bCs/>
                <w:color w:val="000000"/>
                <w:sz w:val="24"/>
              </w:rPr>
              <w:t>《安徽省大气办关于深入开展挥发性有机物污染治理工作的通知》（皖大气办〔2021〕4号）等挥发性有机物相关政策</w:t>
            </w:r>
            <w:r>
              <w:rPr>
                <w:b/>
                <w:bCs/>
                <w:color w:val="000000"/>
                <w:sz w:val="24"/>
              </w:rPr>
              <w:t>相符性分析</w:t>
            </w:r>
          </w:p>
          <w:p w14:paraId="62F67E62">
            <w:pPr>
              <w:spacing w:line="500" w:lineRule="atLeast"/>
              <w:rPr>
                <w:b/>
                <w:bCs/>
                <w:color w:val="000000"/>
                <w:sz w:val="24"/>
              </w:rPr>
            </w:pPr>
            <w:r>
              <w:rPr>
                <w:b/>
                <w:bCs/>
                <w:color w:val="000000"/>
                <w:sz w:val="24"/>
              </w:rPr>
              <w:t>表1-</w:t>
            </w:r>
            <w:r>
              <w:rPr>
                <w:rFonts w:hint="eastAsia"/>
                <w:b/>
                <w:bCs/>
                <w:color w:val="000000"/>
                <w:sz w:val="24"/>
              </w:rPr>
              <w:t>8</w:t>
            </w:r>
            <w:r>
              <w:rPr>
                <w:b/>
                <w:bCs/>
                <w:color w:val="000000"/>
                <w:sz w:val="24"/>
              </w:rPr>
              <w:t xml:space="preserve">  </w:t>
            </w:r>
            <w:r>
              <w:rPr>
                <w:rFonts w:hint="eastAsia"/>
                <w:b/>
                <w:bCs/>
                <w:color w:val="000000"/>
                <w:sz w:val="24"/>
              </w:rPr>
              <w:t>《安徽省大气办关于深入开展挥发性有机物污染治理工作的通知》（皖大气办〔2021〕4号）</w:t>
            </w:r>
            <w:r>
              <w:rPr>
                <w:b/>
                <w:bCs/>
                <w:color w:val="000000"/>
                <w:sz w:val="24"/>
              </w:rPr>
              <w:t>符合性分析</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5179"/>
              <w:gridCol w:w="1652"/>
              <w:gridCol w:w="718"/>
            </w:tblGrid>
            <w:tr w14:paraId="1919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1" w:type="pct"/>
                  <w:tcBorders>
                    <w:top w:val="single" w:color="auto" w:sz="4" w:space="0"/>
                    <w:left w:val="single" w:color="auto" w:sz="4" w:space="0"/>
                    <w:bottom w:val="single" w:color="auto" w:sz="4" w:space="0"/>
                    <w:right w:val="single" w:color="auto" w:sz="4" w:space="0"/>
                    <w:tl2br w:val="nil"/>
                    <w:tr2bl w:val="nil"/>
                  </w:tcBorders>
                  <w:vAlign w:val="center"/>
                </w:tcPr>
                <w:p w14:paraId="255B63AC">
                  <w:pPr>
                    <w:snapToGrid w:val="0"/>
                    <w:ind w:left="-80" w:leftChars="-38" w:right="-132" w:rightChars="-63"/>
                    <w:rPr>
                      <w:color w:val="000000"/>
                    </w:rPr>
                  </w:pPr>
                  <w:r>
                    <w:rPr>
                      <w:color w:val="000000"/>
                    </w:rPr>
                    <w:t>序号</w:t>
                  </w:r>
                </w:p>
              </w:tc>
              <w:tc>
                <w:tcPr>
                  <w:tcW w:w="3169" w:type="pct"/>
                  <w:tcBorders>
                    <w:top w:val="single" w:color="auto" w:sz="4" w:space="0"/>
                    <w:left w:val="single" w:color="auto" w:sz="4" w:space="0"/>
                    <w:bottom w:val="single" w:color="auto" w:sz="4" w:space="0"/>
                    <w:right w:val="single" w:color="auto" w:sz="4" w:space="0"/>
                    <w:tl2br w:val="nil"/>
                    <w:tr2bl w:val="nil"/>
                  </w:tcBorders>
                  <w:vAlign w:val="center"/>
                </w:tcPr>
                <w:p w14:paraId="3E0B90CE">
                  <w:pPr>
                    <w:snapToGrid w:val="0"/>
                    <w:rPr>
                      <w:color w:val="000000"/>
                    </w:rPr>
                  </w:pPr>
                  <w:r>
                    <w:rPr>
                      <w:color w:val="000000"/>
                    </w:rPr>
                    <w:t>实施方案要求</w:t>
                  </w:r>
                </w:p>
              </w:tc>
              <w:tc>
                <w:tcPr>
                  <w:tcW w:w="1011" w:type="pct"/>
                  <w:tcBorders>
                    <w:top w:val="single" w:color="auto" w:sz="4" w:space="0"/>
                    <w:left w:val="single" w:color="auto" w:sz="4" w:space="0"/>
                    <w:bottom w:val="single" w:color="auto" w:sz="4" w:space="0"/>
                    <w:right w:val="single" w:color="auto" w:sz="4" w:space="0"/>
                    <w:tl2br w:val="nil"/>
                    <w:tr2bl w:val="nil"/>
                  </w:tcBorders>
                  <w:vAlign w:val="center"/>
                </w:tcPr>
                <w:p w14:paraId="5CBF0813">
                  <w:pPr>
                    <w:snapToGrid w:val="0"/>
                    <w:rPr>
                      <w:color w:val="000000"/>
                    </w:rPr>
                  </w:pPr>
                  <w:r>
                    <w:rPr>
                      <w:color w:val="000000"/>
                    </w:rPr>
                    <w:t>企业状况</w:t>
                  </w:r>
                </w:p>
              </w:tc>
              <w:tc>
                <w:tcPr>
                  <w:tcW w:w="439" w:type="pct"/>
                  <w:tcBorders>
                    <w:top w:val="single" w:color="auto" w:sz="4" w:space="0"/>
                    <w:left w:val="single" w:color="auto" w:sz="4" w:space="0"/>
                    <w:bottom w:val="single" w:color="auto" w:sz="4" w:space="0"/>
                    <w:right w:val="single" w:color="auto" w:sz="4" w:space="0"/>
                    <w:tl2br w:val="nil"/>
                    <w:tr2bl w:val="nil"/>
                  </w:tcBorders>
                  <w:vAlign w:val="center"/>
                </w:tcPr>
                <w:p w14:paraId="27A5A78E">
                  <w:pPr>
                    <w:snapToGrid w:val="0"/>
                    <w:ind w:left="-128" w:leftChars="-61" w:right="-69" w:rightChars="-33"/>
                    <w:rPr>
                      <w:color w:val="000000"/>
                    </w:rPr>
                  </w:pPr>
                  <w:r>
                    <w:rPr>
                      <w:color w:val="000000"/>
                    </w:rPr>
                    <w:t>相符性</w:t>
                  </w:r>
                </w:p>
              </w:tc>
            </w:tr>
            <w:tr w14:paraId="1C4B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1" w:type="pct"/>
                  <w:tcBorders>
                    <w:top w:val="single" w:color="auto" w:sz="4" w:space="0"/>
                    <w:left w:val="single" w:color="auto" w:sz="4" w:space="0"/>
                    <w:bottom w:val="single" w:color="auto" w:sz="4" w:space="0"/>
                    <w:right w:val="single" w:color="auto" w:sz="4" w:space="0"/>
                    <w:tl2br w:val="nil"/>
                    <w:tr2bl w:val="nil"/>
                  </w:tcBorders>
                  <w:vAlign w:val="center"/>
                </w:tcPr>
                <w:p w14:paraId="0CE40D5C">
                  <w:pPr>
                    <w:snapToGrid w:val="0"/>
                    <w:rPr>
                      <w:color w:val="000000"/>
                    </w:rPr>
                  </w:pPr>
                  <w:r>
                    <w:rPr>
                      <w:color w:val="000000"/>
                    </w:rPr>
                    <w:t>1</w:t>
                  </w:r>
                </w:p>
              </w:tc>
              <w:tc>
                <w:tcPr>
                  <w:tcW w:w="3169" w:type="pct"/>
                  <w:tcBorders>
                    <w:top w:val="single" w:color="auto" w:sz="4" w:space="0"/>
                    <w:left w:val="single" w:color="auto" w:sz="4" w:space="0"/>
                    <w:bottom w:val="single" w:color="auto" w:sz="4" w:space="0"/>
                    <w:right w:val="single" w:color="auto" w:sz="4" w:space="0"/>
                    <w:tl2br w:val="nil"/>
                    <w:tr2bl w:val="nil"/>
                  </w:tcBorders>
                  <w:vAlign w:val="center"/>
                </w:tcPr>
                <w:p w14:paraId="23E143FC">
                  <w:pPr>
                    <w:snapToGrid w:val="0"/>
                    <w:rPr>
                      <w:color w:val="000000"/>
                    </w:rPr>
                  </w:pPr>
                  <w:r>
                    <w:rPr>
                      <w:rFonts w:hint="eastAsia"/>
                      <w:color w:val="000000"/>
                    </w:rPr>
                    <w:t>重点推进源头削减。鼓励支持使用涂料、油墨、胶粘剂、涂层剂（树脂）、清洗剂等原辅材料的企业，进行低非甲烷总烃含量原辅材料的源头替代，7月1日前各地指导企业建立管理台账，记录非甲烷总烃原辅材料的产品名称、非甲烷总烃含量和使用量等。各地应结合本地产业特点和源头替代参考目录，重点在工业涂装、包装印刷、鞋革箱包制造、竹木制品胶合、电子等重点领域，推广非甲烷总烃含量低于10%原辅材料的源头替代，并纳入年度源头削减项目管理，实现“可替尽替、应代尽代”，源头削减年度完成项目占30%以上</w:t>
                  </w:r>
                </w:p>
              </w:tc>
              <w:tc>
                <w:tcPr>
                  <w:tcW w:w="1011" w:type="pct"/>
                  <w:tcBorders>
                    <w:top w:val="single" w:color="auto" w:sz="4" w:space="0"/>
                    <w:left w:val="single" w:color="auto" w:sz="4" w:space="0"/>
                    <w:bottom w:val="single" w:color="auto" w:sz="4" w:space="0"/>
                    <w:right w:val="single" w:color="auto" w:sz="4" w:space="0"/>
                    <w:tl2br w:val="nil"/>
                    <w:tr2bl w:val="nil"/>
                  </w:tcBorders>
                  <w:vAlign w:val="center"/>
                </w:tcPr>
                <w:p w14:paraId="13F9F1EB">
                  <w:pPr>
                    <w:snapToGrid w:val="0"/>
                    <w:jc w:val="center"/>
                    <w:rPr>
                      <w:color w:val="000000"/>
                      <w:szCs w:val="21"/>
                    </w:rPr>
                  </w:pPr>
                  <w:r>
                    <w:rPr>
                      <w:color w:val="000000"/>
                      <w:szCs w:val="21"/>
                    </w:rPr>
                    <w:t>本项目</w:t>
                  </w:r>
                  <w:r>
                    <w:rPr>
                      <w:rFonts w:hint="eastAsia"/>
                      <w:color w:val="000000"/>
                      <w:szCs w:val="21"/>
                    </w:rPr>
                    <w:t>属于机动车燃油零售业，不</w:t>
                  </w:r>
                  <w:r>
                    <w:rPr>
                      <w:rFonts w:hint="eastAsia"/>
                      <w:color w:val="000000"/>
                    </w:rPr>
                    <w:t>使用涂料、油墨、胶粘剂、涂层剂（树脂）、清洗剂等原辅材料</w:t>
                  </w:r>
                  <w:r>
                    <w:rPr>
                      <w:rFonts w:hint="eastAsia"/>
                      <w:color w:val="000000"/>
                      <w:szCs w:val="21"/>
                    </w:rPr>
                    <w:t>，</w:t>
                  </w:r>
                  <w:r>
                    <w:rPr>
                      <w:color w:val="000000"/>
                      <w:szCs w:val="21"/>
                    </w:rPr>
                    <w:t>符合</w:t>
                  </w:r>
                  <w:r>
                    <w:rPr>
                      <w:rFonts w:hint="eastAsia"/>
                      <w:color w:val="000000"/>
                      <w:szCs w:val="21"/>
                    </w:rPr>
                    <w:t>要求</w:t>
                  </w:r>
                </w:p>
              </w:tc>
              <w:tc>
                <w:tcPr>
                  <w:tcW w:w="439" w:type="pct"/>
                  <w:tcBorders>
                    <w:top w:val="single" w:color="auto" w:sz="4" w:space="0"/>
                    <w:left w:val="single" w:color="auto" w:sz="4" w:space="0"/>
                    <w:bottom w:val="single" w:color="auto" w:sz="4" w:space="0"/>
                    <w:right w:val="single" w:color="auto" w:sz="4" w:space="0"/>
                    <w:tl2br w:val="nil"/>
                    <w:tr2bl w:val="nil"/>
                  </w:tcBorders>
                  <w:vAlign w:val="center"/>
                </w:tcPr>
                <w:p w14:paraId="76C26FE7">
                  <w:pPr>
                    <w:snapToGrid w:val="0"/>
                    <w:rPr>
                      <w:color w:val="000000"/>
                    </w:rPr>
                  </w:pPr>
                  <w:r>
                    <w:rPr>
                      <w:color w:val="000000"/>
                    </w:rPr>
                    <w:t>符合</w:t>
                  </w:r>
                </w:p>
              </w:tc>
            </w:tr>
            <w:tr w14:paraId="7F56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1" w:type="pct"/>
                  <w:tcBorders>
                    <w:top w:val="single" w:color="auto" w:sz="4" w:space="0"/>
                    <w:left w:val="single" w:color="auto" w:sz="4" w:space="0"/>
                    <w:bottom w:val="single" w:color="auto" w:sz="4" w:space="0"/>
                    <w:right w:val="single" w:color="auto" w:sz="4" w:space="0"/>
                    <w:tl2br w:val="nil"/>
                    <w:tr2bl w:val="nil"/>
                  </w:tcBorders>
                  <w:vAlign w:val="center"/>
                </w:tcPr>
                <w:p w14:paraId="25BF02D8">
                  <w:pPr>
                    <w:snapToGrid w:val="0"/>
                    <w:rPr>
                      <w:color w:val="000000"/>
                    </w:rPr>
                  </w:pPr>
                  <w:r>
                    <w:rPr>
                      <w:color w:val="000000"/>
                    </w:rPr>
                    <w:t>2</w:t>
                  </w:r>
                </w:p>
              </w:tc>
              <w:tc>
                <w:tcPr>
                  <w:tcW w:w="3169" w:type="pct"/>
                  <w:tcBorders>
                    <w:top w:val="single" w:color="auto" w:sz="4" w:space="0"/>
                    <w:left w:val="single" w:color="auto" w:sz="4" w:space="0"/>
                    <w:bottom w:val="single" w:color="auto" w:sz="4" w:space="0"/>
                    <w:right w:val="single" w:color="auto" w:sz="4" w:space="0"/>
                    <w:tl2br w:val="nil"/>
                    <w:tr2bl w:val="nil"/>
                  </w:tcBorders>
                  <w:vAlign w:val="center"/>
                </w:tcPr>
                <w:p w14:paraId="2BDCE559">
                  <w:pPr>
                    <w:snapToGrid w:val="0"/>
                    <w:rPr>
                      <w:color w:val="000000"/>
                    </w:rPr>
                  </w:pPr>
                  <w:r>
                    <w:rPr>
                      <w:rFonts w:hint="eastAsia"/>
                      <w:color w:val="000000"/>
                    </w:rPr>
                    <w:t>加强汽修行业非甲烷总烃治理。9月30日前，开展一次汽修行业非甲烷总烃治理专项行动。以排污许可系统企业库的661家汽修企业为治理重点，全面覆盖一般企业和维修点，推广使用水性、高固体分等低挥发性涂料，推广采用静电喷涂等高涂着效率的涂装工艺，喷烤漆等相关工艺操作应置于密闭空间内，产生的非甲烷总烃废气应集中收集并导入治理设施，实现达标排放。支持鼓励以汽修行业为主的企业集群，加强优化整合力度，建立集中喷涂中心。对不符合产业政策、治理达标无望的企业依法关停取缔，对临近居民住宅群众投诉频繁的企业集群依照城市空间布局，鼓励支持另行规划选址高标准建设</w:t>
                  </w:r>
                </w:p>
              </w:tc>
              <w:tc>
                <w:tcPr>
                  <w:tcW w:w="1011" w:type="pct"/>
                  <w:tcBorders>
                    <w:top w:val="single" w:color="auto" w:sz="4" w:space="0"/>
                    <w:left w:val="single" w:color="auto" w:sz="4" w:space="0"/>
                    <w:bottom w:val="single" w:color="auto" w:sz="4" w:space="0"/>
                    <w:right w:val="single" w:color="auto" w:sz="4" w:space="0"/>
                    <w:tl2br w:val="nil"/>
                    <w:tr2bl w:val="nil"/>
                  </w:tcBorders>
                  <w:vAlign w:val="center"/>
                </w:tcPr>
                <w:p w14:paraId="545748BE">
                  <w:pPr>
                    <w:snapToGrid w:val="0"/>
                    <w:jc w:val="center"/>
                    <w:rPr>
                      <w:color w:val="000000"/>
                      <w:szCs w:val="21"/>
                    </w:rPr>
                  </w:pPr>
                  <w:r>
                    <w:rPr>
                      <w:color w:val="000000"/>
                      <w:szCs w:val="21"/>
                    </w:rPr>
                    <w:t>本项目</w:t>
                  </w:r>
                  <w:r>
                    <w:rPr>
                      <w:rFonts w:hint="eastAsia"/>
                      <w:color w:val="000000"/>
                      <w:szCs w:val="21"/>
                    </w:rPr>
                    <w:t>属于机动车燃油零售业，不涉及</w:t>
                  </w:r>
                </w:p>
              </w:tc>
              <w:tc>
                <w:tcPr>
                  <w:tcW w:w="439" w:type="pct"/>
                  <w:tcBorders>
                    <w:top w:val="single" w:color="auto" w:sz="4" w:space="0"/>
                    <w:left w:val="single" w:color="auto" w:sz="4" w:space="0"/>
                    <w:bottom w:val="single" w:color="auto" w:sz="4" w:space="0"/>
                    <w:right w:val="single" w:color="auto" w:sz="4" w:space="0"/>
                    <w:tl2br w:val="nil"/>
                    <w:tr2bl w:val="nil"/>
                  </w:tcBorders>
                  <w:vAlign w:val="center"/>
                </w:tcPr>
                <w:p w14:paraId="338E90D1">
                  <w:pPr>
                    <w:snapToGrid w:val="0"/>
                    <w:rPr>
                      <w:color w:val="000000"/>
                    </w:rPr>
                  </w:pPr>
                  <w:r>
                    <w:rPr>
                      <w:color w:val="000000"/>
                    </w:rPr>
                    <w:t>符合</w:t>
                  </w:r>
                </w:p>
              </w:tc>
            </w:tr>
            <w:tr w14:paraId="4EBA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1" w:type="pct"/>
                  <w:tcBorders>
                    <w:top w:val="single" w:color="auto" w:sz="4" w:space="0"/>
                    <w:left w:val="single" w:color="auto" w:sz="4" w:space="0"/>
                    <w:bottom w:val="single" w:color="auto" w:sz="4" w:space="0"/>
                    <w:right w:val="single" w:color="auto" w:sz="4" w:space="0"/>
                    <w:tl2br w:val="nil"/>
                    <w:tr2bl w:val="nil"/>
                  </w:tcBorders>
                  <w:vAlign w:val="center"/>
                </w:tcPr>
                <w:p w14:paraId="33E25F5C">
                  <w:pPr>
                    <w:snapToGrid w:val="0"/>
                    <w:rPr>
                      <w:color w:val="000000"/>
                    </w:rPr>
                  </w:pPr>
                  <w:r>
                    <w:rPr>
                      <w:color w:val="000000"/>
                    </w:rPr>
                    <w:t>3</w:t>
                  </w:r>
                </w:p>
              </w:tc>
              <w:tc>
                <w:tcPr>
                  <w:tcW w:w="3169" w:type="pct"/>
                  <w:tcBorders>
                    <w:top w:val="single" w:color="auto" w:sz="4" w:space="0"/>
                    <w:left w:val="single" w:color="auto" w:sz="4" w:space="0"/>
                    <w:bottom w:val="single" w:color="auto" w:sz="4" w:space="0"/>
                    <w:right w:val="single" w:color="auto" w:sz="4" w:space="0"/>
                    <w:tl2br w:val="nil"/>
                    <w:tr2bl w:val="nil"/>
                  </w:tcBorders>
                  <w:vAlign w:val="center"/>
                </w:tcPr>
                <w:p w14:paraId="0E71157B">
                  <w:pPr>
                    <w:snapToGrid w:val="0"/>
                    <w:rPr>
                      <w:color w:val="000000"/>
                    </w:rPr>
                  </w:pPr>
                  <w:r>
                    <w:rPr>
                      <w:rFonts w:hint="eastAsia"/>
                      <w:color w:val="000000"/>
                    </w:rPr>
                    <w:t>各地要组织企业对非甲烷总烃治理设施安装运行情况进行系统梳理，建立管理台账，按照“双随机”原则，对非甲烷总烃重点企业和采用简易治理工艺的企业开展抽测并形成抽测报告，超标数据及时移送执法部门。各地应督促企业落实自行监测主体责任，指导企业按照自行监测技术指南要求开展固定污染源监测</w:t>
                  </w:r>
                </w:p>
              </w:tc>
              <w:tc>
                <w:tcPr>
                  <w:tcW w:w="1011" w:type="pct"/>
                  <w:tcBorders>
                    <w:top w:val="single" w:color="auto" w:sz="4" w:space="0"/>
                    <w:left w:val="single" w:color="auto" w:sz="4" w:space="0"/>
                    <w:bottom w:val="single" w:color="auto" w:sz="4" w:space="0"/>
                    <w:right w:val="single" w:color="auto" w:sz="4" w:space="0"/>
                    <w:tl2br w:val="nil"/>
                    <w:tr2bl w:val="nil"/>
                  </w:tcBorders>
                  <w:vAlign w:val="center"/>
                </w:tcPr>
                <w:p w14:paraId="2351C6FC">
                  <w:pPr>
                    <w:snapToGrid w:val="0"/>
                    <w:jc w:val="center"/>
                    <w:rPr>
                      <w:color w:val="000000"/>
                      <w:szCs w:val="21"/>
                    </w:rPr>
                  </w:pPr>
                  <w:r>
                    <w:rPr>
                      <w:rFonts w:hint="eastAsia"/>
                      <w:color w:val="000000"/>
                      <w:szCs w:val="21"/>
                    </w:rPr>
                    <w:t>本环评已将自行监测要求及频次纳入分析</w:t>
                  </w:r>
                </w:p>
              </w:tc>
              <w:tc>
                <w:tcPr>
                  <w:tcW w:w="439" w:type="pct"/>
                  <w:tcBorders>
                    <w:top w:val="single" w:color="auto" w:sz="4" w:space="0"/>
                    <w:left w:val="single" w:color="auto" w:sz="4" w:space="0"/>
                    <w:bottom w:val="single" w:color="auto" w:sz="4" w:space="0"/>
                    <w:right w:val="single" w:color="auto" w:sz="4" w:space="0"/>
                    <w:tl2br w:val="nil"/>
                    <w:tr2bl w:val="nil"/>
                  </w:tcBorders>
                  <w:vAlign w:val="center"/>
                </w:tcPr>
                <w:p w14:paraId="134B66F9">
                  <w:pPr>
                    <w:snapToGrid w:val="0"/>
                    <w:rPr>
                      <w:color w:val="000000"/>
                    </w:rPr>
                  </w:pPr>
                  <w:r>
                    <w:rPr>
                      <w:color w:val="000000"/>
                    </w:rPr>
                    <w:t>符合</w:t>
                  </w:r>
                </w:p>
              </w:tc>
            </w:tr>
            <w:tr w14:paraId="1481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1" w:type="pct"/>
                  <w:tcBorders>
                    <w:top w:val="single" w:color="auto" w:sz="4" w:space="0"/>
                    <w:left w:val="single" w:color="auto" w:sz="4" w:space="0"/>
                    <w:bottom w:val="single" w:color="auto" w:sz="4" w:space="0"/>
                    <w:right w:val="single" w:color="auto" w:sz="4" w:space="0"/>
                    <w:tl2br w:val="nil"/>
                    <w:tr2bl w:val="nil"/>
                  </w:tcBorders>
                  <w:vAlign w:val="center"/>
                </w:tcPr>
                <w:p w14:paraId="563D0DBE">
                  <w:pPr>
                    <w:snapToGrid w:val="0"/>
                    <w:rPr>
                      <w:color w:val="000000"/>
                    </w:rPr>
                  </w:pPr>
                  <w:r>
                    <w:rPr>
                      <w:color w:val="000000"/>
                    </w:rPr>
                    <w:t>4</w:t>
                  </w:r>
                </w:p>
              </w:tc>
              <w:tc>
                <w:tcPr>
                  <w:tcW w:w="3169" w:type="pct"/>
                  <w:tcBorders>
                    <w:top w:val="single" w:color="auto" w:sz="4" w:space="0"/>
                    <w:left w:val="single" w:color="auto" w:sz="4" w:space="0"/>
                    <w:bottom w:val="single" w:color="auto" w:sz="4" w:space="0"/>
                    <w:right w:val="single" w:color="auto" w:sz="4" w:space="0"/>
                    <w:tl2br w:val="nil"/>
                    <w:tr2bl w:val="nil"/>
                  </w:tcBorders>
                  <w:vAlign w:val="center"/>
                </w:tcPr>
                <w:p w14:paraId="7F4509FC">
                  <w:pPr>
                    <w:snapToGrid w:val="0"/>
                    <w:rPr>
                      <w:color w:val="000000"/>
                    </w:rPr>
                  </w:pPr>
                  <w:r>
                    <w:rPr>
                      <w:rFonts w:hint="eastAsia"/>
                      <w:color w:val="000000"/>
                    </w:rPr>
                    <w:t>对重点行业企业提出的评估需求，各地应及时组织行业专家进行技术评估和技术培训，跟踪推进综合治理项目的实施，确保企业治理措施的科学性、针对性和有效性。要加强“一企一案”“一园一案”的编制指导，探索出一条行之有效的“方案先行、跟踪管理、绩效审核”的系统性治理路径</w:t>
                  </w:r>
                </w:p>
              </w:tc>
              <w:tc>
                <w:tcPr>
                  <w:tcW w:w="1011" w:type="pct"/>
                  <w:tcBorders>
                    <w:top w:val="single" w:color="auto" w:sz="4" w:space="0"/>
                    <w:left w:val="single" w:color="auto" w:sz="4" w:space="0"/>
                    <w:bottom w:val="single" w:color="auto" w:sz="4" w:space="0"/>
                    <w:right w:val="single" w:color="auto" w:sz="4" w:space="0"/>
                    <w:tl2br w:val="nil"/>
                    <w:tr2bl w:val="nil"/>
                  </w:tcBorders>
                  <w:vAlign w:val="center"/>
                </w:tcPr>
                <w:p w14:paraId="169D1231">
                  <w:pPr>
                    <w:snapToGrid w:val="0"/>
                    <w:jc w:val="center"/>
                    <w:rPr>
                      <w:color w:val="000000"/>
                      <w:szCs w:val="21"/>
                    </w:rPr>
                  </w:pPr>
                  <w:r>
                    <w:rPr>
                      <w:rFonts w:hint="eastAsia"/>
                      <w:color w:val="000000"/>
                      <w:szCs w:val="21"/>
                    </w:rPr>
                    <w:t>企业积极配合环保相关部门进行专家评审</w:t>
                  </w:r>
                </w:p>
              </w:tc>
              <w:tc>
                <w:tcPr>
                  <w:tcW w:w="439" w:type="pct"/>
                  <w:tcBorders>
                    <w:top w:val="single" w:color="auto" w:sz="4" w:space="0"/>
                    <w:left w:val="single" w:color="auto" w:sz="4" w:space="0"/>
                    <w:bottom w:val="single" w:color="auto" w:sz="4" w:space="0"/>
                    <w:right w:val="single" w:color="auto" w:sz="4" w:space="0"/>
                    <w:tl2br w:val="nil"/>
                    <w:tr2bl w:val="nil"/>
                  </w:tcBorders>
                  <w:vAlign w:val="center"/>
                </w:tcPr>
                <w:p w14:paraId="22CFAF34">
                  <w:pPr>
                    <w:snapToGrid w:val="0"/>
                    <w:rPr>
                      <w:color w:val="000000"/>
                    </w:rPr>
                  </w:pPr>
                  <w:r>
                    <w:rPr>
                      <w:color w:val="000000"/>
                    </w:rPr>
                    <w:t>符合</w:t>
                  </w:r>
                </w:p>
              </w:tc>
            </w:tr>
            <w:tr w14:paraId="3751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1" w:type="pct"/>
                  <w:tcBorders>
                    <w:top w:val="single" w:color="auto" w:sz="4" w:space="0"/>
                    <w:left w:val="single" w:color="auto" w:sz="4" w:space="0"/>
                    <w:bottom w:val="single" w:color="auto" w:sz="4" w:space="0"/>
                    <w:right w:val="single" w:color="auto" w:sz="4" w:space="0"/>
                    <w:tl2br w:val="nil"/>
                    <w:tr2bl w:val="nil"/>
                  </w:tcBorders>
                  <w:vAlign w:val="center"/>
                </w:tcPr>
                <w:p w14:paraId="3A2A4ACA">
                  <w:pPr>
                    <w:snapToGrid w:val="0"/>
                    <w:rPr>
                      <w:color w:val="000000"/>
                    </w:rPr>
                  </w:pPr>
                  <w:r>
                    <w:rPr>
                      <w:rFonts w:hint="eastAsia"/>
                      <w:color w:val="000000"/>
                    </w:rPr>
                    <w:t>5</w:t>
                  </w:r>
                </w:p>
              </w:tc>
              <w:tc>
                <w:tcPr>
                  <w:tcW w:w="3169" w:type="pct"/>
                  <w:tcBorders>
                    <w:top w:val="single" w:color="auto" w:sz="4" w:space="0"/>
                    <w:left w:val="single" w:color="auto" w:sz="4" w:space="0"/>
                    <w:bottom w:val="single" w:color="auto" w:sz="4" w:space="0"/>
                    <w:right w:val="single" w:color="auto" w:sz="4" w:space="0"/>
                    <w:tl2br w:val="nil"/>
                    <w:tr2bl w:val="nil"/>
                  </w:tcBorders>
                  <w:vAlign w:val="center"/>
                </w:tcPr>
                <w:p w14:paraId="03840426">
                  <w:pPr>
                    <w:snapToGrid w:val="0"/>
                    <w:rPr>
                      <w:color w:val="000000"/>
                    </w:rPr>
                  </w:pPr>
                  <w:r>
                    <w:rPr>
                      <w:rFonts w:hint="eastAsia"/>
                      <w:color w:val="000000"/>
                    </w:rPr>
                    <w:t>加大溶剂使用源等工业企业生产季节性调控力度，O</w:t>
                  </w:r>
                  <w:r>
                    <w:rPr>
                      <w:rFonts w:hint="eastAsia"/>
                      <w:color w:val="000000"/>
                      <w:vertAlign w:val="subscript"/>
                    </w:rPr>
                    <w:t>3</w:t>
                  </w:r>
                  <w:r>
                    <w:rPr>
                      <w:rFonts w:hint="eastAsia"/>
                      <w:color w:val="000000"/>
                    </w:rPr>
                    <w:t>污染高发时段，鼓励涉非甲烷总烃排放重点行业企业实行生产调控、错时生产。加强企业非正常工况排放治理，梳理有机废气不通过治理设施直排环境问题，建立有机废气旁路综合整治台账，逐步取消炼油、石化、煤化工、制药、农药、化工、工业涂装、包装印刷等企业非必要非甲烷总烃废气排放系统旁路</w:t>
                  </w:r>
                </w:p>
              </w:tc>
              <w:tc>
                <w:tcPr>
                  <w:tcW w:w="1011" w:type="pct"/>
                  <w:tcBorders>
                    <w:top w:val="single" w:color="auto" w:sz="4" w:space="0"/>
                    <w:left w:val="single" w:color="auto" w:sz="4" w:space="0"/>
                    <w:bottom w:val="single" w:color="auto" w:sz="4" w:space="0"/>
                    <w:right w:val="single" w:color="auto" w:sz="4" w:space="0"/>
                    <w:tl2br w:val="nil"/>
                    <w:tr2bl w:val="nil"/>
                  </w:tcBorders>
                  <w:vAlign w:val="center"/>
                </w:tcPr>
                <w:p w14:paraId="7A9FD455">
                  <w:pPr>
                    <w:snapToGrid w:val="0"/>
                    <w:jc w:val="center"/>
                    <w:rPr>
                      <w:color w:val="000000"/>
                      <w:szCs w:val="21"/>
                    </w:rPr>
                  </w:pPr>
                  <w:r>
                    <w:rPr>
                      <w:color w:val="000000"/>
                      <w:szCs w:val="21"/>
                    </w:rPr>
                    <w:t>本项目属于</w:t>
                  </w:r>
                  <w:r>
                    <w:rPr>
                      <w:rFonts w:hint="eastAsia"/>
                      <w:color w:val="000000"/>
                      <w:szCs w:val="21"/>
                    </w:rPr>
                    <w:t>F5265机动车燃油零售，不涉及</w:t>
                  </w:r>
                </w:p>
              </w:tc>
              <w:tc>
                <w:tcPr>
                  <w:tcW w:w="439" w:type="pct"/>
                  <w:tcBorders>
                    <w:top w:val="single" w:color="auto" w:sz="4" w:space="0"/>
                    <w:left w:val="single" w:color="auto" w:sz="4" w:space="0"/>
                    <w:bottom w:val="single" w:color="auto" w:sz="4" w:space="0"/>
                    <w:right w:val="single" w:color="auto" w:sz="4" w:space="0"/>
                    <w:tl2br w:val="nil"/>
                    <w:tr2bl w:val="nil"/>
                  </w:tcBorders>
                  <w:vAlign w:val="center"/>
                </w:tcPr>
                <w:p w14:paraId="60A1B95D">
                  <w:pPr>
                    <w:snapToGrid w:val="0"/>
                    <w:rPr>
                      <w:color w:val="000000"/>
                    </w:rPr>
                  </w:pPr>
                  <w:r>
                    <w:rPr>
                      <w:color w:val="000000"/>
                    </w:rPr>
                    <w:t>符合</w:t>
                  </w:r>
                </w:p>
              </w:tc>
            </w:tr>
            <w:tr w14:paraId="0F0F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1" w:type="pct"/>
                  <w:tcBorders>
                    <w:top w:val="single" w:color="auto" w:sz="4" w:space="0"/>
                    <w:left w:val="single" w:color="auto" w:sz="4" w:space="0"/>
                    <w:bottom w:val="single" w:color="auto" w:sz="4" w:space="0"/>
                    <w:right w:val="single" w:color="auto" w:sz="4" w:space="0"/>
                    <w:tl2br w:val="nil"/>
                    <w:tr2bl w:val="nil"/>
                  </w:tcBorders>
                  <w:vAlign w:val="center"/>
                </w:tcPr>
                <w:p w14:paraId="39B80CA0">
                  <w:pPr>
                    <w:snapToGrid w:val="0"/>
                    <w:rPr>
                      <w:color w:val="000000"/>
                    </w:rPr>
                  </w:pPr>
                  <w:r>
                    <w:rPr>
                      <w:rFonts w:hint="eastAsia"/>
                      <w:color w:val="000000"/>
                    </w:rPr>
                    <w:t>6</w:t>
                  </w:r>
                </w:p>
              </w:tc>
              <w:tc>
                <w:tcPr>
                  <w:tcW w:w="3169" w:type="pct"/>
                  <w:tcBorders>
                    <w:top w:val="single" w:color="auto" w:sz="4" w:space="0"/>
                    <w:left w:val="single" w:color="auto" w:sz="4" w:space="0"/>
                    <w:bottom w:val="single" w:color="auto" w:sz="4" w:space="0"/>
                    <w:right w:val="single" w:color="auto" w:sz="4" w:space="0"/>
                    <w:tl2br w:val="nil"/>
                    <w:tr2bl w:val="nil"/>
                  </w:tcBorders>
                  <w:vAlign w:val="center"/>
                </w:tcPr>
                <w:p w14:paraId="64C92420">
                  <w:pPr>
                    <w:snapToGrid w:val="0"/>
                    <w:rPr>
                      <w:color w:val="000000"/>
                    </w:rPr>
                  </w:pPr>
                  <w:r>
                    <w:rPr>
                      <w:rFonts w:hint="eastAsia"/>
                      <w:color w:val="000000"/>
                    </w:rPr>
                    <w:t>实施排污许可。建立健全以排污许可核发为中心的非甲烷总烃管控依据，在石油、化工、工业涂装、包装印刷、油品储运销五大领域全面推行排污许可制度，不断规范涉非甲烷总烃工业企业的排污许可登记管理，落实企业非甲烷总烃源头削减、过程控制和末端污染治理工作，推进企业自行监测、台5账落实和定期报告的具体规定落地，严厉处罚无证和不按证排污行为.</w:t>
                  </w:r>
                </w:p>
              </w:tc>
              <w:tc>
                <w:tcPr>
                  <w:tcW w:w="1011" w:type="pct"/>
                  <w:tcBorders>
                    <w:top w:val="single" w:color="auto" w:sz="4" w:space="0"/>
                    <w:left w:val="single" w:color="auto" w:sz="4" w:space="0"/>
                    <w:bottom w:val="single" w:color="auto" w:sz="4" w:space="0"/>
                    <w:right w:val="single" w:color="auto" w:sz="4" w:space="0"/>
                    <w:tl2br w:val="nil"/>
                    <w:tr2bl w:val="nil"/>
                  </w:tcBorders>
                  <w:vAlign w:val="center"/>
                </w:tcPr>
                <w:p w14:paraId="137BBCD7">
                  <w:pPr>
                    <w:pStyle w:val="44"/>
                    <w:adjustRightInd/>
                    <w:spacing w:line="240" w:lineRule="auto"/>
                    <w:ind w:firstLine="0" w:firstLineChars="0"/>
                    <w:jc w:val="both"/>
                    <w:rPr>
                      <w:color w:val="000000"/>
                      <w:kern w:val="2"/>
                      <w:sz w:val="21"/>
                      <w:szCs w:val="21"/>
                    </w:rPr>
                  </w:pPr>
                  <w:r>
                    <w:rPr>
                      <w:rFonts w:hint="eastAsia"/>
                      <w:color w:val="000000"/>
                      <w:kern w:val="2"/>
                      <w:sz w:val="21"/>
                      <w:szCs w:val="21"/>
                    </w:rPr>
                    <w:t>按照排污许可要求，实施排污许可。</w:t>
                  </w:r>
                </w:p>
              </w:tc>
              <w:tc>
                <w:tcPr>
                  <w:tcW w:w="439" w:type="pct"/>
                  <w:tcBorders>
                    <w:top w:val="single" w:color="auto" w:sz="4" w:space="0"/>
                    <w:left w:val="single" w:color="auto" w:sz="4" w:space="0"/>
                    <w:bottom w:val="single" w:color="auto" w:sz="4" w:space="0"/>
                    <w:right w:val="single" w:color="auto" w:sz="4" w:space="0"/>
                    <w:tl2br w:val="nil"/>
                    <w:tr2bl w:val="nil"/>
                  </w:tcBorders>
                  <w:vAlign w:val="center"/>
                </w:tcPr>
                <w:p w14:paraId="0D083616">
                  <w:pPr>
                    <w:snapToGrid w:val="0"/>
                    <w:rPr>
                      <w:color w:val="000000"/>
                    </w:rPr>
                  </w:pPr>
                  <w:r>
                    <w:rPr>
                      <w:color w:val="000000"/>
                    </w:rPr>
                    <w:t>符合</w:t>
                  </w:r>
                </w:p>
              </w:tc>
            </w:tr>
          </w:tbl>
          <w:p w14:paraId="65FBEC0C">
            <w:pPr>
              <w:spacing w:line="400" w:lineRule="exact"/>
              <w:rPr>
                <w:b/>
                <w:bCs/>
                <w:color w:val="000000"/>
                <w:sz w:val="24"/>
              </w:rPr>
            </w:pPr>
            <w:r>
              <w:rPr>
                <w:rFonts w:hint="eastAsia"/>
                <w:b/>
                <w:bCs/>
                <w:color w:val="000000"/>
                <w:sz w:val="24"/>
              </w:rPr>
              <w:t>5、与《加油站地下水污染防治技术指南（试行）》相符性分析</w:t>
            </w:r>
          </w:p>
          <w:p w14:paraId="0C9B7575">
            <w:pPr>
              <w:widowControl/>
              <w:spacing w:line="400" w:lineRule="exact"/>
              <w:jc w:val="center"/>
              <w:rPr>
                <w:b/>
                <w:bCs/>
                <w:color w:val="000000"/>
                <w:kern w:val="0"/>
                <w:sz w:val="24"/>
              </w:rPr>
            </w:pPr>
            <w:r>
              <w:rPr>
                <w:b/>
                <w:color w:val="000000"/>
                <w:kern w:val="0"/>
                <w:sz w:val="24"/>
              </w:rPr>
              <w:t>表1-</w:t>
            </w:r>
            <w:r>
              <w:rPr>
                <w:rFonts w:hint="eastAsia"/>
                <w:b/>
                <w:color w:val="000000"/>
                <w:kern w:val="0"/>
                <w:sz w:val="24"/>
              </w:rPr>
              <w:t>14</w:t>
            </w:r>
            <w:r>
              <w:rPr>
                <w:b/>
                <w:color w:val="000000"/>
                <w:kern w:val="0"/>
                <w:sz w:val="24"/>
              </w:rPr>
              <w:t xml:space="preserve"> 与</w:t>
            </w:r>
            <w:r>
              <w:rPr>
                <w:rFonts w:hint="eastAsia"/>
                <w:b/>
                <w:bCs/>
                <w:color w:val="000000"/>
                <w:sz w:val="24"/>
              </w:rPr>
              <w:t>《加油站地下水污染防治技术指南（试行）》相符性分析</w:t>
            </w:r>
          </w:p>
          <w:tbl>
            <w:tblPr>
              <w:tblStyle w:val="27"/>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30"/>
              <w:gridCol w:w="3922"/>
              <w:gridCol w:w="2513"/>
              <w:gridCol w:w="491"/>
            </w:tblGrid>
            <w:tr w14:paraId="05A95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54" w:type="pct"/>
                  <w:vAlign w:val="center"/>
                </w:tcPr>
                <w:p w14:paraId="42F5CEF6">
                  <w:pPr>
                    <w:snapToGrid w:val="0"/>
                    <w:ind w:left="-113" w:leftChars="-54" w:right="-132" w:rightChars="-63"/>
                    <w:jc w:val="center"/>
                    <w:rPr>
                      <w:color w:val="000000"/>
                      <w:szCs w:val="21"/>
                    </w:rPr>
                  </w:pPr>
                  <w:r>
                    <w:rPr>
                      <w:color w:val="000000"/>
                      <w:szCs w:val="21"/>
                    </w:rPr>
                    <w:t>名称</w:t>
                  </w:r>
                </w:p>
              </w:tc>
              <w:tc>
                <w:tcPr>
                  <w:tcW w:w="2404" w:type="pct"/>
                  <w:vAlign w:val="center"/>
                </w:tcPr>
                <w:p w14:paraId="6B119BD1">
                  <w:pPr>
                    <w:snapToGrid w:val="0"/>
                    <w:jc w:val="center"/>
                    <w:rPr>
                      <w:color w:val="000000"/>
                      <w:szCs w:val="21"/>
                    </w:rPr>
                  </w:pPr>
                  <w:r>
                    <w:rPr>
                      <w:color w:val="000000"/>
                      <w:szCs w:val="21"/>
                    </w:rPr>
                    <w:t>要求内容</w:t>
                  </w:r>
                </w:p>
              </w:tc>
              <w:tc>
                <w:tcPr>
                  <w:tcW w:w="1540" w:type="pct"/>
                  <w:vAlign w:val="center"/>
                </w:tcPr>
                <w:p w14:paraId="1D9382B6">
                  <w:pPr>
                    <w:snapToGrid w:val="0"/>
                    <w:jc w:val="center"/>
                    <w:rPr>
                      <w:color w:val="000000"/>
                      <w:szCs w:val="21"/>
                    </w:rPr>
                  </w:pPr>
                  <w:r>
                    <w:rPr>
                      <w:color w:val="000000"/>
                      <w:szCs w:val="21"/>
                    </w:rPr>
                    <w:t>本项目措施</w:t>
                  </w:r>
                </w:p>
              </w:tc>
              <w:tc>
                <w:tcPr>
                  <w:tcW w:w="301" w:type="pct"/>
                  <w:vAlign w:val="center"/>
                </w:tcPr>
                <w:p w14:paraId="3F0A353E">
                  <w:pPr>
                    <w:ind w:left="-107" w:leftChars="-51" w:right="-103" w:rightChars="-49"/>
                    <w:jc w:val="center"/>
                    <w:rPr>
                      <w:color w:val="000000"/>
                      <w:szCs w:val="21"/>
                    </w:rPr>
                  </w:pPr>
                  <w:r>
                    <w:rPr>
                      <w:color w:val="000000"/>
                      <w:szCs w:val="21"/>
                    </w:rPr>
                    <w:t>相符性</w:t>
                  </w:r>
                </w:p>
              </w:tc>
            </w:tr>
            <w:tr w14:paraId="31519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54" w:type="pct"/>
                  <w:vAlign w:val="center"/>
                </w:tcPr>
                <w:p w14:paraId="4D6360D0">
                  <w:pPr>
                    <w:snapToGrid w:val="0"/>
                    <w:jc w:val="center"/>
                    <w:rPr>
                      <w:color w:val="000000"/>
                      <w:szCs w:val="21"/>
                    </w:rPr>
                  </w:pPr>
                  <w:r>
                    <w:rPr>
                      <w:rFonts w:hint="eastAsia"/>
                      <w:color w:val="000000"/>
                      <w:szCs w:val="21"/>
                    </w:rPr>
                    <w:t>加油站地下水污染预防和应</w:t>
                  </w:r>
                </w:p>
                <w:p w14:paraId="7885E207">
                  <w:pPr>
                    <w:snapToGrid w:val="0"/>
                    <w:jc w:val="center"/>
                    <w:rPr>
                      <w:color w:val="000000"/>
                      <w:szCs w:val="21"/>
                    </w:rPr>
                  </w:pPr>
                  <w:r>
                    <w:rPr>
                      <w:rFonts w:hint="eastAsia"/>
                      <w:color w:val="000000"/>
                      <w:szCs w:val="21"/>
                    </w:rPr>
                    <w:t>急</w:t>
                  </w:r>
                </w:p>
              </w:tc>
              <w:tc>
                <w:tcPr>
                  <w:tcW w:w="2404" w:type="pct"/>
                  <w:vAlign w:val="center"/>
                </w:tcPr>
                <w:p w14:paraId="433D17E9">
                  <w:pPr>
                    <w:snapToGrid w:val="0"/>
                    <w:jc w:val="center"/>
                    <w:rPr>
                      <w:color w:val="000000"/>
                      <w:szCs w:val="21"/>
                    </w:rPr>
                  </w:pPr>
                  <w:r>
                    <w:rPr>
                      <w:color w:val="000000"/>
                      <w:szCs w:val="21"/>
                    </w:rPr>
                    <w:t>为防止加油站油品泄漏，污染土壤和地下水，加油站需要采取防渗漏和防渗漏检测措施。所有加油站的油罐需要更新为双层罐或者设置防渗池，双层罐和防渗池应符合《汽车加油加气站设计与施工规范》( GB 50156)的要求。</w:t>
                  </w:r>
                </w:p>
              </w:tc>
              <w:tc>
                <w:tcPr>
                  <w:tcW w:w="1540" w:type="pct"/>
                  <w:vAlign w:val="center"/>
                </w:tcPr>
                <w:p w14:paraId="19CB18BE">
                  <w:pPr>
                    <w:snapToGrid w:val="0"/>
                    <w:jc w:val="center"/>
                    <w:rPr>
                      <w:color w:val="000000"/>
                      <w:szCs w:val="21"/>
                    </w:rPr>
                  </w:pPr>
                  <w:r>
                    <w:rPr>
                      <w:rFonts w:hint="eastAsia"/>
                      <w:color w:val="000000"/>
                      <w:szCs w:val="21"/>
                    </w:rPr>
                    <w:t>本</w:t>
                  </w:r>
                  <w:r>
                    <w:rPr>
                      <w:color w:val="000000"/>
                      <w:szCs w:val="21"/>
                    </w:rPr>
                    <w:t>项目油罐</w:t>
                  </w:r>
                  <w:r>
                    <w:rPr>
                      <w:rFonts w:hint="eastAsia"/>
                      <w:color w:val="000000"/>
                      <w:szCs w:val="21"/>
                    </w:rPr>
                    <w:t>均</w:t>
                  </w:r>
                  <w:r>
                    <w:rPr>
                      <w:color w:val="000000"/>
                      <w:szCs w:val="21"/>
                    </w:rPr>
                    <w:t>为双层罐或者设置防渗池，双层罐和防渗池应符合《汽车加油加气站设计与施工规范》( GB50156)的要求</w:t>
                  </w:r>
                </w:p>
              </w:tc>
              <w:tc>
                <w:tcPr>
                  <w:tcW w:w="301" w:type="pct"/>
                  <w:vAlign w:val="center"/>
                </w:tcPr>
                <w:p w14:paraId="1F80F55C">
                  <w:pPr>
                    <w:snapToGrid w:val="0"/>
                    <w:jc w:val="center"/>
                    <w:rPr>
                      <w:color w:val="000000"/>
                      <w:szCs w:val="21"/>
                    </w:rPr>
                  </w:pPr>
                  <w:r>
                    <w:rPr>
                      <w:color w:val="000000"/>
                      <w:szCs w:val="21"/>
                    </w:rPr>
                    <w:t>符合</w:t>
                  </w:r>
                </w:p>
              </w:tc>
            </w:tr>
            <w:tr w14:paraId="6ECD6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8" w:hRule="atLeast"/>
                <w:jc w:val="center"/>
              </w:trPr>
              <w:tc>
                <w:tcPr>
                  <w:tcW w:w="754" w:type="pct"/>
                  <w:vAlign w:val="center"/>
                </w:tcPr>
                <w:p w14:paraId="221D86C6">
                  <w:pPr>
                    <w:snapToGrid w:val="0"/>
                    <w:jc w:val="center"/>
                    <w:rPr>
                      <w:color w:val="000000"/>
                      <w:szCs w:val="21"/>
                    </w:rPr>
                  </w:pPr>
                  <w:r>
                    <w:rPr>
                      <w:rFonts w:hint="eastAsia"/>
                      <w:color w:val="000000"/>
                      <w:szCs w:val="21"/>
                    </w:rPr>
                    <w:t>加油站地下水污染预防和应</w:t>
                  </w:r>
                </w:p>
                <w:p w14:paraId="61C82FB9">
                  <w:pPr>
                    <w:snapToGrid w:val="0"/>
                    <w:jc w:val="center"/>
                    <w:rPr>
                      <w:color w:val="000000"/>
                      <w:szCs w:val="21"/>
                    </w:rPr>
                  </w:pPr>
                  <w:r>
                    <w:rPr>
                      <w:rFonts w:hint="eastAsia"/>
                      <w:color w:val="000000"/>
                      <w:szCs w:val="21"/>
                    </w:rPr>
                    <w:t>急</w:t>
                  </w:r>
                </w:p>
              </w:tc>
              <w:tc>
                <w:tcPr>
                  <w:tcW w:w="2404" w:type="pct"/>
                  <w:vAlign w:val="center"/>
                </w:tcPr>
                <w:p w14:paraId="57DBA539">
                  <w:pPr>
                    <w:snapToGrid w:val="0"/>
                    <w:jc w:val="center"/>
                    <w:rPr>
                      <w:color w:val="000000"/>
                      <w:szCs w:val="21"/>
                    </w:rPr>
                  </w:pPr>
                  <w:r>
                    <w:rPr>
                      <w:color w:val="000000"/>
                      <w:szCs w:val="21"/>
                    </w:rPr>
                    <w:t>采取防渗漏措施的加油站，其埋地加油管道应采用双层管道。具体设计要求应符合《汽车加油加气站设计与施工规范》(GB 50156 )的规定。双层油罐、防渗池和管道系统的渗漏检测宜采用在线监测</w:t>
                  </w:r>
                </w:p>
              </w:tc>
              <w:tc>
                <w:tcPr>
                  <w:tcW w:w="1540" w:type="pct"/>
                  <w:vAlign w:val="center"/>
                </w:tcPr>
                <w:p w14:paraId="205E4D75">
                  <w:pPr>
                    <w:snapToGrid w:val="0"/>
                    <w:jc w:val="center"/>
                    <w:rPr>
                      <w:color w:val="000000"/>
                      <w:szCs w:val="21"/>
                    </w:rPr>
                  </w:pPr>
                  <w:r>
                    <w:rPr>
                      <w:rFonts w:hint="eastAsia"/>
                      <w:color w:val="000000"/>
                      <w:szCs w:val="21"/>
                    </w:rPr>
                    <w:t>本</w:t>
                  </w:r>
                  <w:r>
                    <w:rPr>
                      <w:color w:val="000000"/>
                      <w:szCs w:val="21"/>
                    </w:rPr>
                    <w:t>项目埋地加油管道应采用双层管道</w:t>
                  </w:r>
                </w:p>
              </w:tc>
              <w:tc>
                <w:tcPr>
                  <w:tcW w:w="301" w:type="pct"/>
                  <w:vAlign w:val="center"/>
                </w:tcPr>
                <w:p w14:paraId="5CCE3B7F">
                  <w:pPr>
                    <w:snapToGrid w:val="0"/>
                    <w:jc w:val="center"/>
                    <w:rPr>
                      <w:color w:val="000000"/>
                      <w:szCs w:val="21"/>
                    </w:rPr>
                  </w:pPr>
                  <w:r>
                    <w:rPr>
                      <w:color w:val="000000"/>
                      <w:szCs w:val="21"/>
                    </w:rPr>
                    <w:t>符合</w:t>
                  </w:r>
                </w:p>
              </w:tc>
            </w:tr>
            <w:tr w14:paraId="5DFC8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8" w:hRule="atLeast"/>
                <w:jc w:val="center"/>
              </w:trPr>
              <w:tc>
                <w:tcPr>
                  <w:tcW w:w="754" w:type="pct"/>
                  <w:vAlign w:val="center"/>
                </w:tcPr>
                <w:p w14:paraId="590C716F">
                  <w:pPr>
                    <w:snapToGrid w:val="0"/>
                    <w:jc w:val="center"/>
                    <w:rPr>
                      <w:color w:val="000000"/>
                      <w:szCs w:val="21"/>
                    </w:rPr>
                  </w:pPr>
                  <w:r>
                    <w:rPr>
                      <w:rFonts w:hint="eastAsia"/>
                      <w:color w:val="000000"/>
                      <w:szCs w:val="21"/>
                    </w:rPr>
                    <w:t>防渗池的设计应符合下列规定</w:t>
                  </w:r>
                </w:p>
              </w:tc>
              <w:tc>
                <w:tcPr>
                  <w:tcW w:w="2404" w:type="pct"/>
                  <w:vAlign w:val="center"/>
                </w:tcPr>
                <w:p w14:paraId="4D689E25">
                  <w:pPr>
                    <w:snapToGrid w:val="0"/>
                    <w:jc w:val="center"/>
                    <w:rPr>
                      <w:color w:val="000000"/>
                      <w:szCs w:val="21"/>
                    </w:rPr>
                  </w:pPr>
                  <w:r>
                    <w:rPr>
                      <w:color w:val="000000"/>
                      <w:szCs w:val="21"/>
                    </w:rPr>
                    <w:t>防渗池应采用防渗钢筋混凝土整体浇筑，并应符合现行国家标准《地下工程防水技术规范》(GB 50108）的有关规定。</w:t>
                  </w:r>
                </w:p>
                <w:p w14:paraId="4187BDB8">
                  <w:pPr>
                    <w:snapToGrid w:val="0"/>
                    <w:jc w:val="center"/>
                    <w:rPr>
                      <w:color w:val="000000"/>
                      <w:szCs w:val="21"/>
                    </w:rPr>
                  </w:pPr>
                  <w:r>
                    <w:rPr>
                      <w:color w:val="000000"/>
                      <w:szCs w:val="21"/>
                    </w:rPr>
                    <w:t>防渗池应根据油罐的数量设置隔池。一个隔池内的油罐不应多于两座。</w:t>
                  </w:r>
                </w:p>
                <w:p w14:paraId="0F86123D">
                  <w:pPr>
                    <w:snapToGrid w:val="0"/>
                    <w:jc w:val="center"/>
                    <w:rPr>
                      <w:color w:val="000000"/>
                      <w:szCs w:val="21"/>
                    </w:rPr>
                  </w:pPr>
                  <w:r>
                    <w:rPr>
                      <w:color w:val="000000"/>
                      <w:szCs w:val="21"/>
                    </w:rPr>
                    <w:t>防渗池的池壁顶应高于池内罐顶标高，池底宜低于罐底设计标高200mm，墙面与罐壁之间的间距不应小于500mm。</w:t>
                  </w:r>
                </w:p>
                <w:p w14:paraId="25767232">
                  <w:pPr>
                    <w:snapToGrid w:val="0"/>
                    <w:jc w:val="center"/>
                    <w:rPr>
                      <w:color w:val="000000"/>
                      <w:szCs w:val="21"/>
                    </w:rPr>
                  </w:pPr>
                  <w:r>
                    <w:rPr>
                      <w:color w:val="000000"/>
                      <w:szCs w:val="21"/>
                    </w:rPr>
                    <w:t>防渗池的内表面应衬玻璃钢或其他材料防渗层。</w:t>
                  </w:r>
                </w:p>
                <w:p w14:paraId="4C07BF4E">
                  <w:pPr>
                    <w:snapToGrid w:val="0"/>
                    <w:jc w:val="center"/>
                    <w:rPr>
                      <w:color w:val="000000"/>
                      <w:szCs w:val="21"/>
                    </w:rPr>
                  </w:pPr>
                  <w:r>
                    <w:rPr>
                      <w:color w:val="000000"/>
                      <w:szCs w:val="21"/>
                    </w:rPr>
                    <w:t>防渗池的上部，应采取防止雨水、地表水和外部泄漏油品渗入池内的措施。</w:t>
                  </w:r>
                </w:p>
              </w:tc>
              <w:tc>
                <w:tcPr>
                  <w:tcW w:w="1540" w:type="pct"/>
                  <w:vAlign w:val="center"/>
                </w:tcPr>
                <w:p w14:paraId="6042F6B0">
                  <w:pPr>
                    <w:snapToGrid w:val="0"/>
                    <w:jc w:val="center"/>
                    <w:rPr>
                      <w:color w:val="000000"/>
                      <w:szCs w:val="21"/>
                    </w:rPr>
                  </w:pPr>
                  <w:r>
                    <w:rPr>
                      <w:rFonts w:hint="eastAsia"/>
                      <w:color w:val="000000"/>
                      <w:szCs w:val="21"/>
                    </w:rPr>
                    <w:t>本项目</w:t>
                  </w:r>
                  <w:r>
                    <w:rPr>
                      <w:color w:val="000000"/>
                      <w:szCs w:val="21"/>
                    </w:rPr>
                    <w:t>防渗池采用防渗钢筋混凝土整体浇筑，并应符合现行国家标准《地下工程防水技术规范》(GB 50108）的有关规定</w:t>
                  </w:r>
                  <w:r>
                    <w:rPr>
                      <w:rFonts w:hint="eastAsia"/>
                      <w:color w:val="000000"/>
                      <w:szCs w:val="21"/>
                    </w:rPr>
                    <w:t>，且每个隔池只放一个双层油罐，本项目</w:t>
                  </w:r>
                  <w:r>
                    <w:rPr>
                      <w:color w:val="000000"/>
                      <w:szCs w:val="21"/>
                    </w:rPr>
                    <w:t>防渗池的池壁顶高于池内罐顶标高，池底低于罐底设计标高200mm，墙面与罐壁之间的间距不应小于500mm。</w:t>
                  </w:r>
                  <w:r>
                    <w:rPr>
                      <w:rFonts w:hint="eastAsia"/>
                      <w:color w:val="000000"/>
                      <w:szCs w:val="21"/>
                    </w:rPr>
                    <w:t>本项目</w:t>
                  </w:r>
                  <w:r>
                    <w:rPr>
                      <w:color w:val="000000"/>
                      <w:szCs w:val="21"/>
                    </w:rPr>
                    <w:t>防渗池的内表面</w:t>
                  </w:r>
                  <w:r>
                    <w:rPr>
                      <w:rFonts w:hint="eastAsia"/>
                      <w:color w:val="000000"/>
                      <w:szCs w:val="21"/>
                    </w:rPr>
                    <w:t>均采用</w:t>
                  </w:r>
                  <w:r>
                    <w:rPr>
                      <w:color w:val="000000"/>
                      <w:szCs w:val="21"/>
                    </w:rPr>
                    <w:t>衬玻璃钢</w:t>
                  </w:r>
                  <w:r>
                    <w:rPr>
                      <w:rFonts w:hint="eastAsia"/>
                      <w:color w:val="000000"/>
                      <w:szCs w:val="21"/>
                    </w:rPr>
                    <w:t>，同时</w:t>
                  </w:r>
                  <w:r>
                    <w:rPr>
                      <w:color w:val="000000"/>
                      <w:szCs w:val="21"/>
                    </w:rPr>
                    <w:t>上部采取防止雨水、地表水和外部泄漏油品渗入池内的措施</w:t>
                  </w:r>
                </w:p>
              </w:tc>
              <w:tc>
                <w:tcPr>
                  <w:tcW w:w="301" w:type="pct"/>
                  <w:tcBorders>
                    <w:bottom w:val="single" w:color="auto" w:sz="4" w:space="0"/>
                  </w:tcBorders>
                  <w:vAlign w:val="center"/>
                </w:tcPr>
                <w:p w14:paraId="03FEB899">
                  <w:pPr>
                    <w:snapToGrid w:val="0"/>
                    <w:jc w:val="center"/>
                    <w:rPr>
                      <w:color w:val="000000"/>
                      <w:szCs w:val="21"/>
                    </w:rPr>
                  </w:pPr>
                  <w:r>
                    <w:rPr>
                      <w:rFonts w:hint="eastAsia"/>
                      <w:color w:val="000000"/>
                      <w:szCs w:val="21"/>
                    </w:rPr>
                    <w:t>符合</w:t>
                  </w:r>
                </w:p>
              </w:tc>
            </w:tr>
          </w:tbl>
          <w:p w14:paraId="3BB9CF3B">
            <w:pPr>
              <w:spacing w:line="400" w:lineRule="exact"/>
              <w:rPr>
                <w:b/>
                <w:bCs/>
                <w:color w:val="000000"/>
                <w:sz w:val="24"/>
              </w:rPr>
            </w:pPr>
            <w:r>
              <w:rPr>
                <w:rFonts w:hint="eastAsia"/>
                <w:b/>
                <w:bCs/>
                <w:color w:val="000000"/>
                <w:sz w:val="24"/>
              </w:rPr>
              <w:t>6、</w:t>
            </w:r>
            <w:r>
              <w:rPr>
                <w:b/>
                <w:bCs/>
                <w:color w:val="000000"/>
                <w:sz w:val="24"/>
              </w:rPr>
              <w:t>“三线一单”相符性分析</w:t>
            </w:r>
          </w:p>
          <w:p w14:paraId="624FE34C">
            <w:pPr>
              <w:spacing w:line="500" w:lineRule="exact"/>
              <w:ind w:firstLine="482" w:firstLineChars="200"/>
              <w:jc w:val="center"/>
              <w:rPr>
                <w:kern w:val="28"/>
                <w:sz w:val="24"/>
              </w:rPr>
            </w:pPr>
            <w:r>
              <w:rPr>
                <w:b/>
                <w:kern w:val="28"/>
                <w:sz w:val="24"/>
              </w:rPr>
              <w:t>表1-</w:t>
            </w:r>
            <w:r>
              <w:rPr>
                <w:rFonts w:hint="eastAsia"/>
                <w:b/>
                <w:kern w:val="28"/>
                <w:sz w:val="24"/>
              </w:rPr>
              <w:t>9</w:t>
            </w:r>
            <w:r>
              <w:rPr>
                <w:b/>
                <w:kern w:val="28"/>
                <w:sz w:val="24"/>
              </w:rPr>
              <w:t xml:space="preserve">  与安徽省 “三线一单”相符性分析一览表</w:t>
            </w:r>
          </w:p>
          <w:tbl>
            <w:tblPr>
              <w:tblStyle w:val="2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02"/>
              <w:gridCol w:w="4244"/>
              <w:gridCol w:w="2661"/>
              <w:gridCol w:w="760"/>
            </w:tblGrid>
            <w:tr w14:paraId="4D584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08" w:type="pct"/>
                  <w:tcBorders>
                    <w:tl2br w:val="nil"/>
                    <w:tr2bl w:val="nil"/>
                  </w:tcBorders>
                  <w:vAlign w:val="center"/>
                </w:tcPr>
                <w:p w14:paraId="2DCFC4C9">
                  <w:pPr>
                    <w:snapToGrid w:val="0"/>
                    <w:ind w:left="-84" w:leftChars="-40" w:right="-113" w:rightChars="-54"/>
                    <w:jc w:val="center"/>
                    <w:rPr>
                      <w:szCs w:val="21"/>
                    </w:rPr>
                  </w:pPr>
                  <w:r>
                    <w:rPr>
                      <w:szCs w:val="21"/>
                    </w:rPr>
                    <w:t>序号</w:t>
                  </w:r>
                </w:p>
              </w:tc>
              <w:tc>
                <w:tcPr>
                  <w:tcW w:w="2598" w:type="pct"/>
                  <w:tcBorders>
                    <w:tl2br w:val="nil"/>
                    <w:tr2bl w:val="nil"/>
                  </w:tcBorders>
                  <w:vAlign w:val="center"/>
                </w:tcPr>
                <w:p w14:paraId="16BD1542">
                  <w:pPr>
                    <w:snapToGrid w:val="0"/>
                    <w:jc w:val="center"/>
                    <w:rPr>
                      <w:szCs w:val="21"/>
                    </w:rPr>
                  </w:pPr>
                  <w:r>
                    <w:rPr>
                      <w:szCs w:val="21"/>
                    </w:rPr>
                    <w:t>要求内容</w:t>
                  </w:r>
                </w:p>
              </w:tc>
              <w:tc>
                <w:tcPr>
                  <w:tcW w:w="1629" w:type="pct"/>
                  <w:tcBorders>
                    <w:tl2br w:val="nil"/>
                    <w:tr2bl w:val="nil"/>
                  </w:tcBorders>
                  <w:vAlign w:val="center"/>
                </w:tcPr>
                <w:p w14:paraId="6EE54E54">
                  <w:pPr>
                    <w:snapToGrid w:val="0"/>
                    <w:jc w:val="center"/>
                    <w:rPr>
                      <w:szCs w:val="21"/>
                    </w:rPr>
                  </w:pPr>
                  <w:r>
                    <w:rPr>
                      <w:szCs w:val="21"/>
                    </w:rPr>
                    <w:t>本项目措施</w:t>
                  </w:r>
                </w:p>
              </w:tc>
              <w:tc>
                <w:tcPr>
                  <w:tcW w:w="465" w:type="pct"/>
                  <w:tcBorders>
                    <w:tl2br w:val="nil"/>
                    <w:tr2bl w:val="nil"/>
                  </w:tcBorders>
                  <w:vAlign w:val="center"/>
                </w:tcPr>
                <w:p w14:paraId="6DFAE60C">
                  <w:pPr>
                    <w:ind w:left="-107" w:leftChars="-51" w:right="-134" w:rightChars="-64"/>
                    <w:jc w:val="center"/>
                    <w:rPr>
                      <w:szCs w:val="21"/>
                    </w:rPr>
                  </w:pPr>
                  <w:r>
                    <w:rPr>
                      <w:szCs w:val="21"/>
                    </w:rPr>
                    <w:t>相符性</w:t>
                  </w:r>
                </w:p>
              </w:tc>
            </w:tr>
            <w:tr w14:paraId="327B1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08" w:type="pct"/>
                  <w:tcBorders>
                    <w:tl2br w:val="nil"/>
                    <w:tr2bl w:val="nil"/>
                  </w:tcBorders>
                  <w:vAlign w:val="center"/>
                </w:tcPr>
                <w:p w14:paraId="4F6F30E4">
                  <w:pPr>
                    <w:snapToGrid w:val="0"/>
                    <w:jc w:val="center"/>
                    <w:rPr>
                      <w:szCs w:val="21"/>
                    </w:rPr>
                  </w:pPr>
                  <w:r>
                    <w:rPr>
                      <w:szCs w:val="21"/>
                    </w:rPr>
                    <w:t>1</w:t>
                  </w:r>
                </w:p>
              </w:tc>
              <w:tc>
                <w:tcPr>
                  <w:tcW w:w="2598" w:type="pct"/>
                  <w:tcBorders>
                    <w:tl2br w:val="nil"/>
                    <w:tr2bl w:val="nil"/>
                  </w:tcBorders>
                  <w:vAlign w:val="center"/>
                </w:tcPr>
                <w:p w14:paraId="77B36CCC">
                  <w:pPr>
                    <w:snapToGrid w:val="0"/>
                    <w:ind w:left="-107" w:leftChars="-51" w:right="-109" w:rightChars="-52"/>
                    <w:jc w:val="center"/>
                    <w:rPr>
                      <w:szCs w:val="21"/>
                    </w:rPr>
                  </w:pPr>
                  <w:r>
                    <w:rPr>
                      <w:szCs w:val="21"/>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外，在生态保护红线范围内，严格控制开发建设活动，依法不予审批新建工业项目的矿产开发项目的环评文件</w:t>
                  </w:r>
                </w:p>
              </w:tc>
              <w:tc>
                <w:tcPr>
                  <w:tcW w:w="1629" w:type="pct"/>
                  <w:tcBorders>
                    <w:tl2br w:val="nil"/>
                    <w:tr2bl w:val="nil"/>
                  </w:tcBorders>
                  <w:vAlign w:val="center"/>
                </w:tcPr>
                <w:p w14:paraId="3961C35F">
                  <w:pPr>
                    <w:snapToGrid w:val="0"/>
                    <w:ind w:left="-107" w:leftChars="-51" w:right="-109" w:rightChars="-52"/>
                    <w:jc w:val="center"/>
                    <w:rPr>
                      <w:szCs w:val="21"/>
                    </w:rPr>
                  </w:pPr>
                  <w:r>
                    <w:rPr>
                      <w:szCs w:val="21"/>
                    </w:rPr>
                    <w:t>本项目位于蚌埠市</w:t>
                  </w:r>
                  <w:r>
                    <w:rPr>
                      <w:rFonts w:hint="eastAsia"/>
                      <w:szCs w:val="21"/>
                    </w:rPr>
                    <w:t>固镇</w:t>
                  </w:r>
                  <w:r>
                    <w:rPr>
                      <w:szCs w:val="21"/>
                    </w:rPr>
                    <w:t>县</w:t>
                  </w:r>
                  <w:r>
                    <w:rPr>
                      <w:rFonts w:hint="eastAsia"/>
                      <w:szCs w:val="21"/>
                    </w:rPr>
                    <w:t>101省道固镇城北现有加油站内</w:t>
                  </w:r>
                  <w:r>
                    <w:rPr>
                      <w:szCs w:val="21"/>
                    </w:rPr>
                    <w:t>，所在地周边无自然保护区、饮用水源保护区等生态保护目标，故本项目不在生态保护红线范围内</w:t>
                  </w:r>
                </w:p>
              </w:tc>
              <w:tc>
                <w:tcPr>
                  <w:tcW w:w="465" w:type="pct"/>
                  <w:tcBorders>
                    <w:tl2br w:val="nil"/>
                    <w:tr2bl w:val="nil"/>
                  </w:tcBorders>
                  <w:vAlign w:val="center"/>
                </w:tcPr>
                <w:p w14:paraId="7690F7B0">
                  <w:pPr>
                    <w:jc w:val="center"/>
                    <w:rPr>
                      <w:szCs w:val="21"/>
                    </w:rPr>
                  </w:pPr>
                  <w:r>
                    <w:rPr>
                      <w:szCs w:val="21"/>
                    </w:rPr>
                    <w:t>符合</w:t>
                  </w:r>
                </w:p>
              </w:tc>
            </w:tr>
            <w:tr w14:paraId="61C4F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08" w:type="pct"/>
                  <w:tcBorders>
                    <w:tl2br w:val="nil"/>
                    <w:tr2bl w:val="nil"/>
                  </w:tcBorders>
                  <w:vAlign w:val="center"/>
                </w:tcPr>
                <w:p w14:paraId="36F56F73">
                  <w:pPr>
                    <w:snapToGrid w:val="0"/>
                    <w:jc w:val="center"/>
                    <w:rPr>
                      <w:szCs w:val="21"/>
                    </w:rPr>
                  </w:pPr>
                  <w:r>
                    <w:rPr>
                      <w:szCs w:val="21"/>
                    </w:rPr>
                    <w:t>2</w:t>
                  </w:r>
                </w:p>
              </w:tc>
              <w:tc>
                <w:tcPr>
                  <w:tcW w:w="2598" w:type="pct"/>
                  <w:tcBorders>
                    <w:tl2br w:val="nil"/>
                    <w:tr2bl w:val="nil"/>
                  </w:tcBorders>
                  <w:vAlign w:val="center"/>
                </w:tcPr>
                <w:p w14:paraId="00C16A58">
                  <w:pPr>
                    <w:snapToGrid w:val="0"/>
                    <w:ind w:left="-107" w:leftChars="-51" w:right="-109" w:rightChars="-52"/>
                    <w:jc w:val="center"/>
                    <w:rPr>
                      <w:szCs w:val="21"/>
                    </w:rPr>
                  </w:pPr>
                  <w:r>
                    <w:rPr>
                      <w:szCs w:val="21"/>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629" w:type="pct"/>
                  <w:tcBorders>
                    <w:tl2br w:val="nil"/>
                    <w:tr2bl w:val="nil"/>
                  </w:tcBorders>
                  <w:vAlign w:val="center"/>
                </w:tcPr>
                <w:p w14:paraId="17196419">
                  <w:pPr>
                    <w:snapToGrid w:val="0"/>
                    <w:ind w:left="-107" w:leftChars="-51" w:right="-109" w:rightChars="-52"/>
                    <w:jc w:val="center"/>
                    <w:rPr>
                      <w:szCs w:val="21"/>
                    </w:rPr>
                  </w:pPr>
                  <w:r>
                    <w:rPr>
                      <w:szCs w:val="21"/>
                    </w:rPr>
                    <w:t>根据现状调査评价结果，项目区域大气为不达标区。周围</w:t>
                  </w:r>
                  <w:r>
                    <w:rPr>
                      <w:rFonts w:hint="eastAsia"/>
                      <w:szCs w:val="21"/>
                    </w:rPr>
                    <w:t>土壤、</w:t>
                  </w:r>
                  <w:r>
                    <w:rPr>
                      <w:szCs w:val="21"/>
                    </w:rPr>
                    <w:t>地表水、声环境质量均可满足相关质量标准要求：根据工程分析及污染防治分析项目所采取污染防治措施合理可行，各污染物达标排放。针对区域环境不达标的情况，蚌埠市生态环境局制定了《蚌埠市环境空气质量达标规划（2019</w:t>
                  </w:r>
                  <w:r>
                    <w:rPr>
                      <w:sz w:val="24"/>
                    </w:rPr>
                    <w:t>–</w:t>
                  </w:r>
                  <w:r>
                    <w:rPr>
                      <w:szCs w:val="21"/>
                    </w:rPr>
                    <w:t>2030年）》</w:t>
                  </w:r>
                </w:p>
              </w:tc>
              <w:tc>
                <w:tcPr>
                  <w:tcW w:w="465" w:type="pct"/>
                  <w:tcBorders>
                    <w:tl2br w:val="nil"/>
                    <w:tr2bl w:val="nil"/>
                  </w:tcBorders>
                  <w:vAlign w:val="center"/>
                </w:tcPr>
                <w:p w14:paraId="4421DA6A">
                  <w:pPr>
                    <w:jc w:val="center"/>
                    <w:rPr>
                      <w:szCs w:val="21"/>
                    </w:rPr>
                  </w:pPr>
                  <w:r>
                    <w:rPr>
                      <w:szCs w:val="21"/>
                    </w:rPr>
                    <w:t>符合</w:t>
                  </w:r>
                </w:p>
              </w:tc>
            </w:tr>
            <w:tr w14:paraId="35DB0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08" w:type="pct"/>
                  <w:tcBorders>
                    <w:tl2br w:val="nil"/>
                    <w:tr2bl w:val="nil"/>
                  </w:tcBorders>
                  <w:vAlign w:val="center"/>
                </w:tcPr>
                <w:p w14:paraId="5C3EDF5D">
                  <w:pPr>
                    <w:snapToGrid w:val="0"/>
                    <w:jc w:val="center"/>
                    <w:rPr>
                      <w:szCs w:val="21"/>
                    </w:rPr>
                  </w:pPr>
                  <w:r>
                    <w:rPr>
                      <w:szCs w:val="21"/>
                    </w:rPr>
                    <w:t>3</w:t>
                  </w:r>
                </w:p>
              </w:tc>
              <w:tc>
                <w:tcPr>
                  <w:tcW w:w="2598" w:type="pct"/>
                  <w:tcBorders>
                    <w:tl2br w:val="nil"/>
                    <w:tr2bl w:val="nil"/>
                  </w:tcBorders>
                  <w:vAlign w:val="center"/>
                </w:tcPr>
                <w:p w14:paraId="730BC847">
                  <w:pPr>
                    <w:snapToGrid w:val="0"/>
                    <w:ind w:left="-107" w:leftChars="-51" w:right="-109" w:rightChars="-52"/>
                    <w:jc w:val="center"/>
                    <w:rPr>
                      <w:szCs w:val="21"/>
                    </w:rPr>
                  </w:pPr>
                  <w:r>
                    <w:rPr>
                      <w:szCs w:val="21"/>
                    </w:rPr>
                    <w:t>资源是环境的载体，资源利用上线是各地区能源、水、土地等资源不得突破的“天花板”。相关规划环评应依据有关资源利用上线，对规划实施以及规划内项目的资源开发利用，区分不同行业，从资源能源开发等量或减量替代、开采方式和规模控制、利用效率和保护措施等方面提出建议，为规划编制和审批决策提出重要依据</w:t>
                  </w:r>
                </w:p>
              </w:tc>
              <w:tc>
                <w:tcPr>
                  <w:tcW w:w="1629" w:type="pct"/>
                  <w:tcBorders>
                    <w:tl2br w:val="nil"/>
                    <w:tr2bl w:val="nil"/>
                  </w:tcBorders>
                  <w:vAlign w:val="center"/>
                </w:tcPr>
                <w:p w14:paraId="260F2F4D">
                  <w:pPr>
                    <w:widowControl/>
                    <w:snapToGrid w:val="0"/>
                    <w:ind w:left="-107" w:leftChars="-51" w:right="-109" w:rightChars="-52"/>
                    <w:jc w:val="center"/>
                    <w:rPr>
                      <w:szCs w:val="21"/>
                    </w:rPr>
                  </w:pPr>
                  <w:r>
                    <w:rPr>
                      <w:szCs w:val="21"/>
                    </w:rPr>
                    <w:t>本项目生产过程中消耗一定的水、电（均由市政系统供给），项目资源消耗量占区域资源利用总量较少，符合资源利用上线要求</w:t>
                  </w:r>
                </w:p>
              </w:tc>
              <w:tc>
                <w:tcPr>
                  <w:tcW w:w="465" w:type="pct"/>
                  <w:tcBorders>
                    <w:tl2br w:val="nil"/>
                    <w:tr2bl w:val="nil"/>
                  </w:tcBorders>
                  <w:vAlign w:val="center"/>
                </w:tcPr>
                <w:p w14:paraId="2F9658D7">
                  <w:pPr>
                    <w:jc w:val="center"/>
                    <w:rPr>
                      <w:szCs w:val="21"/>
                    </w:rPr>
                  </w:pPr>
                  <w:r>
                    <w:rPr>
                      <w:szCs w:val="21"/>
                    </w:rPr>
                    <w:t>符合</w:t>
                  </w:r>
                </w:p>
              </w:tc>
            </w:tr>
            <w:tr w14:paraId="3BB164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08" w:type="pct"/>
                  <w:tcBorders>
                    <w:tl2br w:val="nil"/>
                    <w:tr2bl w:val="nil"/>
                  </w:tcBorders>
                  <w:vAlign w:val="center"/>
                </w:tcPr>
                <w:p w14:paraId="2FD9F1EC">
                  <w:pPr>
                    <w:snapToGrid w:val="0"/>
                    <w:jc w:val="center"/>
                    <w:rPr>
                      <w:szCs w:val="21"/>
                    </w:rPr>
                  </w:pPr>
                  <w:r>
                    <w:rPr>
                      <w:szCs w:val="21"/>
                    </w:rPr>
                    <w:t>4</w:t>
                  </w:r>
                </w:p>
              </w:tc>
              <w:tc>
                <w:tcPr>
                  <w:tcW w:w="2598" w:type="pct"/>
                  <w:tcBorders>
                    <w:tl2br w:val="nil"/>
                    <w:tr2bl w:val="nil"/>
                  </w:tcBorders>
                  <w:vAlign w:val="center"/>
                </w:tcPr>
                <w:p w14:paraId="5722BC8E">
                  <w:pPr>
                    <w:snapToGrid w:val="0"/>
                    <w:ind w:left="-107" w:leftChars="-51" w:right="-109" w:rightChars="-52"/>
                    <w:jc w:val="center"/>
                    <w:rPr>
                      <w:szCs w:val="21"/>
                    </w:rPr>
                  </w:pPr>
                  <w:r>
                    <w:rPr>
                      <w:szCs w:val="21"/>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629" w:type="pct"/>
                  <w:tcBorders>
                    <w:tl2br w:val="nil"/>
                    <w:tr2bl w:val="nil"/>
                  </w:tcBorders>
                  <w:vAlign w:val="center"/>
                </w:tcPr>
                <w:p w14:paraId="6AA87AE9">
                  <w:pPr>
                    <w:snapToGrid w:val="0"/>
                    <w:ind w:left="-107" w:leftChars="-51" w:right="-109" w:rightChars="-52"/>
                    <w:jc w:val="center"/>
                    <w:rPr>
                      <w:szCs w:val="21"/>
                    </w:rPr>
                  </w:pPr>
                  <w:r>
                    <w:rPr>
                      <w:szCs w:val="21"/>
                    </w:rPr>
                    <w:t>对照国家产业政策和</w:t>
                  </w:r>
                  <w:r>
                    <w:rPr>
                      <w:rFonts w:hint="eastAsia"/>
                      <w:szCs w:val="21"/>
                    </w:rPr>
                    <w:t>蚌埠市城市规划</w:t>
                  </w:r>
                  <w:r>
                    <w:rPr>
                      <w:szCs w:val="21"/>
                    </w:rPr>
                    <w:t>，本项目</w:t>
                  </w:r>
                  <w:r>
                    <w:rPr>
                      <w:rFonts w:hint="eastAsia"/>
                      <w:szCs w:val="21"/>
                    </w:rPr>
                    <w:t>属于</w:t>
                  </w:r>
                  <w:r>
                    <w:rPr>
                      <w:rFonts w:hint="eastAsia"/>
                      <w:color w:val="000000"/>
                      <w:szCs w:val="21"/>
                    </w:rPr>
                    <w:t>机动车燃油零售</w:t>
                  </w:r>
                  <w:r>
                    <w:rPr>
                      <w:rFonts w:hint="eastAsia"/>
                      <w:szCs w:val="21"/>
                    </w:rPr>
                    <w:t>，不在负面清单内，符合园区规划要求</w:t>
                  </w:r>
                  <w:r>
                    <w:rPr>
                      <w:szCs w:val="21"/>
                    </w:rPr>
                    <w:t>。因此本项目符合国家产业政策</w:t>
                  </w:r>
                </w:p>
              </w:tc>
              <w:tc>
                <w:tcPr>
                  <w:tcW w:w="465" w:type="pct"/>
                  <w:tcBorders>
                    <w:tl2br w:val="nil"/>
                    <w:tr2bl w:val="nil"/>
                  </w:tcBorders>
                  <w:vAlign w:val="center"/>
                </w:tcPr>
                <w:p w14:paraId="5C8028FD">
                  <w:pPr>
                    <w:jc w:val="center"/>
                    <w:rPr>
                      <w:szCs w:val="21"/>
                    </w:rPr>
                  </w:pPr>
                  <w:r>
                    <w:rPr>
                      <w:szCs w:val="21"/>
                    </w:rPr>
                    <w:t>符合</w:t>
                  </w:r>
                </w:p>
              </w:tc>
            </w:tr>
          </w:tbl>
          <w:p w14:paraId="1F73EB3B">
            <w:pPr>
              <w:spacing w:line="460" w:lineRule="exact"/>
              <w:jc w:val="center"/>
              <w:rPr>
                <w:b/>
                <w:kern w:val="28"/>
                <w:sz w:val="24"/>
              </w:rPr>
            </w:pPr>
            <w:r>
              <w:rPr>
                <w:b/>
                <w:kern w:val="28"/>
                <w:sz w:val="24"/>
              </w:rPr>
              <w:t>表1-</w:t>
            </w:r>
            <w:r>
              <w:rPr>
                <w:rFonts w:hint="eastAsia"/>
                <w:b/>
                <w:kern w:val="28"/>
                <w:sz w:val="24"/>
              </w:rPr>
              <w:t>10</w:t>
            </w:r>
            <w:r>
              <w:rPr>
                <w:b/>
                <w:kern w:val="28"/>
                <w:sz w:val="24"/>
              </w:rPr>
              <w:t xml:space="preserve">  与蚌埠市“三线一单”相符性分析一览表</w:t>
            </w:r>
            <w:r>
              <w:rPr>
                <w:rFonts w:hint="eastAsia"/>
                <w:b/>
                <w:kern w:val="28"/>
                <w:sz w:val="24"/>
              </w:rPr>
              <w:t>-与蚌埠市生态环境准入清单相符性分析</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566"/>
              <w:gridCol w:w="783"/>
              <w:gridCol w:w="3601"/>
              <w:gridCol w:w="2036"/>
              <w:gridCol w:w="763"/>
            </w:tblGrid>
            <w:tr w14:paraId="044F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5" w:type="pct"/>
                  <w:gridSpan w:val="2"/>
                  <w:noWrap/>
                  <w:vAlign w:val="center"/>
                </w:tcPr>
                <w:p w14:paraId="3D13EE1B">
                  <w:pPr>
                    <w:snapToGrid w:val="0"/>
                    <w:ind w:left="-55" w:leftChars="-26" w:right="-25" w:rightChars="-12"/>
                    <w:jc w:val="center"/>
                    <w:rPr>
                      <w:szCs w:val="21"/>
                    </w:rPr>
                  </w:pPr>
                  <w:r>
                    <w:rPr>
                      <w:rFonts w:hint="eastAsia"/>
                      <w:szCs w:val="21"/>
                    </w:rPr>
                    <w:t>内容</w:t>
                  </w:r>
                </w:p>
              </w:tc>
              <w:tc>
                <w:tcPr>
                  <w:tcW w:w="479" w:type="pct"/>
                  <w:vAlign w:val="center"/>
                </w:tcPr>
                <w:p w14:paraId="40A25A13">
                  <w:pPr>
                    <w:snapToGrid w:val="0"/>
                    <w:ind w:left="-55" w:leftChars="-26" w:right="-25" w:rightChars="-12"/>
                    <w:jc w:val="center"/>
                    <w:rPr>
                      <w:szCs w:val="21"/>
                    </w:rPr>
                  </w:pPr>
                  <w:r>
                    <w:rPr>
                      <w:szCs w:val="21"/>
                    </w:rPr>
                    <w:t>词条名称</w:t>
                  </w:r>
                </w:p>
              </w:tc>
              <w:tc>
                <w:tcPr>
                  <w:tcW w:w="2203" w:type="pct"/>
                  <w:vAlign w:val="center"/>
                </w:tcPr>
                <w:p w14:paraId="2F6663B2">
                  <w:pPr>
                    <w:snapToGrid w:val="0"/>
                    <w:ind w:left="-55" w:leftChars="-26" w:right="-25" w:rightChars="-12"/>
                    <w:jc w:val="center"/>
                    <w:rPr>
                      <w:szCs w:val="21"/>
                    </w:rPr>
                  </w:pPr>
                  <w:r>
                    <w:rPr>
                      <w:szCs w:val="21"/>
                    </w:rPr>
                    <w:t>管控要求</w:t>
                  </w:r>
                </w:p>
              </w:tc>
              <w:tc>
                <w:tcPr>
                  <w:tcW w:w="1246" w:type="pct"/>
                  <w:vAlign w:val="center"/>
                </w:tcPr>
                <w:p w14:paraId="060B6082">
                  <w:pPr>
                    <w:snapToGrid w:val="0"/>
                    <w:ind w:left="-55" w:leftChars="-26" w:right="-25" w:rightChars="-12"/>
                    <w:jc w:val="center"/>
                    <w:rPr>
                      <w:szCs w:val="21"/>
                    </w:rPr>
                  </w:pPr>
                  <w:r>
                    <w:rPr>
                      <w:rFonts w:hint="eastAsia"/>
                      <w:szCs w:val="21"/>
                    </w:rPr>
                    <w:t>项目情况</w:t>
                  </w:r>
                </w:p>
              </w:tc>
              <w:tc>
                <w:tcPr>
                  <w:tcW w:w="467" w:type="pct"/>
                  <w:vAlign w:val="center"/>
                </w:tcPr>
                <w:p w14:paraId="7D822195">
                  <w:pPr>
                    <w:snapToGrid w:val="0"/>
                    <w:ind w:left="-109" w:leftChars="-52" w:right="-126" w:rightChars="-60"/>
                    <w:jc w:val="center"/>
                    <w:rPr>
                      <w:szCs w:val="21"/>
                    </w:rPr>
                  </w:pPr>
                  <w:r>
                    <w:rPr>
                      <w:szCs w:val="21"/>
                    </w:rPr>
                    <w:t>相符性</w:t>
                  </w:r>
                </w:p>
              </w:tc>
            </w:tr>
            <w:tr w14:paraId="00AF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restart"/>
                  <w:vAlign w:val="center"/>
                </w:tcPr>
                <w:p w14:paraId="6F6938CC">
                  <w:pPr>
                    <w:snapToGrid w:val="0"/>
                    <w:ind w:left="-107" w:leftChars="-51" w:right="-105" w:rightChars="-50"/>
                    <w:jc w:val="center"/>
                    <w:rPr>
                      <w:szCs w:val="21"/>
                    </w:rPr>
                  </w:pPr>
                  <w:r>
                    <w:rPr>
                      <w:szCs w:val="21"/>
                    </w:rPr>
                    <w:t>空间布局约束</w:t>
                  </w:r>
                </w:p>
              </w:tc>
              <w:tc>
                <w:tcPr>
                  <w:tcW w:w="346" w:type="pct"/>
                  <w:vMerge w:val="restart"/>
                  <w:vAlign w:val="center"/>
                </w:tcPr>
                <w:p w14:paraId="32B4D7F5">
                  <w:pPr>
                    <w:snapToGrid w:val="0"/>
                    <w:ind w:left="-107" w:leftChars="-51" w:right="-105" w:rightChars="-50"/>
                    <w:jc w:val="center"/>
                    <w:rPr>
                      <w:szCs w:val="21"/>
                    </w:rPr>
                  </w:pPr>
                  <w:r>
                    <w:rPr>
                      <w:szCs w:val="21"/>
                    </w:rPr>
                    <w:t>禁止开发建设活动的要求</w:t>
                  </w:r>
                </w:p>
              </w:tc>
              <w:tc>
                <w:tcPr>
                  <w:tcW w:w="479" w:type="pct"/>
                  <w:vMerge w:val="restart"/>
                  <w:vAlign w:val="center"/>
                </w:tcPr>
                <w:p w14:paraId="5ECD9091">
                  <w:pPr>
                    <w:snapToGrid w:val="0"/>
                    <w:ind w:left="-107" w:leftChars="-51" w:right="-105" w:rightChars="-50"/>
                    <w:jc w:val="center"/>
                    <w:rPr>
                      <w:szCs w:val="21"/>
                    </w:rPr>
                  </w:pPr>
                  <w:r>
                    <w:rPr>
                      <w:szCs w:val="21"/>
                    </w:rPr>
                    <w:t>省-重点-大气-空间布局-禁止</w:t>
                  </w:r>
                </w:p>
              </w:tc>
              <w:tc>
                <w:tcPr>
                  <w:tcW w:w="2203" w:type="pct"/>
                  <w:vAlign w:val="center"/>
                </w:tcPr>
                <w:p w14:paraId="0F2FFE38">
                  <w:pPr>
                    <w:snapToGrid w:val="0"/>
                    <w:ind w:left="-107" w:leftChars="-51" w:right="-105" w:rightChars="-50"/>
                    <w:jc w:val="center"/>
                    <w:rPr>
                      <w:szCs w:val="21"/>
                    </w:rPr>
                  </w:pPr>
                  <w:r>
                    <w:rPr>
                      <w:szCs w:val="21"/>
                    </w:rPr>
                    <w:t>禁止建设生产和使用高VOCs含量的溶剂型涂料、油墨、胶粘剂等项目</w:t>
                  </w:r>
                </w:p>
              </w:tc>
              <w:tc>
                <w:tcPr>
                  <w:tcW w:w="1246" w:type="pct"/>
                  <w:vAlign w:val="center"/>
                </w:tcPr>
                <w:p w14:paraId="3F386144">
                  <w:pPr>
                    <w:snapToGrid w:val="0"/>
                    <w:ind w:left="-55" w:leftChars="-26" w:right="-25" w:rightChars="-12"/>
                    <w:jc w:val="center"/>
                    <w:rPr>
                      <w:szCs w:val="21"/>
                    </w:rPr>
                  </w:pPr>
                  <w:r>
                    <w:rPr>
                      <w:rFonts w:hint="eastAsia"/>
                      <w:szCs w:val="21"/>
                    </w:rPr>
                    <w:t>本项目不使用</w:t>
                  </w:r>
                  <w:r>
                    <w:rPr>
                      <w:szCs w:val="21"/>
                    </w:rPr>
                    <w:t>溶剂型涂料、油墨、胶粘剂等</w:t>
                  </w:r>
                </w:p>
              </w:tc>
              <w:tc>
                <w:tcPr>
                  <w:tcW w:w="467" w:type="pct"/>
                  <w:vAlign w:val="center"/>
                </w:tcPr>
                <w:p w14:paraId="70F84D02">
                  <w:pPr>
                    <w:snapToGrid w:val="0"/>
                    <w:ind w:left="-55" w:leftChars="-26" w:right="-25" w:rightChars="-12"/>
                    <w:jc w:val="center"/>
                    <w:rPr>
                      <w:szCs w:val="21"/>
                    </w:rPr>
                  </w:pPr>
                  <w:r>
                    <w:rPr>
                      <w:rFonts w:hint="eastAsia"/>
                      <w:szCs w:val="21"/>
                    </w:rPr>
                    <w:t>符合</w:t>
                  </w:r>
                </w:p>
              </w:tc>
            </w:tr>
            <w:tr w14:paraId="152B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5F5F8A1A">
                  <w:pPr>
                    <w:snapToGrid w:val="0"/>
                    <w:ind w:left="-107" w:leftChars="-51" w:right="-105" w:rightChars="-50"/>
                    <w:jc w:val="center"/>
                    <w:rPr>
                      <w:szCs w:val="21"/>
                    </w:rPr>
                  </w:pPr>
                </w:p>
              </w:tc>
              <w:tc>
                <w:tcPr>
                  <w:tcW w:w="346" w:type="pct"/>
                  <w:vMerge w:val="continue"/>
                  <w:vAlign w:val="center"/>
                </w:tcPr>
                <w:p w14:paraId="6F41F7FC">
                  <w:pPr>
                    <w:snapToGrid w:val="0"/>
                    <w:ind w:left="-107" w:leftChars="-51" w:right="-105" w:rightChars="-50"/>
                    <w:jc w:val="center"/>
                    <w:rPr>
                      <w:szCs w:val="21"/>
                    </w:rPr>
                  </w:pPr>
                </w:p>
              </w:tc>
              <w:tc>
                <w:tcPr>
                  <w:tcW w:w="479" w:type="pct"/>
                  <w:vMerge w:val="continue"/>
                  <w:vAlign w:val="center"/>
                </w:tcPr>
                <w:p w14:paraId="50D38378">
                  <w:pPr>
                    <w:snapToGrid w:val="0"/>
                    <w:ind w:left="-107" w:leftChars="-51" w:right="-105" w:rightChars="-50"/>
                    <w:jc w:val="center"/>
                    <w:rPr>
                      <w:szCs w:val="21"/>
                    </w:rPr>
                  </w:pPr>
                </w:p>
              </w:tc>
              <w:tc>
                <w:tcPr>
                  <w:tcW w:w="2203" w:type="pct"/>
                  <w:vAlign w:val="center"/>
                </w:tcPr>
                <w:p w14:paraId="5D67756C">
                  <w:pPr>
                    <w:snapToGrid w:val="0"/>
                    <w:ind w:left="-107" w:leftChars="-51" w:right="-105" w:rightChars="-50"/>
                    <w:jc w:val="center"/>
                    <w:rPr>
                      <w:szCs w:val="21"/>
                    </w:rPr>
                  </w:pPr>
                  <w:r>
                    <w:rPr>
                      <w:szCs w:val="21"/>
                    </w:rPr>
                    <w:t>禁止淘汰落后类的产业进入开发区</w:t>
                  </w:r>
                </w:p>
              </w:tc>
              <w:tc>
                <w:tcPr>
                  <w:tcW w:w="1246" w:type="pct"/>
                  <w:vAlign w:val="center"/>
                </w:tcPr>
                <w:p w14:paraId="6510A07A">
                  <w:pPr>
                    <w:snapToGrid w:val="0"/>
                    <w:ind w:left="-55" w:leftChars="-26" w:right="-25" w:rightChars="-12"/>
                    <w:jc w:val="center"/>
                    <w:rPr>
                      <w:szCs w:val="21"/>
                    </w:rPr>
                  </w:pPr>
                  <w:r>
                    <w:rPr>
                      <w:rFonts w:hint="eastAsia"/>
                      <w:szCs w:val="21"/>
                    </w:rPr>
                    <w:t>本项目属于允许类</w:t>
                  </w:r>
                </w:p>
              </w:tc>
              <w:tc>
                <w:tcPr>
                  <w:tcW w:w="467" w:type="pct"/>
                  <w:vAlign w:val="center"/>
                </w:tcPr>
                <w:p w14:paraId="49E945E8">
                  <w:pPr>
                    <w:snapToGrid w:val="0"/>
                    <w:ind w:left="-55" w:leftChars="-26" w:right="-25" w:rightChars="-12"/>
                    <w:jc w:val="center"/>
                    <w:rPr>
                      <w:szCs w:val="21"/>
                    </w:rPr>
                  </w:pPr>
                  <w:r>
                    <w:rPr>
                      <w:rFonts w:hint="eastAsia"/>
                      <w:szCs w:val="21"/>
                    </w:rPr>
                    <w:t>符合</w:t>
                  </w:r>
                </w:p>
              </w:tc>
            </w:tr>
            <w:tr w14:paraId="72F5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47297299">
                  <w:pPr>
                    <w:snapToGrid w:val="0"/>
                    <w:ind w:left="-107" w:leftChars="-51" w:right="-105" w:rightChars="-50"/>
                    <w:jc w:val="center"/>
                    <w:rPr>
                      <w:szCs w:val="21"/>
                    </w:rPr>
                  </w:pPr>
                </w:p>
              </w:tc>
              <w:tc>
                <w:tcPr>
                  <w:tcW w:w="346" w:type="pct"/>
                  <w:vMerge w:val="continue"/>
                  <w:vAlign w:val="center"/>
                </w:tcPr>
                <w:p w14:paraId="1C1E388B">
                  <w:pPr>
                    <w:snapToGrid w:val="0"/>
                    <w:ind w:left="-107" w:leftChars="-51" w:right="-105" w:rightChars="-50"/>
                    <w:jc w:val="center"/>
                    <w:rPr>
                      <w:szCs w:val="21"/>
                    </w:rPr>
                  </w:pPr>
                </w:p>
              </w:tc>
              <w:tc>
                <w:tcPr>
                  <w:tcW w:w="479" w:type="pct"/>
                  <w:vMerge w:val="continue"/>
                  <w:vAlign w:val="center"/>
                </w:tcPr>
                <w:p w14:paraId="4E6BE19F">
                  <w:pPr>
                    <w:snapToGrid w:val="0"/>
                    <w:ind w:left="-107" w:leftChars="-51" w:right="-105" w:rightChars="-50"/>
                    <w:jc w:val="center"/>
                    <w:rPr>
                      <w:szCs w:val="21"/>
                    </w:rPr>
                  </w:pPr>
                </w:p>
              </w:tc>
              <w:tc>
                <w:tcPr>
                  <w:tcW w:w="2203" w:type="pct"/>
                  <w:vAlign w:val="center"/>
                </w:tcPr>
                <w:p w14:paraId="1BBB6249">
                  <w:pPr>
                    <w:snapToGrid w:val="0"/>
                    <w:ind w:left="-107" w:leftChars="-51" w:right="-105" w:rightChars="-50"/>
                    <w:jc w:val="center"/>
                    <w:rPr>
                      <w:szCs w:val="21"/>
                    </w:rPr>
                  </w:pPr>
                  <w:r>
                    <w:rPr>
                      <w:szCs w:val="21"/>
                    </w:rPr>
                    <w:t>在城市建成区，禁止新建VOCs高污染企业</w:t>
                  </w:r>
                </w:p>
              </w:tc>
              <w:tc>
                <w:tcPr>
                  <w:tcW w:w="1246" w:type="pct"/>
                  <w:vAlign w:val="center"/>
                </w:tcPr>
                <w:p w14:paraId="7EB655F8">
                  <w:pPr>
                    <w:snapToGrid w:val="0"/>
                    <w:ind w:left="-55" w:leftChars="-26" w:right="-25" w:rightChars="-12"/>
                    <w:jc w:val="center"/>
                    <w:rPr>
                      <w:szCs w:val="21"/>
                    </w:rPr>
                  </w:pPr>
                  <w:r>
                    <w:rPr>
                      <w:rFonts w:hint="eastAsia"/>
                      <w:szCs w:val="21"/>
                    </w:rPr>
                    <w:t>本项目不属于VOCs高污染企业</w:t>
                  </w:r>
                </w:p>
              </w:tc>
              <w:tc>
                <w:tcPr>
                  <w:tcW w:w="467" w:type="pct"/>
                  <w:vAlign w:val="center"/>
                </w:tcPr>
                <w:p w14:paraId="340D07ED">
                  <w:pPr>
                    <w:snapToGrid w:val="0"/>
                    <w:ind w:left="-55" w:leftChars="-26" w:right="-25" w:rightChars="-12"/>
                    <w:jc w:val="center"/>
                    <w:rPr>
                      <w:szCs w:val="21"/>
                    </w:rPr>
                  </w:pPr>
                  <w:r>
                    <w:rPr>
                      <w:rFonts w:hint="eastAsia"/>
                      <w:szCs w:val="21"/>
                    </w:rPr>
                    <w:t>符合</w:t>
                  </w:r>
                </w:p>
              </w:tc>
            </w:tr>
            <w:tr w14:paraId="2BCA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5CC2AA35">
                  <w:pPr>
                    <w:snapToGrid w:val="0"/>
                    <w:ind w:left="-107" w:leftChars="-51" w:right="-105" w:rightChars="-50"/>
                    <w:jc w:val="center"/>
                    <w:rPr>
                      <w:szCs w:val="21"/>
                    </w:rPr>
                  </w:pPr>
                </w:p>
              </w:tc>
              <w:tc>
                <w:tcPr>
                  <w:tcW w:w="346" w:type="pct"/>
                  <w:vMerge w:val="continue"/>
                  <w:vAlign w:val="center"/>
                </w:tcPr>
                <w:p w14:paraId="33088EE4">
                  <w:pPr>
                    <w:snapToGrid w:val="0"/>
                    <w:ind w:left="-107" w:leftChars="-51" w:right="-105" w:rightChars="-50"/>
                    <w:jc w:val="center"/>
                    <w:rPr>
                      <w:szCs w:val="21"/>
                    </w:rPr>
                  </w:pPr>
                </w:p>
              </w:tc>
              <w:tc>
                <w:tcPr>
                  <w:tcW w:w="479" w:type="pct"/>
                  <w:vAlign w:val="center"/>
                </w:tcPr>
                <w:p w14:paraId="6A5EA049">
                  <w:pPr>
                    <w:snapToGrid w:val="0"/>
                    <w:ind w:left="-107" w:leftChars="-51" w:right="-105" w:rightChars="-50"/>
                    <w:jc w:val="center"/>
                    <w:rPr>
                      <w:szCs w:val="21"/>
                    </w:rPr>
                  </w:pPr>
                  <w:r>
                    <w:rPr>
                      <w:szCs w:val="21"/>
                    </w:rPr>
                    <w:t>省-重点-水-工业-空间布局-禁止</w:t>
                  </w:r>
                </w:p>
              </w:tc>
              <w:tc>
                <w:tcPr>
                  <w:tcW w:w="2203" w:type="pct"/>
                  <w:vAlign w:val="center"/>
                </w:tcPr>
                <w:p w14:paraId="4B37FA18">
                  <w:pPr>
                    <w:snapToGrid w:val="0"/>
                    <w:ind w:left="-107" w:leftChars="-51" w:right="-105" w:rightChars="-50"/>
                    <w:jc w:val="center"/>
                    <w:rPr>
                      <w:szCs w:val="21"/>
                    </w:rPr>
                  </w:pPr>
                  <w:r>
                    <w:rPr>
                      <w:szCs w:val="21"/>
                    </w:rPr>
                    <w:t>取缔“十小”企业。全面排查装备水平低、环保设施差的小型工业企业。按照水污染防治法律法规要求，全面排查和取缔不符合国家产业政策的小型造纸、制革、印染、染料、炼焦、炼硫、炼碑、炼油、电镀、农药等严重污染水环境的生产项目</w:t>
                  </w:r>
                </w:p>
              </w:tc>
              <w:tc>
                <w:tcPr>
                  <w:tcW w:w="1246" w:type="pct"/>
                  <w:vAlign w:val="center"/>
                </w:tcPr>
                <w:p w14:paraId="3D8241F0">
                  <w:pPr>
                    <w:snapToGrid w:val="0"/>
                    <w:ind w:left="-55" w:leftChars="-26" w:right="-25" w:rightChars="-12"/>
                    <w:jc w:val="center"/>
                    <w:rPr>
                      <w:szCs w:val="21"/>
                    </w:rPr>
                  </w:pPr>
                  <w:r>
                    <w:rPr>
                      <w:rFonts w:hint="eastAsia"/>
                      <w:szCs w:val="21"/>
                    </w:rPr>
                    <w:t>本项目属于机动车燃油零售，不属于</w:t>
                  </w:r>
                  <w:r>
                    <w:rPr>
                      <w:szCs w:val="21"/>
                    </w:rPr>
                    <w:t>小型造纸、制革、印染、染料、炼焦、炼硫、炼碑、炼油、电镀、农药等严重污染水环境的生产项目</w:t>
                  </w:r>
                </w:p>
              </w:tc>
              <w:tc>
                <w:tcPr>
                  <w:tcW w:w="467" w:type="pct"/>
                  <w:vAlign w:val="center"/>
                </w:tcPr>
                <w:p w14:paraId="49285826">
                  <w:pPr>
                    <w:snapToGrid w:val="0"/>
                    <w:ind w:left="-55" w:leftChars="-26" w:right="-25" w:rightChars="-12"/>
                    <w:jc w:val="center"/>
                    <w:rPr>
                      <w:szCs w:val="21"/>
                    </w:rPr>
                  </w:pPr>
                  <w:r>
                    <w:rPr>
                      <w:rFonts w:hint="eastAsia"/>
                      <w:szCs w:val="21"/>
                    </w:rPr>
                    <w:t>符合</w:t>
                  </w:r>
                </w:p>
              </w:tc>
            </w:tr>
            <w:tr w14:paraId="3953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11B6534D">
                  <w:pPr>
                    <w:snapToGrid w:val="0"/>
                    <w:ind w:left="-107" w:leftChars="-51" w:right="-105" w:rightChars="-50"/>
                    <w:jc w:val="center"/>
                    <w:rPr>
                      <w:szCs w:val="21"/>
                    </w:rPr>
                  </w:pPr>
                </w:p>
              </w:tc>
              <w:tc>
                <w:tcPr>
                  <w:tcW w:w="346" w:type="pct"/>
                  <w:vMerge w:val="continue"/>
                  <w:vAlign w:val="center"/>
                </w:tcPr>
                <w:p w14:paraId="1AA65E88">
                  <w:pPr>
                    <w:snapToGrid w:val="0"/>
                    <w:ind w:left="-107" w:leftChars="-51" w:right="-105" w:rightChars="-50"/>
                    <w:jc w:val="center"/>
                    <w:rPr>
                      <w:szCs w:val="21"/>
                    </w:rPr>
                  </w:pPr>
                </w:p>
              </w:tc>
              <w:tc>
                <w:tcPr>
                  <w:tcW w:w="479" w:type="pct"/>
                  <w:vAlign w:val="center"/>
                </w:tcPr>
                <w:p w14:paraId="7B854BAA">
                  <w:pPr>
                    <w:snapToGrid w:val="0"/>
                    <w:ind w:left="-107" w:leftChars="-51" w:right="-105" w:rightChars="-50"/>
                    <w:jc w:val="center"/>
                    <w:rPr>
                      <w:szCs w:val="21"/>
                    </w:rPr>
                  </w:pPr>
                  <w:r>
                    <w:rPr>
                      <w:szCs w:val="21"/>
                    </w:rPr>
                    <w:t>省-重点-土壤-建设用地-空间布局-禁止</w:t>
                  </w:r>
                </w:p>
              </w:tc>
              <w:tc>
                <w:tcPr>
                  <w:tcW w:w="2203" w:type="pct"/>
                  <w:vAlign w:val="center"/>
                </w:tcPr>
                <w:p w14:paraId="43B4A4CE">
                  <w:pPr>
                    <w:snapToGrid w:val="0"/>
                    <w:ind w:left="-107" w:leftChars="-51" w:right="-105" w:rightChars="-50"/>
                    <w:jc w:val="center"/>
                    <w:rPr>
                      <w:szCs w:val="21"/>
                    </w:rPr>
                  </w:pPr>
                  <w:r>
                    <w:rPr>
                      <w:szCs w:val="21"/>
                    </w:rPr>
                    <w:t>禁止在居民区和学校、医院、疗养院、养老院等单位周边新建、改建、扩建可能造成土壤污染的建设项目</w:t>
                  </w:r>
                </w:p>
              </w:tc>
              <w:tc>
                <w:tcPr>
                  <w:tcW w:w="1246" w:type="pct"/>
                  <w:vAlign w:val="center"/>
                </w:tcPr>
                <w:p w14:paraId="042349FB">
                  <w:pPr>
                    <w:snapToGrid w:val="0"/>
                    <w:ind w:left="-55" w:leftChars="-26" w:right="-25" w:rightChars="-12"/>
                    <w:jc w:val="center"/>
                    <w:rPr>
                      <w:szCs w:val="21"/>
                    </w:rPr>
                  </w:pPr>
                  <w:r>
                    <w:rPr>
                      <w:rFonts w:hint="eastAsia"/>
                      <w:szCs w:val="21"/>
                    </w:rPr>
                    <w:t>本项目周边无</w:t>
                  </w:r>
                  <w:r>
                    <w:rPr>
                      <w:szCs w:val="21"/>
                    </w:rPr>
                    <w:t>居民区和学校、医院、疗养院、养老院等单位</w:t>
                  </w:r>
                </w:p>
              </w:tc>
              <w:tc>
                <w:tcPr>
                  <w:tcW w:w="467" w:type="pct"/>
                  <w:vAlign w:val="center"/>
                </w:tcPr>
                <w:p w14:paraId="58D9DF2D">
                  <w:pPr>
                    <w:snapToGrid w:val="0"/>
                    <w:ind w:left="-55" w:leftChars="-26" w:right="-25" w:rightChars="-12"/>
                    <w:jc w:val="center"/>
                    <w:rPr>
                      <w:szCs w:val="21"/>
                    </w:rPr>
                  </w:pPr>
                  <w:r>
                    <w:rPr>
                      <w:rFonts w:hint="eastAsia"/>
                      <w:szCs w:val="21"/>
                    </w:rPr>
                    <w:t>符合</w:t>
                  </w:r>
                </w:p>
              </w:tc>
            </w:tr>
            <w:tr w14:paraId="5E6E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56A09BAE">
                  <w:pPr>
                    <w:snapToGrid w:val="0"/>
                    <w:ind w:left="-107" w:leftChars="-51" w:right="-105" w:rightChars="-50"/>
                    <w:jc w:val="center"/>
                    <w:rPr>
                      <w:szCs w:val="21"/>
                    </w:rPr>
                  </w:pPr>
                </w:p>
              </w:tc>
              <w:tc>
                <w:tcPr>
                  <w:tcW w:w="346" w:type="pct"/>
                  <w:vMerge w:val="continue"/>
                  <w:vAlign w:val="center"/>
                </w:tcPr>
                <w:p w14:paraId="6A8139A6">
                  <w:pPr>
                    <w:snapToGrid w:val="0"/>
                    <w:ind w:left="-107" w:leftChars="-51" w:right="-105" w:rightChars="-50"/>
                    <w:jc w:val="center"/>
                    <w:rPr>
                      <w:szCs w:val="21"/>
                    </w:rPr>
                  </w:pPr>
                </w:p>
              </w:tc>
              <w:tc>
                <w:tcPr>
                  <w:tcW w:w="479" w:type="pct"/>
                  <w:vAlign w:val="center"/>
                </w:tcPr>
                <w:p w14:paraId="7A8D9488">
                  <w:pPr>
                    <w:snapToGrid w:val="0"/>
                    <w:ind w:left="-107" w:leftChars="-51" w:right="-105" w:rightChars="-50"/>
                    <w:jc w:val="center"/>
                    <w:rPr>
                      <w:szCs w:val="21"/>
                    </w:rPr>
                  </w:pPr>
                  <w:r>
                    <w:rPr>
                      <w:szCs w:val="21"/>
                    </w:rPr>
                    <w:t>省-重点-能源</w:t>
                  </w:r>
                </w:p>
              </w:tc>
              <w:tc>
                <w:tcPr>
                  <w:tcW w:w="2203" w:type="pct"/>
                  <w:vAlign w:val="center"/>
                </w:tcPr>
                <w:p w14:paraId="24880F95">
                  <w:pPr>
                    <w:snapToGrid w:val="0"/>
                    <w:ind w:left="-107" w:leftChars="-51" w:right="-105" w:rightChars="-50"/>
                    <w:jc w:val="center"/>
                    <w:rPr>
                      <w:szCs w:val="21"/>
                    </w:rPr>
                  </w:pPr>
                  <w:r>
                    <w:rPr>
                      <w:szCs w:val="21"/>
                    </w:rPr>
                    <w:t>禁燃区内禁止使用散煤等高污染燃料，逐步实现无煤化</w:t>
                  </w:r>
                </w:p>
              </w:tc>
              <w:tc>
                <w:tcPr>
                  <w:tcW w:w="1246" w:type="pct"/>
                  <w:vAlign w:val="center"/>
                </w:tcPr>
                <w:p w14:paraId="12CA8972">
                  <w:pPr>
                    <w:snapToGrid w:val="0"/>
                    <w:ind w:left="-55" w:leftChars="-26" w:right="-25" w:rightChars="-12"/>
                    <w:jc w:val="center"/>
                    <w:rPr>
                      <w:szCs w:val="21"/>
                    </w:rPr>
                  </w:pPr>
                  <w:r>
                    <w:rPr>
                      <w:rFonts w:hint="eastAsia"/>
                      <w:szCs w:val="21"/>
                    </w:rPr>
                    <w:t>本项目不使用</w:t>
                  </w:r>
                  <w:r>
                    <w:rPr>
                      <w:szCs w:val="21"/>
                    </w:rPr>
                    <w:t>散煤等高污染燃料</w:t>
                  </w:r>
                </w:p>
              </w:tc>
              <w:tc>
                <w:tcPr>
                  <w:tcW w:w="467" w:type="pct"/>
                  <w:vAlign w:val="center"/>
                </w:tcPr>
                <w:p w14:paraId="7F07845F">
                  <w:pPr>
                    <w:snapToGrid w:val="0"/>
                    <w:ind w:left="-55" w:leftChars="-26" w:right="-25" w:rightChars="-12"/>
                    <w:jc w:val="center"/>
                    <w:rPr>
                      <w:szCs w:val="21"/>
                    </w:rPr>
                  </w:pPr>
                  <w:r>
                    <w:rPr>
                      <w:rFonts w:hint="eastAsia"/>
                      <w:szCs w:val="21"/>
                    </w:rPr>
                    <w:t>符合</w:t>
                  </w:r>
                </w:p>
              </w:tc>
            </w:tr>
            <w:tr w14:paraId="06C9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42B1C0DA">
                  <w:pPr>
                    <w:snapToGrid w:val="0"/>
                    <w:ind w:left="-107" w:leftChars="-51" w:right="-105" w:rightChars="-50"/>
                    <w:jc w:val="center"/>
                    <w:rPr>
                      <w:szCs w:val="21"/>
                    </w:rPr>
                  </w:pPr>
                </w:p>
              </w:tc>
              <w:tc>
                <w:tcPr>
                  <w:tcW w:w="346" w:type="pct"/>
                  <w:vMerge w:val="continue"/>
                  <w:vAlign w:val="center"/>
                </w:tcPr>
                <w:p w14:paraId="3840372C">
                  <w:pPr>
                    <w:snapToGrid w:val="0"/>
                    <w:ind w:left="-107" w:leftChars="-51" w:right="-105" w:rightChars="-50"/>
                    <w:jc w:val="center"/>
                    <w:rPr>
                      <w:szCs w:val="21"/>
                    </w:rPr>
                  </w:pPr>
                </w:p>
              </w:tc>
              <w:tc>
                <w:tcPr>
                  <w:tcW w:w="479" w:type="pct"/>
                  <w:vMerge w:val="restart"/>
                  <w:vAlign w:val="center"/>
                </w:tcPr>
                <w:p w14:paraId="129173DF">
                  <w:pPr>
                    <w:snapToGrid w:val="0"/>
                    <w:ind w:left="-107" w:leftChars="-51" w:right="-105" w:rightChars="-50"/>
                    <w:jc w:val="center"/>
                    <w:rPr>
                      <w:szCs w:val="21"/>
                    </w:rPr>
                  </w:pPr>
                  <w:r>
                    <w:rPr>
                      <w:szCs w:val="21"/>
                    </w:rPr>
                    <w:t>沿淮-空间布局-禁止</w:t>
                  </w:r>
                </w:p>
              </w:tc>
              <w:tc>
                <w:tcPr>
                  <w:tcW w:w="2203" w:type="pct"/>
                  <w:vAlign w:val="center"/>
                </w:tcPr>
                <w:p w14:paraId="7116E02A">
                  <w:pPr>
                    <w:snapToGrid w:val="0"/>
                    <w:ind w:left="-107" w:leftChars="-51" w:right="-105" w:rightChars="-50"/>
                    <w:jc w:val="center"/>
                    <w:rPr>
                      <w:szCs w:val="21"/>
                    </w:rPr>
                  </w:pPr>
                  <w:r>
                    <w:rPr>
                      <w:szCs w:val="21"/>
                    </w:rPr>
                    <w:t>禁止在淮河流域新建化学制浆造纸企业和印染、制革、化工、电镀、酿造等污染严重的小型企业</w:t>
                  </w:r>
                </w:p>
              </w:tc>
              <w:tc>
                <w:tcPr>
                  <w:tcW w:w="1246" w:type="pct"/>
                  <w:vAlign w:val="center"/>
                </w:tcPr>
                <w:p w14:paraId="15A2A744">
                  <w:pPr>
                    <w:snapToGrid w:val="0"/>
                    <w:ind w:left="-55" w:leftChars="-26" w:right="-25" w:rightChars="-12"/>
                    <w:jc w:val="center"/>
                    <w:rPr>
                      <w:szCs w:val="21"/>
                    </w:rPr>
                  </w:pPr>
                  <w:r>
                    <w:rPr>
                      <w:rFonts w:hint="eastAsia"/>
                      <w:szCs w:val="21"/>
                    </w:rPr>
                    <w:t>本项目属于机动车燃油零售，不属于</w:t>
                  </w:r>
                  <w:r>
                    <w:rPr>
                      <w:szCs w:val="21"/>
                    </w:rPr>
                    <w:t>化学制浆造纸企业和印染、制革、化工、电镀、酿造等污染严重的小型企业</w:t>
                  </w:r>
                </w:p>
              </w:tc>
              <w:tc>
                <w:tcPr>
                  <w:tcW w:w="467" w:type="pct"/>
                  <w:vAlign w:val="center"/>
                </w:tcPr>
                <w:p w14:paraId="1BF7A6DC">
                  <w:pPr>
                    <w:snapToGrid w:val="0"/>
                    <w:ind w:left="-55" w:leftChars="-26" w:right="-25" w:rightChars="-12"/>
                    <w:jc w:val="center"/>
                    <w:rPr>
                      <w:szCs w:val="21"/>
                    </w:rPr>
                  </w:pPr>
                  <w:r>
                    <w:rPr>
                      <w:rFonts w:hint="eastAsia"/>
                      <w:szCs w:val="21"/>
                    </w:rPr>
                    <w:t>符合</w:t>
                  </w:r>
                </w:p>
              </w:tc>
            </w:tr>
            <w:tr w14:paraId="5137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6825A370">
                  <w:pPr>
                    <w:snapToGrid w:val="0"/>
                    <w:ind w:left="-107" w:leftChars="-51" w:right="-105" w:rightChars="-50"/>
                    <w:jc w:val="center"/>
                    <w:rPr>
                      <w:szCs w:val="21"/>
                    </w:rPr>
                  </w:pPr>
                </w:p>
              </w:tc>
              <w:tc>
                <w:tcPr>
                  <w:tcW w:w="346" w:type="pct"/>
                  <w:vMerge w:val="continue"/>
                  <w:vAlign w:val="center"/>
                </w:tcPr>
                <w:p w14:paraId="06FBF794">
                  <w:pPr>
                    <w:snapToGrid w:val="0"/>
                    <w:ind w:left="-107" w:leftChars="-51" w:right="-105" w:rightChars="-50"/>
                    <w:jc w:val="center"/>
                    <w:rPr>
                      <w:szCs w:val="21"/>
                    </w:rPr>
                  </w:pPr>
                </w:p>
              </w:tc>
              <w:tc>
                <w:tcPr>
                  <w:tcW w:w="479" w:type="pct"/>
                  <w:vMerge w:val="continue"/>
                  <w:vAlign w:val="center"/>
                </w:tcPr>
                <w:p w14:paraId="0B558DDC">
                  <w:pPr>
                    <w:snapToGrid w:val="0"/>
                    <w:ind w:left="-107" w:leftChars="-51" w:right="-105" w:rightChars="-50"/>
                    <w:jc w:val="center"/>
                    <w:rPr>
                      <w:szCs w:val="21"/>
                    </w:rPr>
                  </w:pPr>
                </w:p>
              </w:tc>
              <w:tc>
                <w:tcPr>
                  <w:tcW w:w="2203" w:type="pct"/>
                  <w:vAlign w:val="center"/>
                </w:tcPr>
                <w:p w14:paraId="6C2FE106">
                  <w:pPr>
                    <w:snapToGrid w:val="0"/>
                    <w:ind w:left="-107" w:leftChars="-51" w:right="-105" w:rightChars="-50"/>
                    <w:jc w:val="center"/>
                    <w:rPr>
                      <w:szCs w:val="21"/>
                    </w:rPr>
                  </w:pPr>
                  <w:r>
                    <w:rPr>
                      <w:szCs w:val="21"/>
                    </w:rPr>
                    <w:t>5公里范围内，严禁新建布局重化工园区。合规化工园区内，严禁新批环境基础设施不完善或长期不能稳定运行的企业新建和扩建化工项目</w:t>
                  </w:r>
                </w:p>
              </w:tc>
              <w:tc>
                <w:tcPr>
                  <w:tcW w:w="1246" w:type="pct"/>
                  <w:vAlign w:val="center"/>
                </w:tcPr>
                <w:p w14:paraId="03D8948D">
                  <w:pPr>
                    <w:snapToGrid w:val="0"/>
                    <w:ind w:left="-55" w:leftChars="-26" w:right="-25" w:rightChars="-12"/>
                    <w:jc w:val="center"/>
                    <w:rPr>
                      <w:szCs w:val="21"/>
                    </w:rPr>
                  </w:pPr>
                  <w:r>
                    <w:rPr>
                      <w:rFonts w:hint="eastAsia"/>
                      <w:szCs w:val="21"/>
                    </w:rPr>
                    <w:t>本项目不属于五公里范围内，但项目不属于化工项目</w:t>
                  </w:r>
                </w:p>
              </w:tc>
              <w:tc>
                <w:tcPr>
                  <w:tcW w:w="467" w:type="pct"/>
                  <w:vAlign w:val="center"/>
                </w:tcPr>
                <w:p w14:paraId="26C791F5">
                  <w:pPr>
                    <w:snapToGrid w:val="0"/>
                    <w:ind w:left="-55" w:leftChars="-26" w:right="-25" w:rightChars="-12"/>
                    <w:jc w:val="center"/>
                    <w:rPr>
                      <w:szCs w:val="21"/>
                    </w:rPr>
                  </w:pPr>
                  <w:r>
                    <w:rPr>
                      <w:rFonts w:hint="eastAsia"/>
                      <w:szCs w:val="21"/>
                    </w:rPr>
                    <w:t>符合</w:t>
                  </w:r>
                </w:p>
              </w:tc>
            </w:tr>
            <w:tr w14:paraId="6CFB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4C135E42">
                  <w:pPr>
                    <w:snapToGrid w:val="0"/>
                    <w:ind w:left="-107" w:leftChars="-51" w:right="-105" w:rightChars="-50"/>
                    <w:jc w:val="center"/>
                    <w:rPr>
                      <w:szCs w:val="21"/>
                    </w:rPr>
                  </w:pPr>
                </w:p>
              </w:tc>
              <w:tc>
                <w:tcPr>
                  <w:tcW w:w="346" w:type="pct"/>
                  <w:vMerge w:val="continue"/>
                  <w:vAlign w:val="center"/>
                </w:tcPr>
                <w:p w14:paraId="1E13DCDA">
                  <w:pPr>
                    <w:snapToGrid w:val="0"/>
                    <w:ind w:left="-107" w:leftChars="-51" w:right="-105" w:rightChars="-50"/>
                    <w:jc w:val="center"/>
                    <w:rPr>
                      <w:szCs w:val="21"/>
                    </w:rPr>
                  </w:pPr>
                </w:p>
              </w:tc>
              <w:tc>
                <w:tcPr>
                  <w:tcW w:w="479" w:type="pct"/>
                  <w:vMerge w:val="continue"/>
                  <w:vAlign w:val="center"/>
                </w:tcPr>
                <w:p w14:paraId="7B0C469F">
                  <w:pPr>
                    <w:snapToGrid w:val="0"/>
                    <w:ind w:left="-107" w:leftChars="-51" w:right="-105" w:rightChars="-50"/>
                    <w:jc w:val="center"/>
                    <w:rPr>
                      <w:szCs w:val="21"/>
                    </w:rPr>
                  </w:pPr>
                </w:p>
              </w:tc>
              <w:tc>
                <w:tcPr>
                  <w:tcW w:w="2203" w:type="pct"/>
                  <w:vAlign w:val="center"/>
                </w:tcPr>
                <w:p w14:paraId="20FE4124">
                  <w:pPr>
                    <w:snapToGrid w:val="0"/>
                    <w:ind w:left="-107" w:leftChars="-51" w:right="-105" w:rightChars="-50"/>
                    <w:jc w:val="center"/>
                    <w:rPr>
                      <w:szCs w:val="21"/>
                    </w:rPr>
                  </w:pPr>
                  <w:r>
                    <w:rPr>
                      <w:szCs w:val="21"/>
                    </w:rPr>
                    <w:t>15公里范围内，禁止建设没有环境容量的减排总量的项目。实施备案、环评、能评等并联审批，未落实生态环保、安全生产、能源节约要求的，一律不得开工建设</w:t>
                  </w:r>
                </w:p>
              </w:tc>
              <w:tc>
                <w:tcPr>
                  <w:tcW w:w="1246" w:type="pct"/>
                  <w:vAlign w:val="center"/>
                </w:tcPr>
                <w:p w14:paraId="5515D3D3">
                  <w:pPr>
                    <w:snapToGrid w:val="0"/>
                    <w:ind w:left="-55" w:leftChars="-26" w:right="-25" w:rightChars="-12"/>
                    <w:jc w:val="center"/>
                    <w:rPr>
                      <w:szCs w:val="21"/>
                    </w:rPr>
                  </w:pPr>
                  <w:r>
                    <w:rPr>
                      <w:rFonts w:hint="eastAsia"/>
                      <w:szCs w:val="21"/>
                    </w:rPr>
                    <w:t>本项目严格按照要求执行</w:t>
                  </w:r>
                </w:p>
              </w:tc>
              <w:tc>
                <w:tcPr>
                  <w:tcW w:w="467" w:type="pct"/>
                  <w:vAlign w:val="center"/>
                </w:tcPr>
                <w:p w14:paraId="416C2603">
                  <w:pPr>
                    <w:snapToGrid w:val="0"/>
                    <w:ind w:left="-55" w:leftChars="-26" w:right="-25" w:rightChars="-12"/>
                    <w:jc w:val="center"/>
                    <w:rPr>
                      <w:szCs w:val="21"/>
                    </w:rPr>
                  </w:pPr>
                  <w:r>
                    <w:rPr>
                      <w:rFonts w:hint="eastAsia"/>
                      <w:szCs w:val="21"/>
                    </w:rPr>
                    <w:t>符合</w:t>
                  </w:r>
                </w:p>
              </w:tc>
            </w:tr>
            <w:tr w14:paraId="509D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75E9494A">
                  <w:pPr>
                    <w:snapToGrid w:val="0"/>
                    <w:ind w:left="-107" w:leftChars="-51" w:right="-105" w:rightChars="-50"/>
                    <w:jc w:val="center"/>
                    <w:rPr>
                      <w:szCs w:val="21"/>
                    </w:rPr>
                  </w:pPr>
                </w:p>
              </w:tc>
              <w:tc>
                <w:tcPr>
                  <w:tcW w:w="346" w:type="pct"/>
                  <w:vMerge w:val="continue"/>
                  <w:vAlign w:val="center"/>
                </w:tcPr>
                <w:p w14:paraId="11AD8AB4">
                  <w:pPr>
                    <w:snapToGrid w:val="0"/>
                    <w:ind w:left="-107" w:leftChars="-51" w:right="-105" w:rightChars="-50"/>
                    <w:jc w:val="center"/>
                    <w:rPr>
                      <w:szCs w:val="21"/>
                    </w:rPr>
                  </w:pPr>
                </w:p>
              </w:tc>
              <w:tc>
                <w:tcPr>
                  <w:tcW w:w="479" w:type="pct"/>
                  <w:vAlign w:val="center"/>
                </w:tcPr>
                <w:p w14:paraId="49AEE7BE">
                  <w:pPr>
                    <w:snapToGrid w:val="0"/>
                    <w:ind w:left="-107" w:leftChars="-51" w:right="-105" w:rightChars="-50"/>
                    <w:jc w:val="center"/>
                    <w:rPr>
                      <w:szCs w:val="21"/>
                    </w:rPr>
                  </w:pPr>
                  <w:r>
                    <w:rPr>
                      <w:szCs w:val="21"/>
                    </w:rPr>
                    <w:t>蚌埠市-重点-空间布局-禁止</w:t>
                  </w:r>
                </w:p>
              </w:tc>
              <w:tc>
                <w:tcPr>
                  <w:tcW w:w="2203" w:type="pct"/>
                  <w:vAlign w:val="center"/>
                </w:tcPr>
                <w:p w14:paraId="55FD4162">
                  <w:pPr>
                    <w:snapToGrid w:val="0"/>
                    <w:ind w:left="-107" w:leftChars="-51" w:right="-105" w:rightChars="-50"/>
                    <w:jc w:val="center"/>
                    <w:rPr>
                      <w:szCs w:val="21"/>
                    </w:rPr>
                  </w:pPr>
                  <w:r>
                    <w:rPr>
                      <w:szCs w:val="21"/>
                    </w:rPr>
                    <w:t>禁止新建焦化、氮肥、有色金属、制革、农药等行业企业</w:t>
                  </w:r>
                </w:p>
              </w:tc>
              <w:tc>
                <w:tcPr>
                  <w:tcW w:w="1246" w:type="pct"/>
                  <w:vAlign w:val="center"/>
                </w:tcPr>
                <w:p w14:paraId="6FC232E0">
                  <w:pPr>
                    <w:snapToGrid w:val="0"/>
                    <w:ind w:left="-55" w:leftChars="-26" w:right="-25" w:rightChars="-12"/>
                    <w:jc w:val="center"/>
                    <w:rPr>
                      <w:szCs w:val="21"/>
                    </w:rPr>
                  </w:pPr>
                  <w:r>
                    <w:rPr>
                      <w:rFonts w:hint="eastAsia"/>
                      <w:szCs w:val="21"/>
                    </w:rPr>
                    <w:t>本项目属于机动车燃油零售，不属于</w:t>
                  </w:r>
                  <w:r>
                    <w:rPr>
                      <w:szCs w:val="21"/>
                    </w:rPr>
                    <w:t>焦化、氮肥、有色金属、制革、农药等行业企业</w:t>
                  </w:r>
                </w:p>
              </w:tc>
              <w:tc>
                <w:tcPr>
                  <w:tcW w:w="467" w:type="pct"/>
                  <w:vAlign w:val="center"/>
                </w:tcPr>
                <w:p w14:paraId="0826B942">
                  <w:pPr>
                    <w:snapToGrid w:val="0"/>
                    <w:ind w:left="-55" w:leftChars="-26" w:right="-25" w:rightChars="-12"/>
                    <w:jc w:val="center"/>
                    <w:rPr>
                      <w:szCs w:val="21"/>
                    </w:rPr>
                  </w:pPr>
                  <w:r>
                    <w:rPr>
                      <w:rFonts w:hint="eastAsia"/>
                      <w:szCs w:val="21"/>
                    </w:rPr>
                    <w:t>符合</w:t>
                  </w:r>
                </w:p>
              </w:tc>
            </w:tr>
            <w:tr w14:paraId="6BDF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519F4577">
                  <w:pPr>
                    <w:snapToGrid w:val="0"/>
                    <w:ind w:left="-107" w:leftChars="-51" w:right="-105" w:rightChars="-50"/>
                    <w:jc w:val="center"/>
                    <w:rPr>
                      <w:szCs w:val="21"/>
                    </w:rPr>
                  </w:pPr>
                </w:p>
              </w:tc>
              <w:tc>
                <w:tcPr>
                  <w:tcW w:w="346" w:type="pct"/>
                  <w:vMerge w:val="restart"/>
                  <w:vAlign w:val="center"/>
                </w:tcPr>
                <w:p w14:paraId="6638CF34">
                  <w:pPr>
                    <w:snapToGrid w:val="0"/>
                    <w:ind w:left="-107" w:leftChars="-51" w:right="-105" w:rightChars="-50"/>
                    <w:jc w:val="center"/>
                    <w:rPr>
                      <w:szCs w:val="21"/>
                    </w:rPr>
                  </w:pPr>
                  <w:r>
                    <w:rPr>
                      <w:szCs w:val="21"/>
                    </w:rPr>
                    <w:t>限制开发建设活动的要求</w:t>
                  </w:r>
                </w:p>
              </w:tc>
              <w:tc>
                <w:tcPr>
                  <w:tcW w:w="479" w:type="pct"/>
                  <w:vMerge w:val="restart"/>
                  <w:vAlign w:val="center"/>
                </w:tcPr>
                <w:p w14:paraId="2C71EA17">
                  <w:pPr>
                    <w:snapToGrid w:val="0"/>
                    <w:ind w:left="-107" w:leftChars="-51" w:right="-105" w:rightChars="-50"/>
                    <w:jc w:val="center"/>
                    <w:rPr>
                      <w:szCs w:val="21"/>
                    </w:rPr>
                  </w:pPr>
                  <w:r>
                    <w:rPr>
                      <w:szCs w:val="21"/>
                    </w:rPr>
                    <w:t>省-重点-土壤-建设用地-空间布局-限</w:t>
                  </w:r>
                </w:p>
              </w:tc>
              <w:tc>
                <w:tcPr>
                  <w:tcW w:w="2203" w:type="pct"/>
                  <w:vAlign w:val="center"/>
                </w:tcPr>
                <w:p w14:paraId="292E32EC">
                  <w:pPr>
                    <w:snapToGrid w:val="0"/>
                    <w:ind w:left="-107" w:leftChars="-51" w:right="-105" w:rightChars="-50"/>
                    <w:jc w:val="center"/>
                    <w:rPr>
                      <w:szCs w:val="21"/>
                    </w:rPr>
                  </w:pPr>
                  <w:r>
                    <w:rPr>
                      <w:szCs w:val="21"/>
                    </w:rPr>
                    <w:t>建设项目应该配套建设的危险废物处置设施未建成或污染防治措施落实不到位的，其主体工程不得投入使用</w:t>
                  </w:r>
                </w:p>
              </w:tc>
              <w:tc>
                <w:tcPr>
                  <w:tcW w:w="1246" w:type="pct"/>
                  <w:vMerge w:val="restart"/>
                  <w:vAlign w:val="center"/>
                </w:tcPr>
                <w:p w14:paraId="6C6454E8">
                  <w:pPr>
                    <w:snapToGrid w:val="0"/>
                    <w:ind w:left="-55" w:leftChars="-26" w:right="-25" w:rightChars="-12"/>
                    <w:jc w:val="center"/>
                    <w:rPr>
                      <w:szCs w:val="21"/>
                    </w:rPr>
                  </w:pPr>
                  <w:r>
                    <w:rPr>
                      <w:rFonts w:hint="eastAsia"/>
                      <w:szCs w:val="21"/>
                    </w:rPr>
                    <w:t>本项目按规范要求设置危废暂存间</w:t>
                  </w:r>
                </w:p>
              </w:tc>
              <w:tc>
                <w:tcPr>
                  <w:tcW w:w="467" w:type="pct"/>
                  <w:vMerge w:val="restart"/>
                  <w:vAlign w:val="center"/>
                </w:tcPr>
                <w:p w14:paraId="601A4BEE">
                  <w:pPr>
                    <w:snapToGrid w:val="0"/>
                    <w:ind w:left="-55" w:leftChars="-26" w:right="-25" w:rightChars="-12"/>
                    <w:jc w:val="center"/>
                    <w:rPr>
                      <w:szCs w:val="21"/>
                    </w:rPr>
                  </w:pPr>
                  <w:r>
                    <w:rPr>
                      <w:rFonts w:hint="eastAsia"/>
                      <w:szCs w:val="21"/>
                    </w:rPr>
                    <w:t>符合</w:t>
                  </w:r>
                </w:p>
              </w:tc>
            </w:tr>
            <w:tr w14:paraId="631F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0328E914">
                  <w:pPr>
                    <w:snapToGrid w:val="0"/>
                    <w:ind w:left="-107" w:leftChars="-51" w:right="-105" w:rightChars="-50"/>
                    <w:jc w:val="center"/>
                    <w:rPr>
                      <w:szCs w:val="21"/>
                    </w:rPr>
                  </w:pPr>
                </w:p>
              </w:tc>
              <w:tc>
                <w:tcPr>
                  <w:tcW w:w="346" w:type="pct"/>
                  <w:vMerge w:val="continue"/>
                  <w:vAlign w:val="center"/>
                </w:tcPr>
                <w:p w14:paraId="5382593D">
                  <w:pPr>
                    <w:snapToGrid w:val="0"/>
                    <w:ind w:left="-107" w:leftChars="-51" w:right="-105" w:rightChars="-50"/>
                    <w:jc w:val="center"/>
                    <w:rPr>
                      <w:szCs w:val="21"/>
                    </w:rPr>
                  </w:pPr>
                </w:p>
              </w:tc>
              <w:tc>
                <w:tcPr>
                  <w:tcW w:w="479" w:type="pct"/>
                  <w:vMerge w:val="continue"/>
                  <w:vAlign w:val="center"/>
                </w:tcPr>
                <w:p w14:paraId="4AA6631C">
                  <w:pPr>
                    <w:snapToGrid w:val="0"/>
                    <w:ind w:left="-107" w:leftChars="-51" w:right="-105" w:rightChars="-50"/>
                    <w:jc w:val="center"/>
                    <w:rPr>
                      <w:szCs w:val="21"/>
                    </w:rPr>
                  </w:pPr>
                </w:p>
              </w:tc>
              <w:tc>
                <w:tcPr>
                  <w:tcW w:w="2203" w:type="pct"/>
                  <w:vAlign w:val="center"/>
                </w:tcPr>
                <w:p w14:paraId="6C3513DE">
                  <w:pPr>
                    <w:snapToGrid w:val="0"/>
                    <w:ind w:left="-107" w:leftChars="-51" w:right="-105" w:rightChars="-50"/>
                    <w:jc w:val="center"/>
                    <w:rPr>
                      <w:szCs w:val="21"/>
                    </w:rPr>
                  </w:pPr>
                  <w:r>
                    <w:rPr>
                      <w:szCs w:val="21"/>
                    </w:rPr>
                    <w:t>对建设项目所产生的危险废物的处置方案缺乏可行性，或者协议委托单位的危险废物焚烧、填埋单位处置能力明显不足的建设项目，不予审批其环评文件</w:t>
                  </w:r>
                </w:p>
              </w:tc>
              <w:tc>
                <w:tcPr>
                  <w:tcW w:w="1246" w:type="pct"/>
                  <w:vMerge w:val="continue"/>
                  <w:vAlign w:val="center"/>
                </w:tcPr>
                <w:p w14:paraId="4B481EAA">
                  <w:pPr>
                    <w:snapToGrid w:val="0"/>
                    <w:ind w:left="-55" w:leftChars="-26" w:right="-25" w:rightChars="-12"/>
                    <w:jc w:val="center"/>
                    <w:rPr>
                      <w:szCs w:val="21"/>
                    </w:rPr>
                  </w:pPr>
                </w:p>
              </w:tc>
              <w:tc>
                <w:tcPr>
                  <w:tcW w:w="467" w:type="pct"/>
                  <w:vMerge w:val="continue"/>
                  <w:vAlign w:val="center"/>
                </w:tcPr>
                <w:p w14:paraId="28CD32B5">
                  <w:pPr>
                    <w:snapToGrid w:val="0"/>
                    <w:ind w:left="-55" w:leftChars="-26" w:right="-25" w:rightChars="-12"/>
                    <w:jc w:val="center"/>
                    <w:rPr>
                      <w:szCs w:val="21"/>
                    </w:rPr>
                  </w:pPr>
                </w:p>
              </w:tc>
            </w:tr>
            <w:tr w14:paraId="7D16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3755AD10">
                  <w:pPr>
                    <w:snapToGrid w:val="0"/>
                    <w:ind w:left="-107" w:leftChars="-51" w:right="-105" w:rightChars="-50"/>
                    <w:jc w:val="center"/>
                    <w:rPr>
                      <w:szCs w:val="21"/>
                    </w:rPr>
                  </w:pPr>
                </w:p>
              </w:tc>
              <w:tc>
                <w:tcPr>
                  <w:tcW w:w="346" w:type="pct"/>
                  <w:vMerge w:val="restart"/>
                  <w:vAlign w:val="center"/>
                </w:tcPr>
                <w:p w14:paraId="6CDD10EE">
                  <w:pPr>
                    <w:snapToGrid w:val="0"/>
                    <w:ind w:left="-107" w:leftChars="-51" w:right="-105" w:rightChars="-50"/>
                    <w:jc w:val="center"/>
                    <w:rPr>
                      <w:szCs w:val="21"/>
                    </w:rPr>
                  </w:pPr>
                  <w:r>
                    <w:rPr>
                      <w:szCs w:val="21"/>
                    </w:rPr>
                    <w:t>不符合空间布局要求活动的退出要求</w:t>
                  </w:r>
                </w:p>
              </w:tc>
              <w:tc>
                <w:tcPr>
                  <w:tcW w:w="479" w:type="pct"/>
                  <w:vAlign w:val="center"/>
                </w:tcPr>
                <w:p w14:paraId="77DF7DA8">
                  <w:pPr>
                    <w:snapToGrid w:val="0"/>
                    <w:ind w:left="-107" w:leftChars="-51" w:right="-105" w:rightChars="-50"/>
                    <w:jc w:val="center"/>
                    <w:rPr>
                      <w:szCs w:val="21"/>
                    </w:rPr>
                  </w:pPr>
                  <w:r>
                    <w:rPr>
                      <w:szCs w:val="21"/>
                    </w:rPr>
                    <w:t>省-重点-大气-空间布局-退出</w:t>
                  </w:r>
                </w:p>
              </w:tc>
              <w:tc>
                <w:tcPr>
                  <w:tcW w:w="2203" w:type="pct"/>
                  <w:vAlign w:val="center"/>
                </w:tcPr>
                <w:p w14:paraId="53E49855">
                  <w:pPr>
                    <w:snapToGrid w:val="0"/>
                    <w:ind w:left="-107" w:leftChars="-51" w:right="-105" w:rightChars="-50"/>
                    <w:jc w:val="center"/>
                    <w:rPr>
                      <w:szCs w:val="21"/>
                    </w:rPr>
                  </w:pPr>
                  <w:r>
                    <w:rPr>
                      <w:szCs w:val="21"/>
                    </w:rPr>
                    <w:t>全面开展“散乱污”企业及集群综合整治行动。细化“散乱污”企业及集群整治标准。列入整合搬迁类的，要按照产业发展规模化、现代化的原则，搬迁至合规工业园区并实施升级改造</w:t>
                  </w:r>
                </w:p>
              </w:tc>
              <w:tc>
                <w:tcPr>
                  <w:tcW w:w="1246" w:type="pct"/>
                  <w:vAlign w:val="center"/>
                </w:tcPr>
                <w:p w14:paraId="03B4C9ED">
                  <w:pPr>
                    <w:snapToGrid w:val="0"/>
                    <w:ind w:left="-55" w:leftChars="-26" w:right="-25" w:rightChars="-12"/>
                    <w:jc w:val="center"/>
                    <w:rPr>
                      <w:szCs w:val="21"/>
                    </w:rPr>
                  </w:pPr>
                  <w:r>
                    <w:rPr>
                      <w:rFonts w:hint="eastAsia"/>
                      <w:szCs w:val="21"/>
                    </w:rPr>
                    <w:t>本项目备案已经固镇县发改委同意</w:t>
                  </w:r>
                </w:p>
              </w:tc>
              <w:tc>
                <w:tcPr>
                  <w:tcW w:w="467" w:type="pct"/>
                  <w:vAlign w:val="center"/>
                </w:tcPr>
                <w:p w14:paraId="49B342CB">
                  <w:pPr>
                    <w:snapToGrid w:val="0"/>
                    <w:ind w:left="-55" w:leftChars="-26" w:right="-25" w:rightChars="-12"/>
                    <w:jc w:val="center"/>
                    <w:rPr>
                      <w:szCs w:val="21"/>
                    </w:rPr>
                  </w:pPr>
                  <w:r>
                    <w:rPr>
                      <w:rFonts w:hint="eastAsia"/>
                      <w:szCs w:val="21"/>
                    </w:rPr>
                    <w:t>符合</w:t>
                  </w:r>
                </w:p>
              </w:tc>
            </w:tr>
            <w:tr w14:paraId="4519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58C8F837">
                  <w:pPr>
                    <w:snapToGrid w:val="0"/>
                    <w:ind w:left="-107" w:leftChars="-51" w:right="-105" w:rightChars="-50"/>
                    <w:jc w:val="center"/>
                    <w:rPr>
                      <w:szCs w:val="21"/>
                    </w:rPr>
                  </w:pPr>
                </w:p>
              </w:tc>
              <w:tc>
                <w:tcPr>
                  <w:tcW w:w="346" w:type="pct"/>
                  <w:vMerge w:val="continue"/>
                  <w:vAlign w:val="center"/>
                </w:tcPr>
                <w:p w14:paraId="30E7434D">
                  <w:pPr>
                    <w:snapToGrid w:val="0"/>
                    <w:ind w:left="-107" w:leftChars="-51" w:right="-105" w:rightChars="-50"/>
                    <w:jc w:val="center"/>
                    <w:rPr>
                      <w:szCs w:val="21"/>
                    </w:rPr>
                  </w:pPr>
                </w:p>
              </w:tc>
              <w:tc>
                <w:tcPr>
                  <w:tcW w:w="479" w:type="pct"/>
                  <w:vAlign w:val="center"/>
                </w:tcPr>
                <w:p w14:paraId="330DBB56">
                  <w:pPr>
                    <w:snapToGrid w:val="0"/>
                    <w:ind w:left="-107" w:leftChars="-51" w:right="-105" w:rightChars="-50"/>
                    <w:jc w:val="center"/>
                    <w:rPr>
                      <w:szCs w:val="21"/>
                    </w:rPr>
                  </w:pPr>
                  <w:r>
                    <w:rPr>
                      <w:szCs w:val="21"/>
                    </w:rPr>
                    <w:t>省-重点-水-工业-空间布局-退出</w:t>
                  </w:r>
                </w:p>
              </w:tc>
              <w:tc>
                <w:tcPr>
                  <w:tcW w:w="2203" w:type="pct"/>
                  <w:vAlign w:val="center"/>
                </w:tcPr>
                <w:p w14:paraId="30D8AE55">
                  <w:pPr>
                    <w:snapToGrid w:val="0"/>
                    <w:ind w:left="-107" w:leftChars="-51" w:right="-105" w:rightChars="-50"/>
                    <w:jc w:val="center"/>
                    <w:rPr>
                      <w:szCs w:val="21"/>
                    </w:rPr>
                  </w:pPr>
                  <w:r>
                    <w:rPr>
                      <w:szCs w:val="21"/>
                    </w:rPr>
                    <w:t>国家禁止新建不符合国家产业政策的小型造纸、制革、印染、染料、炼焦、炼硫、炼碑、炼汞、炼油、电镀、农药、石棉、水泥、玻璃、钢铁、火电以及其他严重污染水环境的生产项目</w:t>
                  </w:r>
                </w:p>
              </w:tc>
              <w:tc>
                <w:tcPr>
                  <w:tcW w:w="1246" w:type="pct"/>
                  <w:vAlign w:val="center"/>
                </w:tcPr>
                <w:p w14:paraId="03A4AF6D">
                  <w:pPr>
                    <w:snapToGrid w:val="0"/>
                    <w:ind w:left="-55" w:leftChars="-26" w:right="-25" w:rightChars="-12"/>
                    <w:jc w:val="center"/>
                    <w:rPr>
                      <w:szCs w:val="21"/>
                    </w:rPr>
                  </w:pPr>
                  <w:r>
                    <w:rPr>
                      <w:rFonts w:hint="eastAsia"/>
                      <w:szCs w:val="21"/>
                    </w:rPr>
                    <w:t>本项目属于机动车燃油零售业，不属于上述禁止行业</w:t>
                  </w:r>
                </w:p>
              </w:tc>
              <w:tc>
                <w:tcPr>
                  <w:tcW w:w="467" w:type="pct"/>
                  <w:vAlign w:val="center"/>
                </w:tcPr>
                <w:p w14:paraId="5FEA9315">
                  <w:pPr>
                    <w:snapToGrid w:val="0"/>
                    <w:ind w:left="-55" w:leftChars="-26" w:right="-25" w:rightChars="-12"/>
                    <w:jc w:val="center"/>
                    <w:rPr>
                      <w:szCs w:val="21"/>
                    </w:rPr>
                  </w:pPr>
                  <w:r>
                    <w:rPr>
                      <w:rFonts w:hint="eastAsia"/>
                      <w:szCs w:val="21"/>
                    </w:rPr>
                    <w:t>符合</w:t>
                  </w:r>
                </w:p>
              </w:tc>
            </w:tr>
            <w:tr w14:paraId="5BA84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7A6E7BE9">
                  <w:pPr>
                    <w:snapToGrid w:val="0"/>
                    <w:ind w:left="-107" w:leftChars="-51" w:right="-105" w:rightChars="-50"/>
                    <w:jc w:val="center"/>
                    <w:rPr>
                      <w:szCs w:val="21"/>
                    </w:rPr>
                  </w:pPr>
                </w:p>
              </w:tc>
              <w:tc>
                <w:tcPr>
                  <w:tcW w:w="346" w:type="pct"/>
                  <w:vMerge w:val="continue"/>
                  <w:vAlign w:val="center"/>
                </w:tcPr>
                <w:p w14:paraId="7B9487A3">
                  <w:pPr>
                    <w:snapToGrid w:val="0"/>
                    <w:ind w:left="-107" w:leftChars="-51" w:right="-105" w:rightChars="-50"/>
                    <w:jc w:val="center"/>
                    <w:rPr>
                      <w:szCs w:val="21"/>
                    </w:rPr>
                  </w:pPr>
                </w:p>
              </w:tc>
              <w:tc>
                <w:tcPr>
                  <w:tcW w:w="479" w:type="pct"/>
                  <w:vAlign w:val="center"/>
                </w:tcPr>
                <w:p w14:paraId="0C246AEF">
                  <w:pPr>
                    <w:snapToGrid w:val="0"/>
                    <w:ind w:left="-107" w:leftChars="-51" w:right="-105" w:rightChars="-50"/>
                    <w:jc w:val="center"/>
                    <w:rPr>
                      <w:szCs w:val="21"/>
                    </w:rPr>
                  </w:pPr>
                  <w:r>
                    <w:rPr>
                      <w:szCs w:val="21"/>
                    </w:rPr>
                    <w:t>蚌埠市-重点-空间布局-退出</w:t>
                  </w:r>
                </w:p>
              </w:tc>
              <w:tc>
                <w:tcPr>
                  <w:tcW w:w="2203" w:type="pct"/>
                  <w:vAlign w:val="center"/>
                </w:tcPr>
                <w:p w14:paraId="6C2709E5">
                  <w:pPr>
                    <w:snapToGrid w:val="0"/>
                    <w:ind w:left="-107" w:leftChars="-51" w:right="-105" w:rightChars="-50"/>
                    <w:jc w:val="center"/>
                    <w:rPr>
                      <w:szCs w:val="21"/>
                    </w:rPr>
                  </w:pPr>
                  <w:r>
                    <w:rPr>
                      <w:szCs w:val="21"/>
                    </w:rPr>
                    <w:t>（1）淮河干流及主要支流岸线1公里范围内的企业，依法依规必须搬迁的，全部搬入合规园区，厂区边界距岸线应大于1公里。（2）淮河干线岸线5公里范围内的重化工企业，经评估认定，难以就地改造提标的，依法依规搬入合规园区。（3）淮河干流岸线15公里范围内，新建工业项目原则上全部进园区</w:t>
                  </w:r>
                </w:p>
              </w:tc>
              <w:tc>
                <w:tcPr>
                  <w:tcW w:w="1246" w:type="pct"/>
                  <w:vAlign w:val="center"/>
                </w:tcPr>
                <w:p w14:paraId="30B38370">
                  <w:pPr>
                    <w:snapToGrid w:val="0"/>
                    <w:ind w:left="-55" w:leftChars="-26" w:right="-25" w:rightChars="-12"/>
                    <w:jc w:val="center"/>
                    <w:rPr>
                      <w:szCs w:val="21"/>
                    </w:rPr>
                  </w:pPr>
                  <w:r>
                    <w:rPr>
                      <w:rFonts w:hint="eastAsia"/>
                      <w:szCs w:val="21"/>
                    </w:rPr>
                    <w:t>本项目不属于化工企业</w:t>
                  </w:r>
                </w:p>
              </w:tc>
              <w:tc>
                <w:tcPr>
                  <w:tcW w:w="467" w:type="pct"/>
                  <w:vAlign w:val="center"/>
                </w:tcPr>
                <w:p w14:paraId="71C6333B">
                  <w:pPr>
                    <w:snapToGrid w:val="0"/>
                    <w:ind w:left="-55" w:leftChars="-26" w:right="-25" w:rightChars="-12"/>
                    <w:jc w:val="center"/>
                    <w:rPr>
                      <w:szCs w:val="21"/>
                    </w:rPr>
                  </w:pPr>
                  <w:r>
                    <w:rPr>
                      <w:rFonts w:hint="eastAsia"/>
                      <w:szCs w:val="21"/>
                    </w:rPr>
                    <w:t>符合</w:t>
                  </w:r>
                </w:p>
              </w:tc>
            </w:tr>
            <w:tr w14:paraId="0CDBF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628EA434">
                  <w:pPr>
                    <w:snapToGrid w:val="0"/>
                    <w:ind w:left="-107" w:leftChars="-51" w:right="-105" w:rightChars="-50"/>
                    <w:jc w:val="center"/>
                    <w:rPr>
                      <w:szCs w:val="21"/>
                    </w:rPr>
                  </w:pPr>
                </w:p>
              </w:tc>
              <w:tc>
                <w:tcPr>
                  <w:tcW w:w="346" w:type="pct"/>
                  <w:vMerge w:val="continue"/>
                  <w:vAlign w:val="center"/>
                </w:tcPr>
                <w:p w14:paraId="153E41F3">
                  <w:pPr>
                    <w:snapToGrid w:val="0"/>
                    <w:ind w:left="-107" w:leftChars="-51" w:right="-105" w:rightChars="-50"/>
                    <w:jc w:val="center"/>
                    <w:rPr>
                      <w:szCs w:val="21"/>
                    </w:rPr>
                  </w:pPr>
                </w:p>
              </w:tc>
              <w:tc>
                <w:tcPr>
                  <w:tcW w:w="479" w:type="pct"/>
                  <w:vAlign w:val="center"/>
                </w:tcPr>
                <w:p w14:paraId="1074BFB4">
                  <w:pPr>
                    <w:snapToGrid w:val="0"/>
                    <w:ind w:left="-107" w:leftChars="-51" w:right="-105" w:rightChars="-50"/>
                    <w:jc w:val="center"/>
                    <w:rPr>
                      <w:szCs w:val="21"/>
                    </w:rPr>
                  </w:pPr>
                  <w:r>
                    <w:rPr>
                      <w:szCs w:val="21"/>
                    </w:rPr>
                    <w:t>沿淮-空间布局-退出</w:t>
                  </w:r>
                </w:p>
              </w:tc>
              <w:tc>
                <w:tcPr>
                  <w:tcW w:w="2203" w:type="pct"/>
                  <w:vAlign w:val="center"/>
                </w:tcPr>
                <w:p w14:paraId="69EB073F">
                  <w:pPr>
                    <w:snapToGrid w:val="0"/>
                    <w:ind w:left="-107" w:leftChars="-51" w:right="-105" w:rightChars="-50"/>
                    <w:jc w:val="center"/>
                    <w:rPr>
                      <w:szCs w:val="21"/>
                    </w:rPr>
                  </w:pPr>
                  <w:r>
                    <w:rPr>
                      <w:szCs w:val="21"/>
                    </w:rPr>
                    <w:t>全面治理“散乱污”企业，对不符合产业政策和规划布局、未办理相关审批手续、不能稳定达标排放以及存在其他违法违规行为的企业，分类实施关停取缔、整合搬迁、整改提升等措施，强化综合执法</w:t>
                  </w:r>
                </w:p>
              </w:tc>
              <w:tc>
                <w:tcPr>
                  <w:tcW w:w="1246" w:type="pct"/>
                  <w:vAlign w:val="center"/>
                </w:tcPr>
                <w:p w14:paraId="7881F831">
                  <w:pPr>
                    <w:snapToGrid w:val="0"/>
                    <w:ind w:left="-55" w:leftChars="-26" w:right="-25" w:rightChars="-12"/>
                    <w:jc w:val="center"/>
                    <w:rPr>
                      <w:szCs w:val="21"/>
                    </w:rPr>
                  </w:pPr>
                  <w:r>
                    <w:rPr>
                      <w:rFonts w:hint="eastAsia"/>
                      <w:szCs w:val="21"/>
                    </w:rPr>
                    <w:t>本项目位于固镇县城市建成区内</w:t>
                  </w:r>
                </w:p>
              </w:tc>
              <w:tc>
                <w:tcPr>
                  <w:tcW w:w="467" w:type="pct"/>
                  <w:vAlign w:val="center"/>
                </w:tcPr>
                <w:p w14:paraId="2D1B56C1">
                  <w:pPr>
                    <w:snapToGrid w:val="0"/>
                    <w:ind w:left="-55" w:leftChars="-26" w:right="-25" w:rightChars="-12"/>
                    <w:jc w:val="center"/>
                    <w:rPr>
                      <w:szCs w:val="21"/>
                    </w:rPr>
                  </w:pPr>
                  <w:r>
                    <w:rPr>
                      <w:rFonts w:hint="eastAsia"/>
                      <w:szCs w:val="21"/>
                    </w:rPr>
                    <w:t>符合</w:t>
                  </w:r>
                </w:p>
              </w:tc>
            </w:tr>
            <w:tr w14:paraId="0C9B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6D23953F">
                  <w:pPr>
                    <w:snapToGrid w:val="0"/>
                    <w:ind w:left="-107" w:leftChars="-51" w:right="-105" w:rightChars="-50"/>
                    <w:jc w:val="center"/>
                    <w:rPr>
                      <w:szCs w:val="21"/>
                    </w:rPr>
                  </w:pPr>
                </w:p>
              </w:tc>
              <w:tc>
                <w:tcPr>
                  <w:tcW w:w="346" w:type="pct"/>
                  <w:vAlign w:val="center"/>
                </w:tcPr>
                <w:p w14:paraId="09217313">
                  <w:pPr>
                    <w:snapToGrid w:val="0"/>
                    <w:ind w:left="-107" w:leftChars="-51" w:right="-105" w:rightChars="-50"/>
                    <w:jc w:val="center"/>
                    <w:rPr>
                      <w:szCs w:val="21"/>
                    </w:rPr>
                  </w:pPr>
                  <w:r>
                    <w:rPr>
                      <w:szCs w:val="21"/>
                    </w:rPr>
                    <w:t>其他空间布局约束要求</w:t>
                  </w:r>
                </w:p>
              </w:tc>
              <w:tc>
                <w:tcPr>
                  <w:tcW w:w="479" w:type="pct"/>
                  <w:vAlign w:val="center"/>
                </w:tcPr>
                <w:p w14:paraId="634843A4">
                  <w:pPr>
                    <w:snapToGrid w:val="0"/>
                    <w:ind w:left="-107" w:leftChars="-51" w:right="-105" w:rightChars="-50"/>
                    <w:jc w:val="center"/>
                    <w:rPr>
                      <w:szCs w:val="21"/>
                    </w:rPr>
                  </w:pPr>
                  <w:r>
                    <w:rPr>
                      <w:szCs w:val="21"/>
                    </w:rPr>
                    <w:t>省-重点-大气-空间布局-其他</w:t>
                  </w:r>
                </w:p>
              </w:tc>
              <w:tc>
                <w:tcPr>
                  <w:tcW w:w="2203" w:type="pct"/>
                  <w:vAlign w:val="center"/>
                </w:tcPr>
                <w:p w14:paraId="6657DD11">
                  <w:pPr>
                    <w:snapToGrid w:val="0"/>
                    <w:ind w:left="-107" w:leftChars="-51" w:right="-105" w:rightChars="-50"/>
                    <w:jc w:val="center"/>
                    <w:rPr>
                      <w:szCs w:val="21"/>
                    </w:rPr>
                  </w:pPr>
                  <w:r>
                    <w:rPr>
                      <w:szCs w:val="21"/>
                    </w:rPr>
                    <w:t>企业应当全面推进清洁生产，优先采用能源和原材料利用效率高、污染物排放量少的清洁生产技术、工艺和设备，淘汰严重污染大气环境质量的产品、落后工艺和落后设备，减少大气污染物的产生和排放</w:t>
                  </w:r>
                </w:p>
              </w:tc>
              <w:tc>
                <w:tcPr>
                  <w:tcW w:w="1246" w:type="pct"/>
                  <w:vAlign w:val="center"/>
                </w:tcPr>
                <w:p w14:paraId="53C8C3FE">
                  <w:pPr>
                    <w:snapToGrid w:val="0"/>
                    <w:ind w:left="-55" w:leftChars="-26" w:right="-25" w:rightChars="-12"/>
                    <w:jc w:val="center"/>
                    <w:rPr>
                      <w:szCs w:val="21"/>
                    </w:rPr>
                  </w:pPr>
                  <w:r>
                    <w:rPr>
                      <w:rFonts w:hint="eastAsia"/>
                      <w:szCs w:val="21"/>
                    </w:rPr>
                    <w:t>本项目无粉尘产生</w:t>
                  </w:r>
                </w:p>
              </w:tc>
              <w:tc>
                <w:tcPr>
                  <w:tcW w:w="467" w:type="pct"/>
                  <w:vAlign w:val="center"/>
                </w:tcPr>
                <w:p w14:paraId="5813D9EA">
                  <w:pPr>
                    <w:snapToGrid w:val="0"/>
                    <w:ind w:left="-55" w:leftChars="-26" w:right="-25" w:rightChars="-12"/>
                    <w:jc w:val="center"/>
                    <w:rPr>
                      <w:szCs w:val="21"/>
                    </w:rPr>
                  </w:pPr>
                  <w:r>
                    <w:rPr>
                      <w:rFonts w:hint="eastAsia"/>
                      <w:szCs w:val="21"/>
                    </w:rPr>
                    <w:t>符合</w:t>
                  </w:r>
                </w:p>
              </w:tc>
            </w:tr>
            <w:tr w14:paraId="11E03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restart"/>
                  <w:vAlign w:val="center"/>
                </w:tcPr>
                <w:p w14:paraId="4D977F74">
                  <w:pPr>
                    <w:snapToGrid w:val="0"/>
                    <w:ind w:left="-107" w:leftChars="-51" w:right="-105" w:rightChars="-50"/>
                    <w:jc w:val="center"/>
                    <w:rPr>
                      <w:szCs w:val="21"/>
                    </w:rPr>
                  </w:pPr>
                  <w:r>
                    <w:rPr>
                      <w:szCs w:val="21"/>
                    </w:rPr>
                    <w:t>污染物排放管控</w:t>
                  </w:r>
                </w:p>
              </w:tc>
              <w:tc>
                <w:tcPr>
                  <w:tcW w:w="346" w:type="pct"/>
                  <w:vAlign w:val="center"/>
                </w:tcPr>
                <w:p w14:paraId="48015C48">
                  <w:pPr>
                    <w:snapToGrid w:val="0"/>
                    <w:ind w:left="-107" w:leftChars="-51" w:right="-105" w:rightChars="-50"/>
                    <w:jc w:val="center"/>
                    <w:rPr>
                      <w:szCs w:val="21"/>
                    </w:rPr>
                  </w:pPr>
                  <w:r>
                    <w:rPr>
                      <w:szCs w:val="21"/>
                    </w:rPr>
                    <w:t>允许排放量要求</w:t>
                  </w:r>
                </w:p>
              </w:tc>
              <w:tc>
                <w:tcPr>
                  <w:tcW w:w="479" w:type="pct"/>
                  <w:vAlign w:val="center"/>
                </w:tcPr>
                <w:p w14:paraId="773E1982">
                  <w:pPr>
                    <w:snapToGrid w:val="0"/>
                    <w:ind w:left="-107" w:leftChars="-51" w:right="-105" w:rightChars="-50"/>
                    <w:jc w:val="center"/>
                    <w:rPr>
                      <w:szCs w:val="21"/>
                    </w:rPr>
                  </w:pPr>
                  <w:r>
                    <w:rPr>
                      <w:szCs w:val="21"/>
                    </w:rPr>
                    <w:t>省-重点-大气-排污-允许排放量</w:t>
                  </w:r>
                </w:p>
              </w:tc>
              <w:tc>
                <w:tcPr>
                  <w:tcW w:w="2203" w:type="pct"/>
                  <w:vAlign w:val="center"/>
                </w:tcPr>
                <w:p w14:paraId="24658AE3">
                  <w:pPr>
                    <w:snapToGrid w:val="0"/>
                    <w:ind w:left="-107" w:leftChars="-51"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新建、改建、扩建排放重点大气污染物的项目不符合总量控制要求的，不得通过环境影响评价</w:t>
                  </w:r>
                </w:p>
              </w:tc>
              <w:tc>
                <w:tcPr>
                  <w:tcW w:w="1246" w:type="pct"/>
                  <w:vAlign w:val="center"/>
                </w:tcPr>
                <w:p w14:paraId="668DE747">
                  <w:pPr>
                    <w:snapToGrid w:val="0"/>
                    <w:ind w:left="-55" w:leftChars="-26" w:right="-25" w:rightChars="-1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本项目主要排放废气为非甲烷总烃，经油气回收系统处理后以无组织形式外排，排放满足标准要求。根据蚌埠市生态环境局要求无组织排放的污染因子不纳入总量控制要求。</w:t>
                  </w:r>
                </w:p>
              </w:tc>
              <w:tc>
                <w:tcPr>
                  <w:tcW w:w="467" w:type="pct"/>
                  <w:vAlign w:val="center"/>
                </w:tcPr>
                <w:p w14:paraId="6CEE6D33">
                  <w:pPr>
                    <w:snapToGrid w:val="0"/>
                    <w:ind w:left="-55" w:leftChars="-26" w:right="-25" w:rightChars="-12"/>
                    <w:jc w:val="center"/>
                    <w:rPr>
                      <w:szCs w:val="21"/>
                    </w:rPr>
                  </w:pPr>
                  <w:r>
                    <w:rPr>
                      <w:rFonts w:hint="eastAsia"/>
                      <w:szCs w:val="21"/>
                    </w:rPr>
                    <w:t>符合</w:t>
                  </w:r>
                </w:p>
              </w:tc>
            </w:tr>
            <w:tr w14:paraId="5FCC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61E98979">
                  <w:pPr>
                    <w:snapToGrid w:val="0"/>
                    <w:ind w:left="-107" w:leftChars="-51" w:right="-105" w:rightChars="-50"/>
                    <w:jc w:val="center"/>
                    <w:rPr>
                      <w:szCs w:val="21"/>
                    </w:rPr>
                  </w:pPr>
                </w:p>
              </w:tc>
              <w:tc>
                <w:tcPr>
                  <w:tcW w:w="346" w:type="pct"/>
                  <w:vMerge w:val="restart"/>
                  <w:vAlign w:val="center"/>
                </w:tcPr>
                <w:p w14:paraId="574BD301">
                  <w:pPr>
                    <w:snapToGrid w:val="0"/>
                    <w:ind w:left="-107" w:leftChars="-51" w:right="-105" w:rightChars="-50"/>
                    <w:jc w:val="center"/>
                    <w:rPr>
                      <w:szCs w:val="21"/>
                    </w:rPr>
                  </w:pPr>
                  <w:r>
                    <w:rPr>
                      <w:szCs w:val="21"/>
                    </w:rPr>
                    <w:t>区域污染物削减/替代要求</w:t>
                  </w:r>
                </w:p>
              </w:tc>
              <w:tc>
                <w:tcPr>
                  <w:tcW w:w="479" w:type="pct"/>
                  <w:vAlign w:val="center"/>
                </w:tcPr>
                <w:p w14:paraId="12EAA45C">
                  <w:pPr>
                    <w:snapToGrid w:val="0"/>
                    <w:ind w:left="-107" w:leftChars="-51" w:right="-105" w:rightChars="-50"/>
                    <w:jc w:val="center"/>
                    <w:rPr>
                      <w:szCs w:val="21"/>
                    </w:rPr>
                  </w:pPr>
                  <w:r>
                    <w:rPr>
                      <w:szCs w:val="21"/>
                    </w:rPr>
                    <w:t>省-重点-水-工业-排污-削减</w:t>
                  </w:r>
                </w:p>
              </w:tc>
              <w:tc>
                <w:tcPr>
                  <w:tcW w:w="2203" w:type="pct"/>
                  <w:vAlign w:val="center"/>
                </w:tcPr>
                <w:p w14:paraId="4EB00C7A">
                  <w:pPr>
                    <w:snapToGrid w:val="0"/>
                    <w:ind w:left="-107" w:leftChars="-51" w:right="-105" w:rightChars="-50"/>
                    <w:jc w:val="center"/>
                    <w:rPr>
                      <w:szCs w:val="21"/>
                    </w:rPr>
                  </w:pPr>
                  <w:r>
                    <w:rPr>
                      <w:szCs w:val="21"/>
                    </w:rPr>
                    <w:t>新建、改建、扩建造纸、焦化、氮肥、有色金属、印染、农副食品加工、原料药制造、制革、农药、电镀等行业建设项目实行主要污染物排放等量或减量置换</w:t>
                  </w:r>
                </w:p>
              </w:tc>
              <w:tc>
                <w:tcPr>
                  <w:tcW w:w="1246" w:type="pct"/>
                  <w:vAlign w:val="center"/>
                </w:tcPr>
                <w:p w14:paraId="52DB80DB">
                  <w:pPr>
                    <w:snapToGrid w:val="0"/>
                    <w:ind w:left="-55" w:leftChars="-26" w:right="-25" w:rightChars="-12"/>
                    <w:jc w:val="center"/>
                    <w:rPr>
                      <w:szCs w:val="21"/>
                    </w:rPr>
                  </w:pPr>
                  <w:r>
                    <w:rPr>
                      <w:rFonts w:hint="eastAsia"/>
                      <w:szCs w:val="21"/>
                    </w:rPr>
                    <w:t>本项目属于机动车燃油零售业，不属于</w:t>
                  </w:r>
                  <w:r>
                    <w:rPr>
                      <w:szCs w:val="21"/>
                    </w:rPr>
                    <w:t>造纸、焦化、氮肥、有色金属、印染、农副食品加工、原料药制造、制革、农药、电镀等行业</w:t>
                  </w:r>
                </w:p>
              </w:tc>
              <w:tc>
                <w:tcPr>
                  <w:tcW w:w="467" w:type="pct"/>
                  <w:vAlign w:val="center"/>
                </w:tcPr>
                <w:p w14:paraId="49EB37E9">
                  <w:pPr>
                    <w:snapToGrid w:val="0"/>
                    <w:ind w:left="-55" w:leftChars="-26" w:right="-25" w:rightChars="-12"/>
                    <w:jc w:val="center"/>
                    <w:rPr>
                      <w:szCs w:val="21"/>
                    </w:rPr>
                  </w:pPr>
                  <w:r>
                    <w:rPr>
                      <w:rFonts w:hint="eastAsia"/>
                      <w:szCs w:val="21"/>
                    </w:rPr>
                    <w:t>符合</w:t>
                  </w:r>
                </w:p>
              </w:tc>
            </w:tr>
            <w:tr w14:paraId="2C9F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4D8D01B3">
                  <w:pPr>
                    <w:snapToGrid w:val="0"/>
                    <w:ind w:left="-107" w:leftChars="-51" w:right="-105" w:rightChars="-50"/>
                    <w:jc w:val="center"/>
                    <w:rPr>
                      <w:szCs w:val="21"/>
                    </w:rPr>
                  </w:pPr>
                </w:p>
              </w:tc>
              <w:tc>
                <w:tcPr>
                  <w:tcW w:w="346" w:type="pct"/>
                  <w:vMerge w:val="continue"/>
                  <w:vAlign w:val="center"/>
                </w:tcPr>
                <w:p w14:paraId="35871675">
                  <w:pPr>
                    <w:snapToGrid w:val="0"/>
                    <w:ind w:left="-107" w:leftChars="-51" w:right="-105" w:rightChars="-50"/>
                    <w:jc w:val="center"/>
                    <w:rPr>
                      <w:szCs w:val="21"/>
                    </w:rPr>
                  </w:pPr>
                </w:p>
              </w:tc>
              <w:tc>
                <w:tcPr>
                  <w:tcW w:w="479" w:type="pct"/>
                  <w:vAlign w:val="center"/>
                </w:tcPr>
                <w:p w14:paraId="1A754599">
                  <w:pPr>
                    <w:snapToGrid w:val="0"/>
                    <w:ind w:left="-107" w:leftChars="-51" w:right="-105" w:rightChars="-50"/>
                    <w:jc w:val="center"/>
                    <w:rPr>
                      <w:szCs w:val="21"/>
                    </w:rPr>
                  </w:pPr>
                  <w:r>
                    <w:rPr>
                      <w:szCs w:val="21"/>
                    </w:rPr>
                    <w:t>省-重点-大气-排污-削减</w:t>
                  </w:r>
                </w:p>
              </w:tc>
              <w:tc>
                <w:tcPr>
                  <w:tcW w:w="2203" w:type="pct"/>
                  <w:vAlign w:val="center"/>
                </w:tcPr>
                <w:p w14:paraId="1FFBAFD0">
                  <w:pPr>
                    <w:snapToGrid w:val="0"/>
                    <w:ind w:left="-107" w:leftChars="-51" w:right="-105" w:rightChars="-50"/>
                    <w:jc w:val="center"/>
                    <w:rPr>
                      <w:szCs w:val="21"/>
                    </w:rPr>
                  </w:pPr>
                  <w:r>
                    <w:rPr>
                      <w:szCs w:val="21"/>
                    </w:rPr>
                    <w:t>深入推进包装印刷行业VOCs综合治理。推广使用低（无）VOCs含量的绿色原辅材料和先进生产工艺、设备，加强无组织废气收集，优化烘干技术，配套建设末端治理措施，实现包装印刷行业VOCs全过程控制</w:t>
                  </w:r>
                </w:p>
              </w:tc>
              <w:tc>
                <w:tcPr>
                  <w:tcW w:w="1246" w:type="pct"/>
                  <w:vAlign w:val="center"/>
                </w:tcPr>
                <w:p w14:paraId="15947F01">
                  <w:pPr>
                    <w:snapToGrid w:val="0"/>
                    <w:ind w:left="-55" w:leftChars="-26" w:right="-25" w:rightChars="-12"/>
                    <w:jc w:val="center"/>
                    <w:rPr>
                      <w:szCs w:val="21"/>
                    </w:rPr>
                  </w:pPr>
                  <w:r>
                    <w:rPr>
                      <w:rFonts w:hint="eastAsia"/>
                      <w:szCs w:val="21"/>
                    </w:rPr>
                    <w:t>本项目属于机动车燃油零售业，不属于</w:t>
                  </w:r>
                  <w:r>
                    <w:rPr>
                      <w:szCs w:val="21"/>
                    </w:rPr>
                    <w:t>包装印刷行业</w:t>
                  </w:r>
                </w:p>
              </w:tc>
              <w:tc>
                <w:tcPr>
                  <w:tcW w:w="467" w:type="pct"/>
                  <w:vAlign w:val="center"/>
                </w:tcPr>
                <w:p w14:paraId="7CD904EE">
                  <w:pPr>
                    <w:snapToGrid w:val="0"/>
                    <w:ind w:left="-55" w:leftChars="-26" w:right="-25" w:rightChars="-12"/>
                    <w:jc w:val="center"/>
                    <w:rPr>
                      <w:szCs w:val="21"/>
                    </w:rPr>
                  </w:pPr>
                  <w:r>
                    <w:rPr>
                      <w:rFonts w:hint="eastAsia"/>
                      <w:szCs w:val="21"/>
                    </w:rPr>
                    <w:t>符合</w:t>
                  </w:r>
                </w:p>
              </w:tc>
            </w:tr>
            <w:tr w14:paraId="4232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6BFB7906">
                  <w:pPr>
                    <w:snapToGrid w:val="0"/>
                    <w:ind w:left="-107" w:leftChars="-51" w:right="-105" w:rightChars="-50"/>
                    <w:jc w:val="center"/>
                    <w:rPr>
                      <w:szCs w:val="21"/>
                    </w:rPr>
                  </w:pPr>
                </w:p>
              </w:tc>
              <w:tc>
                <w:tcPr>
                  <w:tcW w:w="346" w:type="pct"/>
                  <w:vMerge w:val="restart"/>
                  <w:vAlign w:val="center"/>
                </w:tcPr>
                <w:p w14:paraId="295EB971">
                  <w:pPr>
                    <w:snapToGrid w:val="0"/>
                    <w:ind w:left="-107" w:leftChars="-51" w:right="-105" w:rightChars="-50"/>
                    <w:jc w:val="center"/>
                    <w:rPr>
                      <w:szCs w:val="21"/>
                    </w:rPr>
                  </w:pPr>
                  <w:r>
                    <w:rPr>
                      <w:szCs w:val="21"/>
                    </w:rPr>
                    <w:t>其他污染物排放管控要求</w:t>
                  </w:r>
                </w:p>
              </w:tc>
              <w:tc>
                <w:tcPr>
                  <w:tcW w:w="479" w:type="pct"/>
                  <w:vAlign w:val="center"/>
                </w:tcPr>
                <w:p w14:paraId="31FCEB02">
                  <w:pPr>
                    <w:snapToGrid w:val="0"/>
                    <w:ind w:left="-107" w:leftChars="-51" w:right="-105" w:rightChars="-50"/>
                    <w:jc w:val="center"/>
                    <w:rPr>
                      <w:szCs w:val="21"/>
                    </w:rPr>
                  </w:pPr>
                  <w:r>
                    <w:rPr>
                      <w:szCs w:val="21"/>
                    </w:rPr>
                    <w:t>省-重点-水-工业-排污-污控</w:t>
                  </w:r>
                </w:p>
              </w:tc>
              <w:tc>
                <w:tcPr>
                  <w:tcW w:w="2203" w:type="pct"/>
                  <w:vAlign w:val="center"/>
                </w:tcPr>
                <w:p w14:paraId="4ED08617">
                  <w:pPr>
                    <w:snapToGrid w:val="0"/>
                    <w:ind w:left="-107" w:leftChars="-51" w:right="-105" w:rightChars="-50"/>
                    <w:jc w:val="center"/>
                    <w:rPr>
                      <w:szCs w:val="21"/>
                    </w:rPr>
                  </w:pPr>
                  <w:r>
                    <w:rPr>
                      <w:szCs w:val="21"/>
                    </w:rPr>
                    <w:t>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w:t>
                  </w:r>
                </w:p>
              </w:tc>
              <w:tc>
                <w:tcPr>
                  <w:tcW w:w="1246" w:type="pct"/>
                  <w:vAlign w:val="center"/>
                </w:tcPr>
                <w:p w14:paraId="30B4FC72">
                  <w:pPr>
                    <w:snapToGrid w:val="0"/>
                    <w:ind w:right="-25" w:rightChars="-12"/>
                    <w:jc w:val="center"/>
                    <w:rPr>
                      <w:szCs w:val="21"/>
                    </w:rPr>
                  </w:pPr>
                  <w:r>
                    <w:rPr>
                      <w:rFonts w:hint="eastAsia"/>
                      <w:szCs w:val="21"/>
                    </w:rPr>
                    <w:t>外排废水主要为生活污水及地面冲洗水经隔油池和化粪池处理达标后排污固镇污水处理厂处理</w:t>
                  </w:r>
                </w:p>
              </w:tc>
              <w:tc>
                <w:tcPr>
                  <w:tcW w:w="467" w:type="pct"/>
                  <w:vAlign w:val="center"/>
                </w:tcPr>
                <w:p w14:paraId="2A455DF5">
                  <w:pPr>
                    <w:snapToGrid w:val="0"/>
                    <w:ind w:left="-55" w:leftChars="-26" w:right="-25" w:rightChars="-12"/>
                    <w:jc w:val="center"/>
                    <w:rPr>
                      <w:szCs w:val="21"/>
                    </w:rPr>
                  </w:pPr>
                  <w:r>
                    <w:rPr>
                      <w:rFonts w:hint="eastAsia"/>
                      <w:szCs w:val="21"/>
                    </w:rPr>
                    <w:t>符合</w:t>
                  </w:r>
                </w:p>
              </w:tc>
            </w:tr>
            <w:tr w14:paraId="2672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1F5494A9">
                  <w:pPr>
                    <w:snapToGrid w:val="0"/>
                    <w:ind w:left="-107" w:leftChars="-51" w:right="-105" w:rightChars="-50"/>
                    <w:jc w:val="center"/>
                    <w:rPr>
                      <w:szCs w:val="21"/>
                    </w:rPr>
                  </w:pPr>
                </w:p>
              </w:tc>
              <w:tc>
                <w:tcPr>
                  <w:tcW w:w="346" w:type="pct"/>
                  <w:vMerge w:val="continue"/>
                  <w:vAlign w:val="center"/>
                </w:tcPr>
                <w:p w14:paraId="0AD7EC97">
                  <w:pPr>
                    <w:snapToGrid w:val="0"/>
                    <w:ind w:left="-107" w:leftChars="-51" w:right="-105" w:rightChars="-50"/>
                    <w:jc w:val="center"/>
                    <w:rPr>
                      <w:szCs w:val="21"/>
                    </w:rPr>
                  </w:pPr>
                </w:p>
              </w:tc>
              <w:tc>
                <w:tcPr>
                  <w:tcW w:w="479" w:type="pct"/>
                  <w:vMerge w:val="restart"/>
                  <w:vAlign w:val="center"/>
                </w:tcPr>
                <w:p w14:paraId="189C247D">
                  <w:pPr>
                    <w:snapToGrid w:val="0"/>
                    <w:ind w:left="-107" w:leftChars="-51" w:right="-105" w:rightChars="-50"/>
                    <w:jc w:val="center"/>
                    <w:rPr>
                      <w:szCs w:val="21"/>
                    </w:rPr>
                  </w:pPr>
                  <w:r>
                    <w:rPr>
                      <w:szCs w:val="21"/>
                    </w:rPr>
                    <w:t>省-重点-大气-排污-其他</w:t>
                  </w:r>
                </w:p>
              </w:tc>
              <w:tc>
                <w:tcPr>
                  <w:tcW w:w="2203" w:type="pct"/>
                  <w:vAlign w:val="center"/>
                </w:tcPr>
                <w:p w14:paraId="39309BC3">
                  <w:pPr>
                    <w:snapToGrid w:val="0"/>
                    <w:ind w:left="-107" w:leftChars="-51" w:right="-105" w:rightChars="-50"/>
                    <w:jc w:val="center"/>
                    <w:rPr>
                      <w:szCs w:val="21"/>
                    </w:rPr>
                  </w:pPr>
                  <w:r>
                    <w:rPr>
                      <w:szCs w:val="21"/>
                    </w:rPr>
                    <w:t>深化工业污染治理，工业污染源全面达标排放，未达标排放的企业一律依法停产整治</w:t>
                  </w:r>
                </w:p>
              </w:tc>
              <w:tc>
                <w:tcPr>
                  <w:tcW w:w="1246" w:type="pct"/>
                  <w:vAlign w:val="center"/>
                </w:tcPr>
                <w:p w14:paraId="18D46534">
                  <w:pPr>
                    <w:snapToGrid w:val="0"/>
                    <w:ind w:left="-55" w:leftChars="-26" w:right="-25" w:rightChars="-12"/>
                    <w:jc w:val="center"/>
                    <w:rPr>
                      <w:szCs w:val="21"/>
                    </w:rPr>
                  </w:pPr>
                  <w:r>
                    <w:rPr>
                      <w:rFonts w:hint="eastAsia"/>
                      <w:szCs w:val="21"/>
                    </w:rPr>
                    <w:t>本项目各类污染物经处理后均达标排放</w:t>
                  </w:r>
                </w:p>
              </w:tc>
              <w:tc>
                <w:tcPr>
                  <w:tcW w:w="467" w:type="pct"/>
                  <w:vAlign w:val="center"/>
                </w:tcPr>
                <w:p w14:paraId="273B3BCE">
                  <w:pPr>
                    <w:snapToGrid w:val="0"/>
                    <w:ind w:left="-55" w:leftChars="-26" w:right="-25" w:rightChars="-12"/>
                    <w:jc w:val="center"/>
                    <w:rPr>
                      <w:szCs w:val="21"/>
                    </w:rPr>
                  </w:pPr>
                  <w:r>
                    <w:rPr>
                      <w:rFonts w:hint="eastAsia"/>
                      <w:szCs w:val="21"/>
                    </w:rPr>
                    <w:t>符合</w:t>
                  </w:r>
                </w:p>
              </w:tc>
            </w:tr>
            <w:tr w14:paraId="3372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 w:type="pct"/>
                  <w:vMerge w:val="continue"/>
                  <w:vAlign w:val="center"/>
                </w:tcPr>
                <w:p w14:paraId="040FCD88">
                  <w:pPr>
                    <w:snapToGrid w:val="0"/>
                    <w:ind w:left="-107" w:leftChars="-51" w:right="-105" w:rightChars="-50"/>
                    <w:jc w:val="center"/>
                    <w:rPr>
                      <w:szCs w:val="21"/>
                    </w:rPr>
                  </w:pPr>
                </w:p>
              </w:tc>
              <w:tc>
                <w:tcPr>
                  <w:tcW w:w="346" w:type="pct"/>
                  <w:vMerge w:val="continue"/>
                  <w:vAlign w:val="center"/>
                </w:tcPr>
                <w:p w14:paraId="6D4C9A18">
                  <w:pPr>
                    <w:snapToGrid w:val="0"/>
                    <w:ind w:left="-107" w:leftChars="-51" w:right="-105" w:rightChars="-50"/>
                    <w:jc w:val="center"/>
                    <w:rPr>
                      <w:szCs w:val="21"/>
                    </w:rPr>
                  </w:pPr>
                </w:p>
              </w:tc>
              <w:tc>
                <w:tcPr>
                  <w:tcW w:w="479" w:type="pct"/>
                  <w:vMerge w:val="continue"/>
                  <w:vAlign w:val="center"/>
                </w:tcPr>
                <w:p w14:paraId="2EC073B2">
                  <w:pPr>
                    <w:snapToGrid w:val="0"/>
                    <w:ind w:left="-107" w:leftChars="-51" w:right="-105" w:rightChars="-50"/>
                    <w:jc w:val="center"/>
                    <w:rPr>
                      <w:szCs w:val="21"/>
                    </w:rPr>
                  </w:pPr>
                </w:p>
              </w:tc>
              <w:tc>
                <w:tcPr>
                  <w:tcW w:w="2203" w:type="pct"/>
                  <w:vAlign w:val="center"/>
                </w:tcPr>
                <w:p w14:paraId="28233993">
                  <w:pPr>
                    <w:snapToGrid w:val="0"/>
                    <w:ind w:left="-107" w:leftChars="-51" w:right="-105" w:rightChars="-50"/>
                    <w:jc w:val="center"/>
                    <w:rPr>
                      <w:szCs w:val="21"/>
                    </w:rPr>
                  </w:pPr>
                  <w:r>
                    <w:rPr>
                      <w:szCs w:val="21"/>
                    </w:rPr>
                    <w:t>建筑工程施工现场扬尘污染防治应做到工地周边围挡、物料堆放覆盖、路面硬化、土方开挖湿法作业、出入车辆清洗、渣土车辆密闭运输“六个百分之百”。具体要求执行《建筑工程施工和预拌混凝土生产扬尘污染防治标准》（试行）</w:t>
                  </w:r>
                </w:p>
              </w:tc>
              <w:tc>
                <w:tcPr>
                  <w:tcW w:w="1246" w:type="pct"/>
                  <w:vAlign w:val="center"/>
                </w:tcPr>
                <w:p w14:paraId="6A6481EF">
                  <w:pPr>
                    <w:snapToGrid w:val="0"/>
                    <w:ind w:left="-55" w:leftChars="-26" w:right="-25" w:rightChars="-12"/>
                    <w:jc w:val="center"/>
                    <w:rPr>
                      <w:szCs w:val="21"/>
                    </w:rPr>
                  </w:pPr>
                  <w:r>
                    <w:rPr>
                      <w:rFonts w:hint="eastAsia"/>
                      <w:szCs w:val="21"/>
                    </w:rPr>
                    <w:t>本环评要求建设单位施工期间</w:t>
                  </w:r>
                  <w:r>
                    <w:rPr>
                      <w:szCs w:val="21"/>
                    </w:rPr>
                    <w:t>建筑工程施工现场扬尘污染防治应做到工地周边围挡、物料堆放覆盖、路面硬化、土方开挖湿法作业、出入车辆清洗、渣土车辆密闭运输“六个百分之百”</w:t>
                  </w:r>
                </w:p>
              </w:tc>
              <w:tc>
                <w:tcPr>
                  <w:tcW w:w="467" w:type="pct"/>
                  <w:vAlign w:val="center"/>
                </w:tcPr>
                <w:p w14:paraId="2CD99D3E">
                  <w:pPr>
                    <w:snapToGrid w:val="0"/>
                    <w:ind w:left="-55" w:leftChars="-26" w:right="-25" w:rightChars="-12"/>
                    <w:jc w:val="center"/>
                    <w:rPr>
                      <w:szCs w:val="21"/>
                    </w:rPr>
                  </w:pPr>
                  <w:r>
                    <w:rPr>
                      <w:rFonts w:hint="eastAsia"/>
                      <w:szCs w:val="21"/>
                    </w:rPr>
                    <w:t>符合</w:t>
                  </w:r>
                </w:p>
              </w:tc>
            </w:tr>
            <w:tr w14:paraId="294E0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5" w:type="pct"/>
                  <w:gridSpan w:val="2"/>
                  <w:vAlign w:val="center"/>
                </w:tcPr>
                <w:p w14:paraId="3ED5B3DD">
                  <w:pPr>
                    <w:snapToGrid w:val="0"/>
                    <w:ind w:left="-107" w:leftChars="-51" w:right="-105" w:rightChars="-50"/>
                    <w:jc w:val="center"/>
                    <w:rPr>
                      <w:szCs w:val="21"/>
                    </w:rPr>
                  </w:pPr>
                  <w:r>
                    <w:rPr>
                      <w:szCs w:val="21"/>
                    </w:rPr>
                    <w:t>环境风险防控</w:t>
                  </w:r>
                </w:p>
              </w:tc>
              <w:tc>
                <w:tcPr>
                  <w:tcW w:w="479" w:type="pct"/>
                  <w:vAlign w:val="center"/>
                </w:tcPr>
                <w:p w14:paraId="2761EC52">
                  <w:pPr>
                    <w:snapToGrid w:val="0"/>
                    <w:ind w:left="-107" w:leftChars="-51" w:right="-105" w:rightChars="-50"/>
                    <w:jc w:val="center"/>
                    <w:rPr>
                      <w:szCs w:val="21"/>
                    </w:rPr>
                  </w:pPr>
                  <w:r>
                    <w:rPr>
                      <w:szCs w:val="21"/>
                    </w:rPr>
                    <w:t>省-重点-土壤-建设用地-风险</w:t>
                  </w:r>
                </w:p>
              </w:tc>
              <w:tc>
                <w:tcPr>
                  <w:tcW w:w="2203" w:type="pct"/>
                  <w:vAlign w:val="center"/>
                </w:tcPr>
                <w:p w14:paraId="72B3C0C1">
                  <w:pPr>
                    <w:snapToGrid w:val="0"/>
                    <w:ind w:left="-107" w:leftChars="-51" w:right="-105" w:rightChars="-50"/>
                    <w:jc w:val="center"/>
                    <w:rPr>
                      <w:szCs w:val="21"/>
                    </w:rPr>
                  </w:pPr>
                  <w:r>
                    <w:rPr>
                      <w:szCs w:val="21"/>
                    </w:rPr>
                    <w:t>生产、使用、贮存、运输、回收、处置、排放有毒有害物质的单位和个人，应当采取有效措施，防止有毒有害物质渗漏、流失、扬散，避免土壤受到污染</w:t>
                  </w:r>
                </w:p>
              </w:tc>
              <w:tc>
                <w:tcPr>
                  <w:tcW w:w="1246" w:type="pct"/>
                  <w:vAlign w:val="center"/>
                </w:tcPr>
                <w:p w14:paraId="74F6AA71">
                  <w:pPr>
                    <w:snapToGrid w:val="0"/>
                    <w:ind w:left="-55" w:leftChars="-26" w:right="-25" w:rightChars="-12"/>
                    <w:jc w:val="center"/>
                    <w:rPr>
                      <w:szCs w:val="21"/>
                    </w:rPr>
                  </w:pPr>
                  <w:r>
                    <w:rPr>
                      <w:rFonts w:hint="eastAsia"/>
                      <w:szCs w:val="21"/>
                    </w:rPr>
                    <w:t>本项目设计时已按照</w:t>
                  </w:r>
                  <w:r>
                    <w:rPr>
                      <w:color w:val="000000"/>
                      <w:szCs w:val="21"/>
                    </w:rPr>
                    <w:t>《汽车加油加气站设计与施工规范》( GB 50156)的要求</w:t>
                  </w:r>
                  <w:r>
                    <w:rPr>
                      <w:rFonts w:hint="eastAsia"/>
                      <w:color w:val="000000"/>
                      <w:szCs w:val="21"/>
                    </w:rPr>
                    <w:t>设置</w:t>
                  </w:r>
                  <w:r>
                    <w:rPr>
                      <w:rFonts w:hint="eastAsia"/>
                      <w:szCs w:val="21"/>
                    </w:rPr>
                    <w:t>双层油罐，双层管道，同时按照《加油站地下水污染防治技术指南（试行）》设置了防渗池，采取以上措施后能够有效防止有毒有害物质渗漏、流失、扬散，避免土壤受到污染</w:t>
                  </w:r>
                </w:p>
              </w:tc>
              <w:tc>
                <w:tcPr>
                  <w:tcW w:w="467" w:type="pct"/>
                  <w:vAlign w:val="center"/>
                </w:tcPr>
                <w:p w14:paraId="35F5947B">
                  <w:pPr>
                    <w:snapToGrid w:val="0"/>
                    <w:ind w:left="-55" w:leftChars="-26" w:right="-25" w:rightChars="-12"/>
                    <w:jc w:val="center"/>
                    <w:rPr>
                      <w:szCs w:val="21"/>
                    </w:rPr>
                  </w:pPr>
                  <w:r>
                    <w:rPr>
                      <w:rFonts w:hint="eastAsia"/>
                      <w:szCs w:val="21"/>
                    </w:rPr>
                    <w:t>符合</w:t>
                  </w:r>
                </w:p>
              </w:tc>
            </w:tr>
          </w:tbl>
          <w:p w14:paraId="327CBFC4">
            <w:pPr>
              <w:pStyle w:val="61"/>
              <w:ind w:firstLine="0" w:firstLineChars="0"/>
              <w:rPr>
                <w:rFonts w:ascii="宋体" w:hAnsi="宋体" w:cs="仿宋"/>
                <w:b/>
                <w:bCs/>
                <w:color w:val="000000" w:themeColor="text1"/>
                <w:spacing w:val="4"/>
                <w14:textFill>
                  <w14:solidFill>
                    <w14:schemeClr w14:val="tx1"/>
                  </w14:solidFill>
                </w14:textFill>
              </w:rPr>
            </w:pPr>
            <w:r>
              <w:rPr>
                <w:b/>
                <w:bCs/>
                <w:color w:val="000000" w:themeColor="text1"/>
                <w:kern w:val="0"/>
                <w:szCs w:val="21"/>
                <w14:textFill>
                  <w14:solidFill>
                    <w14:schemeClr w14:val="tx1"/>
                  </w14:solidFill>
                </w14:textFill>
              </w:rPr>
              <w:t>6</w:t>
            </w:r>
            <w:r>
              <w:rPr>
                <w:rFonts w:hint="eastAsia"/>
                <w:b/>
                <w:bCs/>
                <w:color w:val="000000" w:themeColor="text1"/>
                <w:kern w:val="0"/>
                <w:szCs w:val="21"/>
                <w14:textFill>
                  <w14:solidFill>
                    <w14:schemeClr w14:val="tx1"/>
                  </w14:solidFill>
                </w14:textFill>
              </w:rPr>
              <w:t>、</w:t>
            </w:r>
            <w:r>
              <w:rPr>
                <w:rFonts w:hint="eastAsia" w:ascii="宋体" w:hAnsi="宋体" w:cs="仿宋"/>
                <w:b/>
                <w:bCs/>
                <w:color w:val="000000" w:themeColor="text1"/>
                <w:spacing w:val="4"/>
                <w14:textFill>
                  <w14:solidFill>
                    <w14:schemeClr w14:val="tx1"/>
                  </w14:solidFill>
                </w14:textFill>
              </w:rPr>
              <w:t>项目排污管理类别分析</w:t>
            </w:r>
          </w:p>
          <w:p w14:paraId="76D595E5">
            <w:pPr>
              <w:pStyle w:val="61"/>
              <w:ind w:firstLine="48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安徽省生态环境厅于</w:t>
            </w: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021年</w:t>
            </w:r>
            <w:r>
              <w:rPr>
                <w:rFonts w:hint="eastAsia"/>
                <w:color w:val="000000" w:themeColor="text1"/>
                <w:kern w:val="0"/>
                <w:szCs w:val="21"/>
                <w14:textFill>
                  <w14:solidFill>
                    <w14:schemeClr w14:val="tx1"/>
                  </w14:solidFill>
                </w14:textFill>
              </w:rPr>
              <w:t>1月3</w:t>
            </w:r>
            <w:r>
              <w:rPr>
                <w:color w:val="000000" w:themeColor="text1"/>
                <w:kern w:val="0"/>
                <w:szCs w:val="21"/>
                <w14:textFill>
                  <w14:solidFill>
                    <w14:schemeClr w14:val="tx1"/>
                  </w14:solidFill>
                </w14:textFill>
              </w:rPr>
              <w:t>0日发布的</w:t>
            </w:r>
            <w:r>
              <w:rPr>
                <w:rFonts w:hint="eastAsia"/>
                <w:color w:val="000000" w:themeColor="text1"/>
                <w:kern w:val="0"/>
                <w:szCs w:val="21"/>
                <w14:textFill>
                  <w14:solidFill>
                    <w14:schemeClr w14:val="tx1"/>
                  </w14:solidFill>
                </w14:textFill>
              </w:rPr>
              <w:t>《安徽省生态环境厅关于统筹做好固定污染源许可日常监管工作的通知》（皖环发[</w:t>
            </w:r>
            <w:r>
              <w:rPr>
                <w:color w:val="000000" w:themeColor="text1"/>
                <w:kern w:val="0"/>
                <w:szCs w:val="21"/>
                <w14:textFill>
                  <w14:solidFill>
                    <w14:schemeClr w14:val="tx1"/>
                  </w14:solidFill>
                </w14:textFill>
              </w:rPr>
              <w:t>2021]7号</w:t>
            </w:r>
            <w:r>
              <w:rPr>
                <w:rFonts w:hint="eastAsia"/>
                <w:color w:val="000000" w:themeColor="text1"/>
                <w:kern w:val="0"/>
                <w:szCs w:val="21"/>
                <w14:textFill>
                  <w14:solidFill>
                    <w14:schemeClr w14:val="tx1"/>
                  </w14:solidFill>
                </w14:textFill>
              </w:rPr>
              <w:t>）中提出“积极探索排污许可与环评制度的联动试点。</w:t>
            </w:r>
            <w:r>
              <w:rPr>
                <w:color w:val="000000" w:themeColor="text1"/>
                <w:kern w:val="0"/>
                <w:szCs w:val="21"/>
                <w14:textFill>
                  <w14:solidFill>
                    <w14:schemeClr w14:val="tx1"/>
                  </w14:solidFill>
                </w14:textFill>
              </w:rPr>
              <w:t>按照</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新老有别、平稳过渡</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的原则，探索推进环评制度与排污许可制度的</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两证合一</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联动试点，为建设项目实际排污行为发生前申领（变更）排污许可证提供填报依据和技术支撑。属于现行《固定污染源排污许可分类管理名录》内重点管理和简化管理的行业，建设单位在组织编制建设项目环境影响报告书（表）时，可结合相应行业排污许可证申请与核发技术规范，在环评文件中一并明确</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建设项目环境影响评价与排污许可联动内容</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和《建设项目排污许可申请与填报信息表》，生态环境部门在环评文件受理和审批过程中同步审核。</w:t>
            </w:r>
            <w:r>
              <w:rPr>
                <w:rFonts w:hint="eastAsia"/>
                <w:color w:val="000000" w:themeColor="text1"/>
                <w:kern w:val="0"/>
                <w:szCs w:val="21"/>
                <w14:textFill>
                  <w14:solidFill>
                    <w14:schemeClr w14:val="tx1"/>
                  </w14:solidFill>
                </w14:textFill>
              </w:rPr>
              <w:t>”</w:t>
            </w:r>
          </w:p>
          <w:p w14:paraId="7AE46E45">
            <w:pPr>
              <w:pStyle w:val="61"/>
              <w:ind w:firstLine="48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根据</w:t>
            </w:r>
            <w:r>
              <w:rPr>
                <w:rFonts w:hint="eastAsia"/>
                <w:color w:val="000000" w:themeColor="text1"/>
                <w:kern w:val="0"/>
                <w:szCs w:val="21"/>
                <w14:textFill>
                  <w14:solidFill>
                    <w14:schemeClr w14:val="tx1"/>
                  </w14:solidFill>
                </w14:textFill>
              </w:rPr>
              <w:t>《国民经济行业分类》(GBT4754-2017)</w:t>
            </w:r>
            <w:r>
              <w:rPr>
                <w:color w:val="000000" w:themeColor="text1"/>
                <w:kern w:val="0"/>
                <w:szCs w:val="21"/>
                <w14:textFill>
                  <w14:solidFill>
                    <w14:schemeClr w14:val="tx1"/>
                  </w14:solidFill>
                </w14:textFill>
              </w:rPr>
              <w:t>及国家统计局关于</w:t>
            </w:r>
            <w:r>
              <w:fldChar w:fldCharType="begin"/>
            </w:r>
            <w:r>
              <w:instrText xml:space="preserve"> HYPERLINK "https://www.eiacloud.com/hpyzs/lawsRegulations/searchDetail?id=3448381b4f9948838b38b8adbbd575aa" \t "_blank" </w:instrText>
            </w:r>
            <w:r>
              <w:fldChar w:fldCharType="separate"/>
            </w:r>
            <w:r>
              <w:rPr>
                <w:color w:val="000000" w:themeColor="text1"/>
                <w:kern w:val="0"/>
                <w:szCs w:val="21"/>
                <w14:textFill>
                  <w14:solidFill>
                    <w14:schemeClr w14:val="tx1"/>
                  </w14:solidFill>
                </w14:textFill>
              </w:rPr>
              <w:t>《执行国民经济行业分类第1号修改单的通知（国统字</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2019</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66号）文》</w:t>
            </w:r>
            <w:r>
              <w:rPr>
                <w:color w:val="000000" w:themeColor="text1"/>
                <w:kern w:val="0"/>
                <w:szCs w:val="21"/>
                <w14:textFill>
                  <w14:solidFill>
                    <w14:schemeClr w14:val="tx1"/>
                  </w14:solidFill>
                </w14:textFill>
              </w:rPr>
              <w:fldChar w:fldCharType="end"/>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本项目属于</w:t>
            </w:r>
            <w:r>
              <w:rPr>
                <w:rFonts w:hint="eastAsia"/>
                <w:color w:val="000000" w:themeColor="text1"/>
                <w14:textFill>
                  <w14:solidFill>
                    <w14:schemeClr w14:val="tx1"/>
                  </w14:solidFill>
                </w14:textFill>
              </w:rPr>
              <w:t>F5265机动车燃油零售</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对照《固定污染源排污许可分类管理名录》</w:t>
            </w: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019版</w:t>
            </w:r>
            <w:r>
              <w:rPr>
                <w:rFonts w:hint="eastAsia"/>
                <w:color w:val="000000" w:themeColor="text1"/>
                <w:kern w:val="0"/>
                <w:szCs w:val="21"/>
                <w14:textFill>
                  <w14:solidFill>
                    <w14:schemeClr w14:val="tx1"/>
                  </w14:solidFill>
                </w14:textFill>
              </w:rPr>
              <w:t>），本项目属于“四十二、零售业52-100汽车、摩托车、零配件和燃料及其他动力销售526、位于城市建成区的加油站”，故本项目排污许可执行简化管理。</w:t>
            </w:r>
          </w:p>
        </w:tc>
      </w:tr>
    </w:tbl>
    <w:p w14:paraId="1CE12F44">
      <w:pPr>
        <w:ind w:left="-424" w:leftChars="-202" w:firstLine="423" w:firstLineChars="141"/>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二、建设项目工程分析</w:t>
      </w:r>
    </w:p>
    <w:tbl>
      <w:tblPr>
        <w:tblStyle w:val="27"/>
        <w:tblW w:w="10013" w:type="dxa"/>
        <w:tblInd w:w="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8"/>
        <w:gridCol w:w="549"/>
        <w:gridCol w:w="8926"/>
      </w:tblGrid>
      <w:tr w14:paraId="00A006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5" w:hRule="atLeast"/>
        </w:trPr>
        <w:tc>
          <w:tcPr>
            <w:tcW w:w="535" w:type="dxa"/>
            <w:vAlign w:val="center"/>
          </w:tcPr>
          <w:p w14:paraId="05DF044C">
            <w:pPr>
              <w:adjustRightInd w:val="0"/>
              <w:snapToGrid w:val="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建设内容</w:t>
            </w:r>
          </w:p>
        </w:tc>
        <w:tc>
          <w:tcPr>
            <w:tcW w:w="9423" w:type="dxa"/>
            <w:gridSpan w:val="2"/>
          </w:tcPr>
          <w:p w14:paraId="57B47AC0">
            <w:pPr>
              <w:spacing w:line="500" w:lineRule="atLeas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中国石化销售股份有限公司安徽蚌埠石油分公司拟计划投资194.05万元，在蚌埠市</w:t>
            </w:r>
            <w:r>
              <w:rPr>
                <w:sz w:val="24"/>
              </w:rPr>
              <w:t>蚌埠市</w:t>
            </w:r>
            <w:r>
              <w:rPr>
                <w:rFonts w:hint="eastAsia"/>
                <w:sz w:val="24"/>
              </w:rPr>
              <w:t>固镇</w:t>
            </w:r>
            <w:r>
              <w:rPr>
                <w:sz w:val="24"/>
              </w:rPr>
              <w:t>县</w:t>
            </w:r>
            <w:r>
              <w:rPr>
                <w:rFonts w:hint="eastAsia"/>
                <w:sz w:val="24"/>
              </w:rPr>
              <w:t>101省道</w:t>
            </w:r>
            <w:r>
              <w:rPr>
                <w:rFonts w:hint="eastAsia"/>
                <w:color w:val="000000" w:themeColor="text1"/>
                <w:sz w:val="24"/>
                <w14:textFill>
                  <w14:solidFill>
                    <w14:schemeClr w14:val="tx1"/>
                  </w14:solidFill>
                </w14:textFill>
              </w:rPr>
              <w:t>固镇城北现有加油站内投资建设中国石化销售股份有限公司安徽固镇城北加油站改扩建项目，</w:t>
            </w: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20m³柴油储罐1台、20m³汽油储罐4台</w:t>
            </w:r>
            <w:r>
              <w:rPr>
                <w:color w:val="000000" w:themeColor="text1"/>
                <w:sz w:val="24"/>
                <w14:textFill>
                  <w14:solidFill>
                    <w14:schemeClr w14:val="tx1"/>
                  </w14:solidFill>
                </w14:textFill>
              </w:rPr>
              <w:t>，折合总容积</w:t>
            </w:r>
            <w:r>
              <w:rPr>
                <w:rFonts w:hint="eastAsia"/>
                <w:color w:val="000000" w:themeColor="text1"/>
                <w:sz w:val="24"/>
                <w14:textFill>
                  <w14:solidFill>
                    <w14:schemeClr w14:val="tx1"/>
                  </w14:solidFill>
                </w14:textFill>
              </w:rPr>
              <w:t>90m³</w:t>
            </w:r>
            <w:r>
              <w:rPr>
                <w:color w:val="000000" w:themeColor="text1"/>
                <w:sz w:val="24"/>
                <w14:textFill>
                  <w14:solidFill>
                    <w14:schemeClr w14:val="tx1"/>
                  </w14:solidFill>
                </w14:textFill>
              </w:rPr>
              <w:t>(柴油折半计)</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根据《汽车加油加气加氢站技术标准》 (GB50156-2021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可知，本项目属</w:t>
            </w:r>
            <w:r>
              <w:rPr>
                <w:rFonts w:hint="eastAsia"/>
                <w:color w:val="000000" w:themeColor="text1"/>
                <w:sz w:val="24"/>
                <w14:textFill>
                  <w14:solidFill>
                    <w14:schemeClr w14:val="tx1"/>
                  </w14:solidFill>
                </w14:textFill>
              </w:rPr>
              <w:t>三</w:t>
            </w:r>
            <w:r>
              <w:rPr>
                <w:color w:val="000000" w:themeColor="text1"/>
                <w:sz w:val="24"/>
                <w14:textFill>
                  <w14:solidFill>
                    <w14:schemeClr w14:val="tx1"/>
                  </w14:solidFill>
                </w14:textFill>
              </w:rPr>
              <w:t>级</w:t>
            </w:r>
            <w:r>
              <w:rPr>
                <w:rFonts w:hint="eastAsia"/>
                <w:color w:val="000000" w:themeColor="text1"/>
                <w:sz w:val="24"/>
                <w14:textFill>
                  <w14:solidFill>
                    <w14:schemeClr w14:val="tx1"/>
                  </w14:solidFill>
                </w14:textFill>
              </w:rPr>
              <w:t>加油</w:t>
            </w:r>
            <w:r>
              <w:rPr>
                <w:color w:val="000000" w:themeColor="text1"/>
                <w:sz w:val="24"/>
                <w14:textFill>
                  <w14:solidFill>
                    <w14:schemeClr w14:val="tx1"/>
                  </w14:solidFill>
                </w14:textFill>
              </w:rPr>
              <w:t>站</w:t>
            </w:r>
            <w:r>
              <w:rPr>
                <w:rFonts w:hint="eastAsia"/>
                <w:color w:val="000000" w:themeColor="text1"/>
                <w:sz w:val="24"/>
                <w14:textFill>
                  <w14:solidFill>
                    <w14:schemeClr w14:val="tx1"/>
                  </w14:solidFill>
                </w14:textFill>
              </w:rPr>
              <w:t>。</w:t>
            </w:r>
          </w:p>
          <w:p w14:paraId="41D5F8DB">
            <w:pPr>
              <w:spacing w:line="500" w:lineRule="atLeas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中华人民共和国环境影响评价法》及《建设项目环境保护管理条例》等法律法规文件，中国石化销售股份有限公司安徽蚌埠石油分公司委托安徽显闰环境咨询有限公司对该项目进行环境影响评价工作。根据《建设项目环境影响评价分类管理名录》（20</w:t>
            </w:r>
            <w:r>
              <w:rPr>
                <w:color w:val="000000" w:themeColor="text1"/>
                <w:sz w:val="24"/>
                <w14:textFill>
                  <w14:solidFill>
                    <w14:schemeClr w14:val="tx1"/>
                  </w14:solidFill>
                </w14:textFill>
              </w:rPr>
              <w:t>21年版</w:t>
            </w:r>
            <w:r>
              <w:rPr>
                <w:rFonts w:hint="eastAsia"/>
                <w:color w:val="000000" w:themeColor="text1"/>
                <w:sz w:val="24"/>
                <w14:textFill>
                  <w14:solidFill>
                    <w14:schemeClr w14:val="tx1"/>
                  </w14:solidFill>
                </w14:textFill>
              </w:rPr>
              <w:t>），本项目为属于“五十、社会事业与服务业-119、加油、加气站-城市建成区新建加油站”，需编制环境影响报告表。</w:t>
            </w:r>
          </w:p>
          <w:p w14:paraId="48B8D2FC">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接受委托后，</w:t>
            </w:r>
            <w:r>
              <w:rPr>
                <w:rFonts w:hint="eastAsia"/>
                <w:color w:val="000000" w:themeColor="text1"/>
                <w:sz w:val="24"/>
                <w14:textFill>
                  <w14:solidFill>
                    <w14:schemeClr w14:val="tx1"/>
                  </w14:solidFill>
                </w14:textFill>
              </w:rPr>
              <w:t>安徽显闰环境咨询有限公司</w:t>
            </w:r>
            <w:r>
              <w:rPr>
                <w:rFonts w:hint="eastAsia"/>
                <w:snapToGrid w:val="0"/>
                <w:color w:val="000000" w:themeColor="text1"/>
                <w:kern w:val="0"/>
                <w:sz w:val="24"/>
                <w14:textFill>
                  <w14:solidFill>
                    <w14:schemeClr w14:val="tx1"/>
                  </w14:solidFill>
                </w14:textFill>
              </w:rPr>
              <w:t>即组织有关技术人员进行现场勘察、收集资料。依据国家环境保护有关法律、法规文件和环境影响评价技术导则，编制了该项目环境影响报告表，报请生态环境行政主管部门审查、审批，以期为该项目管理提供参考依据</w:t>
            </w:r>
            <w:r>
              <w:rPr>
                <w:color w:val="000000" w:themeColor="text1"/>
                <w:kern w:val="28"/>
                <w:sz w:val="24"/>
                <w14:textFill>
                  <w14:solidFill>
                    <w14:schemeClr w14:val="tx1"/>
                  </w14:solidFill>
                </w14:textFill>
              </w:rPr>
              <w:t>。</w:t>
            </w:r>
          </w:p>
          <w:p w14:paraId="7582D6D3">
            <w:pPr>
              <w:spacing w:line="500" w:lineRule="atLeast"/>
              <w:ind w:firstLine="472" w:firstLineChars="196"/>
              <w:rPr>
                <w:b/>
                <w:color w:val="000000" w:themeColor="text1"/>
                <w:kern w:val="28"/>
                <w:sz w:val="24"/>
                <w14:textFill>
                  <w14:solidFill>
                    <w14:schemeClr w14:val="tx1"/>
                  </w14:solidFill>
                </w14:textFill>
              </w:rPr>
            </w:pPr>
            <w:r>
              <w:rPr>
                <w:rFonts w:hint="eastAsia"/>
                <w:b/>
                <w:color w:val="000000" w:themeColor="text1"/>
                <w:kern w:val="28"/>
                <w:sz w:val="24"/>
                <w14:textFill>
                  <w14:solidFill>
                    <w14:schemeClr w14:val="tx1"/>
                  </w14:solidFill>
                </w14:textFill>
              </w:rPr>
              <w:t>一</w:t>
            </w:r>
            <w:r>
              <w:rPr>
                <w:b/>
                <w:color w:val="000000" w:themeColor="text1"/>
                <w:kern w:val="28"/>
                <w:sz w:val="24"/>
                <w14:textFill>
                  <w14:solidFill>
                    <w14:schemeClr w14:val="tx1"/>
                  </w14:solidFill>
                </w14:textFill>
              </w:rPr>
              <w:t>、建设规模及内容</w:t>
            </w:r>
          </w:p>
          <w:p w14:paraId="37784F38">
            <w:pPr>
              <w:adjustRightInd w:val="0"/>
              <w:snapToGrid w:val="0"/>
              <w:spacing w:line="500" w:lineRule="atLeas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将位于站区内的2台2</w:t>
            </w:r>
            <w:r>
              <w:rPr>
                <w:color w:val="000000" w:themeColor="text1"/>
                <w:sz w:val="24"/>
                <w14:textFill>
                  <w14:solidFill>
                    <w14:schemeClr w14:val="tx1"/>
                  </w14:solidFill>
                </w14:textFill>
              </w:rPr>
              <w:t>0m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单层柴油储罐，3台2</w:t>
            </w:r>
            <w:r>
              <w:rPr>
                <w:color w:val="000000" w:themeColor="text1"/>
                <w:sz w:val="24"/>
                <w14:textFill>
                  <w14:solidFill>
                    <w14:schemeClr w14:val="tx1"/>
                  </w14:solidFill>
                </w14:textFill>
              </w:rPr>
              <w:t>0m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单层汽油储罐改造为1台 2</w:t>
            </w:r>
            <w:r>
              <w:rPr>
                <w:color w:val="000000" w:themeColor="text1"/>
                <w:sz w:val="24"/>
                <w14:textFill>
                  <w14:solidFill>
                    <w14:schemeClr w14:val="tx1"/>
                  </w14:solidFill>
                </w14:textFill>
              </w:rPr>
              <w:t>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 xml:space="preserve"> SF</w:t>
            </w:r>
            <w:r>
              <w:rPr>
                <w:rFonts w:hint="eastAsia"/>
                <w:color w:val="000000" w:themeColor="text1"/>
                <w:sz w:val="24"/>
                <w14:textFill>
                  <w14:solidFill>
                    <w14:schemeClr w14:val="tx1"/>
                  </w14:solidFill>
                </w14:textFill>
              </w:rPr>
              <w:t>双层柴油储罐，4台2</w:t>
            </w:r>
            <w:r>
              <w:rPr>
                <w:color w:val="000000" w:themeColor="text1"/>
                <w:sz w:val="24"/>
                <w14:textFill>
                  <w14:solidFill>
                    <w14:schemeClr w14:val="tx1"/>
                  </w14:solidFill>
                </w14:textFill>
              </w:rPr>
              <w:t>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 xml:space="preserve"> SF</w:t>
            </w:r>
            <w:r>
              <w:rPr>
                <w:rFonts w:hint="eastAsia"/>
                <w:color w:val="000000" w:themeColor="text1"/>
                <w:sz w:val="24"/>
                <w14:textFill>
                  <w14:solidFill>
                    <w14:schemeClr w14:val="tx1"/>
                  </w14:solidFill>
                </w14:textFill>
              </w:rPr>
              <w:t xml:space="preserve">双层汽油储罐。 </w:t>
            </w:r>
          </w:p>
          <w:p w14:paraId="1D83E6D8">
            <w:pPr>
              <w:adjustRightInd w:val="0"/>
              <w:snapToGrid w:val="0"/>
              <w:spacing w:line="500" w:lineRule="atLeast"/>
              <w:ind w:firstLine="480" w:firstLineChars="200"/>
              <w:rPr>
                <w:color w:val="000000" w:themeColor="text1"/>
                <w:kern w:val="28"/>
                <w:sz w:val="24"/>
                <w14:textFill>
                  <w14:solidFill>
                    <w14:schemeClr w14:val="tx1"/>
                  </w14:solidFill>
                </w14:textFill>
              </w:rPr>
            </w:pPr>
            <w:r>
              <w:rPr>
                <w:color w:val="000000" w:themeColor="text1"/>
                <w:sz w:val="24"/>
                <w14:textFill>
                  <w14:solidFill>
                    <w14:schemeClr w14:val="tx1"/>
                  </w14:solidFill>
                </w14:textFill>
              </w:rPr>
              <w:t>主要建设内容见下表：</w:t>
            </w:r>
          </w:p>
          <w:p w14:paraId="683BBB97">
            <w:pPr>
              <w:keepNext/>
              <w:spacing w:line="500" w:lineRule="atLeast"/>
              <w:ind w:left="480"/>
              <w:jc w:val="center"/>
              <w:rPr>
                <w:b/>
                <w:color w:val="000000" w:themeColor="text1"/>
                <w:sz w:val="24"/>
                <w14:textFill>
                  <w14:solidFill>
                    <w14:schemeClr w14:val="tx1"/>
                  </w14:solidFill>
                </w14:textFill>
              </w:rPr>
            </w:pPr>
            <w:r>
              <w:rPr>
                <w:b/>
                <w:bCs/>
                <w:color w:val="000000" w:themeColor="text1"/>
                <w:sz w:val="24"/>
                <w14:textFill>
                  <w14:solidFill>
                    <w14:schemeClr w14:val="tx1"/>
                  </w14:solidFill>
                </w14:textFill>
              </w:rPr>
              <w:t>表2-1</w:t>
            </w:r>
            <w:r>
              <w:rPr>
                <w:b/>
                <w:color w:val="000000" w:themeColor="text1"/>
                <w:sz w:val="24"/>
                <w14:textFill>
                  <w14:solidFill>
                    <w14:schemeClr w14:val="tx1"/>
                  </w14:solidFill>
                </w14:textFill>
              </w:rPr>
              <w:t>建设项目组成一览表</w:t>
            </w:r>
          </w:p>
          <w:tbl>
            <w:tblPr>
              <w:tblStyle w:val="27"/>
              <w:tblW w:w="9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477"/>
              <w:gridCol w:w="4024"/>
              <w:gridCol w:w="2592"/>
            </w:tblGrid>
            <w:tr w14:paraId="6B72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 w:type="pct"/>
                  <w:vAlign w:val="center"/>
                </w:tcPr>
                <w:p w14:paraId="569888DD">
                  <w:pPr>
                    <w:jc w:val="center"/>
                    <w:rPr>
                      <w:color w:val="000000" w:themeColor="text1"/>
                      <w14:textFill>
                        <w14:solidFill>
                          <w14:schemeClr w14:val="tx1"/>
                        </w14:solidFill>
                      </w14:textFill>
                    </w:rPr>
                  </w:pPr>
                  <w:r>
                    <w:rPr>
                      <w:color w:val="000000" w:themeColor="text1"/>
                      <w14:textFill>
                        <w14:solidFill>
                          <w14:schemeClr w14:val="tx1"/>
                        </w14:solidFill>
                      </w14:textFill>
                    </w:rPr>
                    <w:t>工程名称</w:t>
                  </w:r>
                </w:p>
              </w:tc>
              <w:tc>
                <w:tcPr>
                  <w:tcW w:w="803" w:type="pct"/>
                  <w:vAlign w:val="center"/>
                </w:tcPr>
                <w:p w14:paraId="34C76D8A">
                  <w:pPr>
                    <w:jc w:val="center"/>
                    <w:rPr>
                      <w:color w:val="000000" w:themeColor="text1"/>
                      <w14:textFill>
                        <w14:solidFill>
                          <w14:schemeClr w14:val="tx1"/>
                        </w14:solidFill>
                      </w14:textFill>
                    </w:rPr>
                  </w:pPr>
                  <w:r>
                    <w:rPr>
                      <w:color w:val="000000" w:themeColor="text1"/>
                      <w14:textFill>
                        <w14:solidFill>
                          <w14:schemeClr w14:val="tx1"/>
                        </w14:solidFill>
                      </w14:textFill>
                    </w:rPr>
                    <w:t>单项工程名称</w:t>
                  </w:r>
                </w:p>
              </w:tc>
              <w:tc>
                <w:tcPr>
                  <w:tcW w:w="3596" w:type="pct"/>
                  <w:gridSpan w:val="2"/>
                  <w:vAlign w:val="center"/>
                </w:tcPr>
                <w:p w14:paraId="61C20625">
                  <w:pPr>
                    <w:jc w:val="center"/>
                    <w:rPr>
                      <w:color w:val="000000" w:themeColor="text1"/>
                      <w14:textFill>
                        <w14:solidFill>
                          <w14:schemeClr w14:val="tx1"/>
                        </w14:solidFill>
                      </w14:textFill>
                    </w:rPr>
                  </w:pPr>
                  <w:r>
                    <w:rPr>
                      <w:color w:val="000000" w:themeColor="text1"/>
                      <w14:textFill>
                        <w14:solidFill>
                          <w14:schemeClr w14:val="tx1"/>
                        </w14:solidFill>
                      </w14:textFill>
                    </w:rPr>
                    <w:t>工程内容</w:t>
                  </w:r>
                  <w:r>
                    <w:rPr>
                      <w:rFonts w:hint="eastAsia"/>
                      <w:color w:val="000000" w:themeColor="text1"/>
                      <w14:textFill>
                        <w14:solidFill>
                          <w14:schemeClr w14:val="tx1"/>
                        </w14:solidFill>
                      </w14:textFill>
                    </w:rPr>
                    <w:t>及规模</w:t>
                  </w:r>
                </w:p>
              </w:tc>
            </w:tr>
            <w:tr w14:paraId="6437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 w:type="pct"/>
                  <w:vMerge w:val="restart"/>
                  <w:vAlign w:val="center"/>
                </w:tcPr>
                <w:p w14:paraId="29E73086">
                  <w:pPr>
                    <w:jc w:val="center"/>
                    <w:rPr>
                      <w:color w:val="000000" w:themeColor="text1"/>
                      <w14:textFill>
                        <w14:solidFill>
                          <w14:schemeClr w14:val="tx1"/>
                        </w14:solidFill>
                      </w14:textFill>
                    </w:rPr>
                  </w:pPr>
                  <w:r>
                    <w:rPr>
                      <w:color w:val="000000" w:themeColor="text1"/>
                      <w14:textFill>
                        <w14:solidFill>
                          <w14:schemeClr w14:val="tx1"/>
                        </w14:solidFill>
                      </w14:textFill>
                    </w:rPr>
                    <w:t>主体工程</w:t>
                  </w:r>
                </w:p>
              </w:tc>
              <w:tc>
                <w:tcPr>
                  <w:tcW w:w="803" w:type="pct"/>
                  <w:vAlign w:val="center"/>
                </w:tcPr>
                <w:p w14:paraId="253D3FF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油罐区</w:t>
                  </w:r>
                </w:p>
              </w:tc>
              <w:tc>
                <w:tcPr>
                  <w:tcW w:w="3596" w:type="pct"/>
                  <w:gridSpan w:val="2"/>
                  <w:vAlign w:val="center"/>
                </w:tcPr>
                <w:p w14:paraId="39CB1AC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拆除原有罐区，将原有的 5 台单层油品储罐（3 台 20m</w:t>
                  </w:r>
                  <w:r>
                    <w:rPr>
                      <w:rFonts w:hint="eastAsia"/>
                      <w:color w:val="000000" w:themeColor="text1"/>
                      <w:szCs w:val="21"/>
                      <w:vertAlign w:val="superscript"/>
                      <w14:textFill>
                        <w14:solidFill>
                          <w14:schemeClr w14:val="tx1"/>
                        </w14:solidFill>
                      </w14:textFill>
                    </w:rPr>
                    <w:t xml:space="preserve">3 </w:t>
                  </w:r>
                  <w:r>
                    <w:rPr>
                      <w:rFonts w:hint="eastAsia"/>
                      <w:color w:val="000000" w:themeColor="text1"/>
                      <w:szCs w:val="21"/>
                      <w14:textFill>
                        <w14:solidFill>
                          <w14:schemeClr w14:val="tx1"/>
                        </w14:solidFill>
                      </w14:textFill>
                    </w:rPr>
                    <w:t>的汽油罐、2 台20m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的柴油罐）改造为 5 台 SF 双层油品储罐（4 台 20m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 xml:space="preserve"> </w:t>
                  </w:r>
                </w:p>
                <w:p w14:paraId="3FCE30E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的汽油罐、1 台 20m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 xml:space="preserve"> 的柴油罐）。各油罐的通气管设置在罐区北部，密 闭卸油点设置在罐区西部，同时设置汽油卸油、汽油加油油气回收系统。</w:t>
                  </w:r>
                </w:p>
              </w:tc>
            </w:tr>
            <w:tr w14:paraId="46A8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 w:type="pct"/>
                  <w:vMerge w:val="continue"/>
                  <w:vAlign w:val="center"/>
                </w:tcPr>
                <w:p w14:paraId="333EBDBB">
                  <w:pPr>
                    <w:jc w:val="center"/>
                    <w:rPr>
                      <w:color w:val="000000" w:themeColor="text1"/>
                      <w14:textFill>
                        <w14:solidFill>
                          <w14:schemeClr w14:val="tx1"/>
                        </w14:solidFill>
                      </w14:textFill>
                    </w:rPr>
                  </w:pPr>
                </w:p>
              </w:tc>
              <w:tc>
                <w:tcPr>
                  <w:tcW w:w="803" w:type="pct"/>
                  <w:vAlign w:val="center"/>
                </w:tcPr>
                <w:p w14:paraId="0901804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加油岛</w:t>
                  </w:r>
                </w:p>
              </w:tc>
              <w:tc>
                <w:tcPr>
                  <w:tcW w:w="3596" w:type="pct"/>
                  <w:gridSpan w:val="2"/>
                  <w:vAlign w:val="center"/>
                </w:tcPr>
                <w:p w14:paraId="19A4143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拆除原有6台加油机，在加油区原址设2台四枪四油品潜油泵加油机和3台六枪三油品潜油泵加油机；</w:t>
                  </w:r>
                </w:p>
              </w:tc>
            </w:tr>
            <w:tr w14:paraId="4ECF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 w:type="pct"/>
                  <w:vMerge w:val="continue"/>
                  <w:vAlign w:val="center"/>
                </w:tcPr>
                <w:p w14:paraId="4492308E">
                  <w:pPr>
                    <w:jc w:val="center"/>
                    <w:rPr>
                      <w:color w:val="000000" w:themeColor="text1"/>
                      <w14:textFill>
                        <w14:solidFill>
                          <w14:schemeClr w14:val="tx1"/>
                        </w14:solidFill>
                      </w14:textFill>
                    </w:rPr>
                  </w:pPr>
                </w:p>
              </w:tc>
              <w:tc>
                <w:tcPr>
                  <w:tcW w:w="803" w:type="pct"/>
                  <w:vAlign w:val="center"/>
                </w:tcPr>
                <w:p w14:paraId="375D91A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罩棚</w:t>
                  </w:r>
                </w:p>
              </w:tc>
              <w:tc>
                <w:tcPr>
                  <w:tcW w:w="3596" w:type="pct"/>
                  <w:gridSpan w:val="2"/>
                  <w:vAlign w:val="center"/>
                </w:tcPr>
                <w:p w14:paraId="1BA973E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罩棚利旧，罩棚水平投影面积为713.6m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 建筑面积为356.8m</w:t>
                  </w:r>
                  <w:r>
                    <w:rPr>
                      <w:rFonts w:hint="eastAsia"/>
                      <w:color w:val="000000" w:themeColor="text1"/>
                      <w:szCs w:val="21"/>
                      <w:vertAlign w:val="superscript"/>
                      <w14:textFill>
                        <w14:solidFill>
                          <w14:schemeClr w14:val="tx1"/>
                        </w14:solidFill>
                      </w14:textFill>
                    </w:rPr>
                    <w:t xml:space="preserve"> 2</w:t>
                  </w:r>
                  <w:r>
                    <w:rPr>
                      <w:rFonts w:hint="eastAsia"/>
                      <w:color w:val="000000" w:themeColor="text1"/>
                      <w:szCs w:val="21"/>
                      <w14:textFill>
                        <w14:solidFill>
                          <w14:schemeClr w14:val="tx1"/>
                        </w14:solidFill>
                      </w14:textFill>
                    </w:rPr>
                    <w:t>（折半）</w:t>
                  </w:r>
                </w:p>
              </w:tc>
            </w:tr>
            <w:tr w14:paraId="512C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 w:type="pct"/>
                  <w:vAlign w:val="center"/>
                </w:tcPr>
                <w:p w14:paraId="075A2B57">
                  <w:pPr>
                    <w:jc w:val="center"/>
                    <w:rPr>
                      <w:color w:val="000000" w:themeColor="text1"/>
                      <w14:textFill>
                        <w14:solidFill>
                          <w14:schemeClr w14:val="tx1"/>
                        </w14:solidFill>
                      </w14:textFill>
                    </w:rPr>
                  </w:pPr>
                  <w:r>
                    <w:rPr>
                      <w:color w:val="000000" w:themeColor="text1"/>
                      <w14:textFill>
                        <w14:solidFill>
                          <w14:schemeClr w14:val="tx1"/>
                        </w14:solidFill>
                      </w14:textFill>
                    </w:rPr>
                    <w:t>辅助工程</w:t>
                  </w:r>
                </w:p>
              </w:tc>
              <w:tc>
                <w:tcPr>
                  <w:tcW w:w="803" w:type="pct"/>
                  <w:vAlign w:val="center"/>
                </w:tcPr>
                <w:p w14:paraId="293D69C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站房</w:t>
                  </w:r>
                </w:p>
              </w:tc>
              <w:tc>
                <w:tcPr>
                  <w:tcW w:w="2187" w:type="pct"/>
                  <w:vAlign w:val="center"/>
                </w:tcPr>
                <w:p w14:paraId="34106BA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站房利旧装饰改造，不改动主体结构，原为二层框架结构</w:t>
                  </w:r>
                </w:p>
              </w:tc>
              <w:tc>
                <w:tcPr>
                  <w:tcW w:w="1408" w:type="pct"/>
                  <w:vAlign w:val="center"/>
                </w:tcPr>
                <w:p w14:paraId="74FE0C5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面积约452.4</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p>
              </w:tc>
            </w:tr>
            <w:tr w14:paraId="3E642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 w:type="pct"/>
                  <w:vMerge w:val="restart"/>
                  <w:vAlign w:val="center"/>
                </w:tcPr>
                <w:p w14:paraId="3D92E37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公用工程</w:t>
                  </w:r>
                </w:p>
              </w:tc>
              <w:tc>
                <w:tcPr>
                  <w:tcW w:w="803" w:type="pct"/>
                  <w:vAlign w:val="center"/>
                </w:tcPr>
                <w:p w14:paraId="472C54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供电</w:t>
                  </w:r>
                </w:p>
              </w:tc>
              <w:tc>
                <w:tcPr>
                  <w:tcW w:w="3596" w:type="pct"/>
                  <w:gridSpan w:val="2"/>
                  <w:vAlign w:val="center"/>
                </w:tcPr>
                <w:p w14:paraId="0AA6DC75">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市政供</w:t>
                  </w:r>
                  <w:r>
                    <w:rPr>
                      <w:color w:val="000000" w:themeColor="text1"/>
                      <w:szCs w:val="21"/>
                      <w14:textFill>
                        <w14:solidFill>
                          <w14:schemeClr w14:val="tx1"/>
                        </w14:solidFill>
                      </w14:textFill>
                    </w:rPr>
                    <w:t>电系统</w:t>
                  </w:r>
                  <w:r>
                    <w:rPr>
                      <w:rFonts w:hint="eastAsia"/>
                      <w:color w:val="000000" w:themeColor="text1"/>
                      <w:szCs w:val="21"/>
                      <w14:textFill>
                        <w14:solidFill>
                          <w14:schemeClr w14:val="tx1"/>
                        </w14:solidFill>
                      </w14:textFill>
                    </w:rPr>
                    <w:t>供给，</w:t>
                  </w:r>
                  <w:r>
                    <w:rPr>
                      <w:color w:val="000000" w:themeColor="text1"/>
                      <w:szCs w:val="21"/>
                      <w14:textFill>
                        <w14:solidFill>
                          <w14:schemeClr w14:val="tx1"/>
                        </w14:solidFill>
                      </w14:textFill>
                    </w:rPr>
                    <w:t>满足生产生活需求</w:t>
                  </w:r>
                </w:p>
              </w:tc>
            </w:tr>
            <w:tr w14:paraId="3F79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 w:type="pct"/>
                  <w:vMerge w:val="continue"/>
                  <w:vAlign w:val="center"/>
                </w:tcPr>
                <w:p w14:paraId="22A98201">
                  <w:pPr>
                    <w:jc w:val="center"/>
                    <w:rPr>
                      <w:color w:val="000000" w:themeColor="text1"/>
                      <w:szCs w:val="21"/>
                      <w14:textFill>
                        <w14:solidFill>
                          <w14:schemeClr w14:val="tx1"/>
                        </w14:solidFill>
                      </w14:textFill>
                    </w:rPr>
                  </w:pPr>
                </w:p>
              </w:tc>
              <w:tc>
                <w:tcPr>
                  <w:tcW w:w="803" w:type="pct"/>
                  <w:vAlign w:val="center"/>
                </w:tcPr>
                <w:p w14:paraId="5BED30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供水</w:t>
                  </w:r>
                </w:p>
              </w:tc>
              <w:tc>
                <w:tcPr>
                  <w:tcW w:w="3596" w:type="pct"/>
                  <w:gridSpan w:val="2"/>
                  <w:vAlign w:val="center"/>
                </w:tcPr>
                <w:p w14:paraId="35775EBB">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市政</w:t>
                  </w:r>
                  <w:r>
                    <w:rPr>
                      <w:color w:val="000000" w:themeColor="text1"/>
                      <w:szCs w:val="21"/>
                      <w14:textFill>
                        <w14:solidFill>
                          <w14:schemeClr w14:val="tx1"/>
                        </w14:solidFill>
                      </w14:textFill>
                    </w:rPr>
                    <w:t>供水管网</w:t>
                  </w:r>
                  <w:r>
                    <w:rPr>
                      <w:rFonts w:hint="eastAsia"/>
                      <w:color w:val="000000" w:themeColor="text1"/>
                      <w:szCs w:val="21"/>
                      <w14:textFill>
                        <w14:solidFill>
                          <w14:schemeClr w14:val="tx1"/>
                        </w14:solidFill>
                      </w14:textFill>
                    </w:rPr>
                    <w:t>供给，</w:t>
                  </w:r>
                  <w:r>
                    <w:rPr>
                      <w:color w:val="000000" w:themeColor="text1"/>
                      <w:szCs w:val="21"/>
                      <w14:textFill>
                        <w14:solidFill>
                          <w14:schemeClr w14:val="tx1"/>
                        </w14:solidFill>
                      </w14:textFill>
                    </w:rPr>
                    <w:t>满足</w:t>
                  </w:r>
                  <w:r>
                    <w:rPr>
                      <w:rFonts w:hint="eastAsia"/>
                      <w:color w:val="000000" w:themeColor="text1"/>
                      <w:szCs w:val="21"/>
                      <w14:textFill>
                        <w14:solidFill>
                          <w14:schemeClr w14:val="tx1"/>
                        </w14:solidFill>
                      </w14:textFill>
                    </w:rPr>
                    <w:t>项目</w:t>
                  </w:r>
                  <w:r>
                    <w:rPr>
                      <w:color w:val="000000" w:themeColor="text1"/>
                      <w:szCs w:val="21"/>
                      <w14:textFill>
                        <w14:solidFill>
                          <w14:schemeClr w14:val="tx1"/>
                        </w14:solidFill>
                      </w14:textFill>
                    </w:rPr>
                    <w:t>需求</w:t>
                  </w:r>
                </w:p>
              </w:tc>
            </w:tr>
            <w:tr w14:paraId="792A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 w:type="pct"/>
                  <w:vMerge w:val="continue"/>
                  <w:vAlign w:val="center"/>
                </w:tcPr>
                <w:p w14:paraId="43E0D545">
                  <w:pPr>
                    <w:jc w:val="center"/>
                    <w:rPr>
                      <w:color w:val="000000" w:themeColor="text1"/>
                      <w:szCs w:val="21"/>
                      <w14:textFill>
                        <w14:solidFill>
                          <w14:schemeClr w14:val="tx1"/>
                        </w14:solidFill>
                      </w14:textFill>
                    </w:rPr>
                  </w:pPr>
                </w:p>
              </w:tc>
              <w:tc>
                <w:tcPr>
                  <w:tcW w:w="803" w:type="pct"/>
                  <w:vAlign w:val="center"/>
                </w:tcPr>
                <w:p w14:paraId="2362960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排水</w:t>
                  </w:r>
                </w:p>
              </w:tc>
              <w:tc>
                <w:tcPr>
                  <w:tcW w:w="3596" w:type="pct"/>
                  <w:gridSpan w:val="2"/>
                  <w:vAlign w:val="center"/>
                </w:tcPr>
                <w:p w14:paraId="18225BD8">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站区雨污分流，地面冲洗水经隔油沉淀池处理后与生活污水经化粪池处理后一同排入市政污水管网，进入固镇县污水处理厂处理</w:t>
                  </w:r>
                </w:p>
              </w:tc>
            </w:tr>
            <w:tr w14:paraId="4443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 w:type="pct"/>
                  <w:vMerge w:val="restart"/>
                  <w:vAlign w:val="center"/>
                </w:tcPr>
                <w:p w14:paraId="60B4904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环保工程</w:t>
                  </w:r>
                </w:p>
              </w:tc>
              <w:tc>
                <w:tcPr>
                  <w:tcW w:w="803" w:type="pct"/>
                  <w:vAlign w:val="center"/>
                </w:tcPr>
                <w:p w14:paraId="0A100A7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噪声治理</w:t>
                  </w:r>
                </w:p>
              </w:tc>
              <w:tc>
                <w:tcPr>
                  <w:tcW w:w="3596" w:type="pct"/>
                  <w:gridSpan w:val="2"/>
                  <w:vAlign w:val="center"/>
                </w:tcPr>
                <w:p w14:paraId="246EA88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选用低噪声设备、设备减振、实体围墙隔声、加强车辆进站管理（限速和禁止鸣笛等）</w:t>
                  </w:r>
                </w:p>
              </w:tc>
            </w:tr>
            <w:tr w14:paraId="5170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 w:type="pct"/>
                  <w:vMerge w:val="continue"/>
                  <w:vAlign w:val="center"/>
                </w:tcPr>
                <w:p w14:paraId="6BB73468">
                  <w:pPr>
                    <w:jc w:val="center"/>
                    <w:rPr>
                      <w:color w:val="000000" w:themeColor="text1"/>
                      <w14:textFill>
                        <w14:solidFill>
                          <w14:schemeClr w14:val="tx1"/>
                        </w14:solidFill>
                      </w14:textFill>
                    </w:rPr>
                  </w:pPr>
                </w:p>
              </w:tc>
              <w:tc>
                <w:tcPr>
                  <w:tcW w:w="803" w:type="pct"/>
                  <w:vAlign w:val="center"/>
                </w:tcPr>
                <w:p w14:paraId="6E627D94">
                  <w:pPr>
                    <w:jc w:val="center"/>
                    <w:rPr>
                      <w:color w:val="000000" w:themeColor="text1"/>
                      <w14:textFill>
                        <w14:solidFill>
                          <w14:schemeClr w14:val="tx1"/>
                        </w14:solidFill>
                      </w14:textFill>
                    </w:rPr>
                  </w:pPr>
                  <w:r>
                    <w:rPr>
                      <w:color w:val="000000" w:themeColor="text1"/>
                      <w14:textFill>
                        <w14:solidFill>
                          <w14:schemeClr w14:val="tx1"/>
                        </w14:solidFill>
                      </w14:textFill>
                    </w:rPr>
                    <w:t>废水治理</w:t>
                  </w:r>
                </w:p>
              </w:tc>
              <w:tc>
                <w:tcPr>
                  <w:tcW w:w="3596" w:type="pct"/>
                  <w:gridSpan w:val="2"/>
                  <w:vAlign w:val="center"/>
                </w:tcPr>
                <w:p w14:paraId="53788416">
                  <w:pPr>
                    <w:spacing w:line="240" w:lineRule="atLeast"/>
                    <w:ind w:left="-109" w:leftChars="-52" w:right="-99" w:rightChars="-47"/>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项目排水采取雨污分流，雨水经雨水管网排入市政雨水管网；</w:t>
                  </w:r>
                  <w:r>
                    <w:rPr>
                      <w:rFonts w:hint="eastAsia"/>
                      <w:color w:val="000000" w:themeColor="text1"/>
                      <w:szCs w:val="21"/>
                      <w14:textFill>
                        <w14:solidFill>
                          <w14:schemeClr w14:val="tx1"/>
                        </w14:solidFill>
                      </w14:textFill>
                    </w:rPr>
                    <w:t>地面冲洗水经隔油沉淀池处理后与生活污水经化粪池处理后一同排入市政污水管网，进入固镇县污水处理厂处理处理</w:t>
                  </w:r>
                </w:p>
              </w:tc>
            </w:tr>
            <w:tr w14:paraId="0964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 w:type="pct"/>
                  <w:vMerge w:val="continue"/>
                  <w:vAlign w:val="center"/>
                </w:tcPr>
                <w:p w14:paraId="54B2D104">
                  <w:pPr>
                    <w:jc w:val="center"/>
                    <w:rPr>
                      <w:color w:val="000000" w:themeColor="text1"/>
                      <w14:textFill>
                        <w14:solidFill>
                          <w14:schemeClr w14:val="tx1"/>
                        </w14:solidFill>
                      </w14:textFill>
                    </w:rPr>
                  </w:pPr>
                </w:p>
              </w:tc>
              <w:tc>
                <w:tcPr>
                  <w:tcW w:w="803" w:type="pct"/>
                  <w:vAlign w:val="center"/>
                </w:tcPr>
                <w:p w14:paraId="6B09653C">
                  <w:pPr>
                    <w:jc w:val="center"/>
                    <w:rPr>
                      <w:color w:val="000000" w:themeColor="text1"/>
                      <w14:textFill>
                        <w14:solidFill>
                          <w14:schemeClr w14:val="tx1"/>
                        </w14:solidFill>
                      </w14:textFill>
                    </w:rPr>
                  </w:pPr>
                  <w:r>
                    <w:rPr>
                      <w:color w:val="000000" w:themeColor="text1"/>
                      <w14:textFill>
                        <w14:solidFill>
                          <w14:schemeClr w14:val="tx1"/>
                        </w14:solidFill>
                      </w14:textFill>
                    </w:rPr>
                    <w:t>固废治理</w:t>
                  </w:r>
                </w:p>
              </w:tc>
              <w:tc>
                <w:tcPr>
                  <w:tcW w:w="3596" w:type="pct"/>
                  <w:gridSpan w:val="2"/>
                  <w:vAlign w:val="center"/>
                </w:tcPr>
                <w:p w14:paraId="627DA661">
                  <w:pPr>
                    <w:spacing w:line="320" w:lineRule="exact"/>
                    <w:ind w:left="-94" w:leftChars="-45" w:right="-69" w:rightChars="-3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油罐清理废液和隔油沉淀池废油委托清理单位清理，清理后产生的含油废液和废油由清理单位带走处理，要求全过程按照危废委托资质单位处置；含油废抹布和手套暂存危废暂存</w:t>
                  </w:r>
                  <w:r>
                    <w:rPr>
                      <w:rFonts w:hint="eastAsia"/>
                      <w:color w:val="000000" w:themeColor="text1"/>
                      <w:lang w:val="en-US" w:eastAsia="zh-CN"/>
                      <w14:textFill>
                        <w14:solidFill>
                          <w14:schemeClr w14:val="tx1"/>
                        </w14:solidFill>
                      </w14:textFill>
                    </w:rPr>
                    <w:t>箱</w:t>
                  </w:r>
                  <w:r>
                    <w:rPr>
                      <w:rFonts w:hint="eastAsia"/>
                      <w:color w:val="000000" w:themeColor="text1"/>
                      <w14:textFill>
                        <w14:solidFill>
                          <w14:schemeClr w14:val="tx1"/>
                        </w14:solidFill>
                      </w14:textFill>
                    </w:rPr>
                    <w:t>定期委托资质单位代为处置</w:t>
                  </w:r>
                  <w:r>
                    <w:rPr>
                      <w:color w:val="000000" w:themeColor="text1"/>
                      <w14:textFill>
                        <w14:solidFill>
                          <w14:schemeClr w14:val="tx1"/>
                        </w14:solidFill>
                      </w14:textFill>
                    </w:rPr>
                    <w:t>；厂区内设置生活垃圾桶，生活垃圾委托环卫部门清运处置</w:t>
                  </w:r>
                </w:p>
              </w:tc>
            </w:tr>
            <w:tr w14:paraId="444D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 w:type="pct"/>
                  <w:vMerge w:val="continue"/>
                  <w:vAlign w:val="center"/>
                </w:tcPr>
                <w:p w14:paraId="7C146272">
                  <w:pPr>
                    <w:jc w:val="center"/>
                    <w:rPr>
                      <w:color w:val="000000" w:themeColor="text1"/>
                      <w14:textFill>
                        <w14:solidFill>
                          <w14:schemeClr w14:val="tx1"/>
                        </w14:solidFill>
                      </w14:textFill>
                    </w:rPr>
                  </w:pPr>
                </w:p>
              </w:tc>
              <w:tc>
                <w:tcPr>
                  <w:tcW w:w="803" w:type="pct"/>
                  <w:vAlign w:val="center"/>
                </w:tcPr>
                <w:p w14:paraId="35119F48">
                  <w:pPr>
                    <w:jc w:val="center"/>
                    <w:rPr>
                      <w:color w:val="000000" w:themeColor="text1"/>
                      <w14:textFill>
                        <w14:solidFill>
                          <w14:schemeClr w14:val="tx1"/>
                        </w14:solidFill>
                      </w14:textFill>
                    </w:rPr>
                  </w:pPr>
                  <w:r>
                    <w:rPr>
                      <w:color w:val="000000" w:themeColor="text1"/>
                      <w14:textFill>
                        <w14:solidFill>
                          <w14:schemeClr w14:val="tx1"/>
                        </w14:solidFill>
                      </w14:textFill>
                    </w:rPr>
                    <w:t>废气治理</w:t>
                  </w:r>
                </w:p>
              </w:tc>
              <w:tc>
                <w:tcPr>
                  <w:tcW w:w="3596" w:type="pct"/>
                  <w:gridSpan w:val="2"/>
                  <w:vAlign w:val="center"/>
                </w:tcPr>
                <w:p w14:paraId="00186E58">
                  <w:pPr>
                    <w:ind w:left="-94" w:leftChars="-45" w:right="-69" w:rightChars="-33"/>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卸油（大呼吸）产生的非甲烷总烃经封闭管道回流至油罐车拉走处理，油罐小呼吸（日常储存）产生的非甲烷总烃经油气回收系统处理；加油机加油作业时产生的非甲烷总烃设置油气回收系统处理</w:t>
                  </w:r>
                </w:p>
              </w:tc>
            </w:tr>
            <w:tr w14:paraId="3D1D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 w:type="pct"/>
                  <w:vMerge w:val="continue"/>
                  <w:vAlign w:val="center"/>
                </w:tcPr>
                <w:p w14:paraId="773D375F">
                  <w:pPr>
                    <w:jc w:val="center"/>
                    <w:rPr>
                      <w:color w:val="000000" w:themeColor="text1"/>
                      <w14:textFill>
                        <w14:solidFill>
                          <w14:schemeClr w14:val="tx1"/>
                        </w14:solidFill>
                      </w14:textFill>
                    </w:rPr>
                  </w:pPr>
                </w:p>
              </w:tc>
              <w:tc>
                <w:tcPr>
                  <w:tcW w:w="803" w:type="pct"/>
                  <w:vAlign w:val="center"/>
                </w:tcPr>
                <w:p w14:paraId="0282381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地下水防治</w:t>
                  </w:r>
                </w:p>
              </w:tc>
              <w:tc>
                <w:tcPr>
                  <w:tcW w:w="3596" w:type="pct"/>
                  <w:gridSpan w:val="2"/>
                  <w:vAlign w:val="center"/>
                </w:tcPr>
                <w:p w14:paraId="58AE9881">
                  <w:pPr>
                    <w:ind w:left="-94" w:leftChars="-45" w:right="-69" w:rightChars="-33"/>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加油站站区地面全部进行硬化防渗，储罐采用双层储罐，罐区重点防渗，罐池四周及底部进行重点防渗，等效粘土防渗层Mb26.0m，K&lt;lx10</w:t>
                  </w:r>
                  <w:r>
                    <w:rPr>
                      <w:rFonts w:hint="eastAsia"/>
                      <w:bCs/>
                      <w:color w:val="000000" w:themeColor="text1"/>
                      <w:szCs w:val="21"/>
                      <w:vertAlign w:val="superscript"/>
                      <w14:textFill>
                        <w14:solidFill>
                          <w14:schemeClr w14:val="tx1"/>
                        </w14:solidFill>
                      </w14:textFill>
                    </w:rPr>
                    <w:t>-7</w:t>
                  </w:r>
                  <w:r>
                    <w:rPr>
                      <w:rFonts w:hint="eastAsia"/>
                      <w:bCs/>
                      <w:color w:val="000000" w:themeColor="text1"/>
                      <w:szCs w:val="21"/>
                      <w14:textFill>
                        <w14:solidFill>
                          <w14:schemeClr w14:val="tx1"/>
                        </w14:solidFill>
                      </w14:textFill>
                    </w:rPr>
                    <w:t>cm/s。</w:t>
                  </w:r>
                </w:p>
              </w:tc>
            </w:tr>
            <w:tr w14:paraId="59CE1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 w:type="pct"/>
                  <w:vMerge w:val="continue"/>
                  <w:vAlign w:val="center"/>
                </w:tcPr>
                <w:p w14:paraId="2E91F231">
                  <w:pPr>
                    <w:jc w:val="center"/>
                    <w:rPr>
                      <w:color w:val="000000" w:themeColor="text1"/>
                      <w14:textFill>
                        <w14:solidFill>
                          <w14:schemeClr w14:val="tx1"/>
                        </w14:solidFill>
                      </w14:textFill>
                    </w:rPr>
                  </w:pPr>
                </w:p>
              </w:tc>
              <w:tc>
                <w:tcPr>
                  <w:tcW w:w="803" w:type="pct"/>
                  <w:vAlign w:val="center"/>
                </w:tcPr>
                <w:p w14:paraId="3005193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tc>
              <w:tc>
                <w:tcPr>
                  <w:tcW w:w="3596" w:type="pct"/>
                  <w:gridSpan w:val="2"/>
                  <w:vAlign w:val="center"/>
                </w:tcPr>
                <w:p w14:paraId="4EA63863">
                  <w:pPr>
                    <w:ind w:left="-94" w:leftChars="-45" w:right="-69" w:rightChars="-33"/>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安装高液位报警器、渗漏检测仪、卸油防溢阀、紧急切断系统，加油软管配置拉断截止阀，站区设可燃气体报警器</w:t>
                  </w:r>
                </w:p>
              </w:tc>
            </w:tr>
          </w:tbl>
          <w:p w14:paraId="5280DF50">
            <w:pPr>
              <w:spacing w:line="500" w:lineRule="atLeast"/>
              <w:ind w:firstLine="472" w:firstLineChars="196"/>
              <w:rPr>
                <w:b/>
                <w:color w:val="000000" w:themeColor="text1"/>
                <w:kern w:val="28"/>
                <w:sz w:val="24"/>
                <w14:textFill>
                  <w14:solidFill>
                    <w14:schemeClr w14:val="tx1"/>
                  </w14:solidFill>
                </w14:textFill>
              </w:rPr>
            </w:pPr>
            <w:r>
              <w:rPr>
                <w:rFonts w:hint="eastAsia"/>
                <w:b/>
                <w:color w:val="000000" w:themeColor="text1"/>
                <w:kern w:val="28"/>
                <w:sz w:val="24"/>
                <w14:textFill>
                  <w14:solidFill>
                    <w14:schemeClr w14:val="tx1"/>
                  </w14:solidFill>
                </w14:textFill>
              </w:rPr>
              <w:t>二</w:t>
            </w:r>
            <w:r>
              <w:rPr>
                <w:b/>
                <w:color w:val="000000" w:themeColor="text1"/>
                <w:kern w:val="28"/>
                <w:sz w:val="24"/>
                <w14:textFill>
                  <w14:solidFill>
                    <w14:schemeClr w14:val="tx1"/>
                  </w14:solidFill>
                </w14:textFill>
              </w:rPr>
              <w:t>、工作天数和劳动定员</w:t>
            </w:r>
          </w:p>
          <w:p w14:paraId="3503EFC8">
            <w:pPr>
              <w:spacing w:line="500" w:lineRule="atLeas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工作天数：全年工作日</w:t>
            </w:r>
            <w:r>
              <w:rPr>
                <w:rFonts w:hint="eastAsia"/>
                <w:color w:val="000000" w:themeColor="text1"/>
                <w:sz w:val="24"/>
                <w14:textFill>
                  <w14:solidFill>
                    <w14:schemeClr w14:val="tx1"/>
                  </w14:solidFill>
                </w14:textFill>
              </w:rPr>
              <w:t>365</w:t>
            </w:r>
            <w:r>
              <w:rPr>
                <w:color w:val="000000" w:themeColor="text1"/>
                <w:sz w:val="24"/>
                <w14:textFill>
                  <w14:solidFill>
                    <w14:schemeClr w14:val="tx1"/>
                  </w14:solidFill>
                </w14:textFill>
              </w:rPr>
              <w:t>天，</w:t>
            </w:r>
            <w:r>
              <w:rPr>
                <w:rFonts w:hint="eastAsia"/>
                <w:color w:val="000000" w:themeColor="text1"/>
                <w:sz w:val="24"/>
                <w14:textFill>
                  <w14:solidFill>
                    <w14:schemeClr w14:val="tx1"/>
                  </w14:solidFill>
                </w14:textFill>
              </w:rPr>
              <w:t>一天</w:t>
            </w:r>
            <w:r>
              <w:rPr>
                <w:color w:val="000000" w:themeColor="text1"/>
                <w:sz w:val="24"/>
                <w14:textFill>
                  <w14:solidFill>
                    <w14:schemeClr w14:val="tx1"/>
                  </w14:solidFill>
                </w14:textFill>
              </w:rPr>
              <w:t>工作</w:t>
            </w:r>
            <w:r>
              <w:rPr>
                <w:rFonts w:hint="eastAsia"/>
                <w:color w:val="000000" w:themeColor="text1"/>
                <w:sz w:val="24"/>
                <w14:textFill>
                  <w14:solidFill>
                    <w14:schemeClr w14:val="tx1"/>
                  </w14:solidFill>
                </w14:textFill>
              </w:rPr>
              <w:t>24</w:t>
            </w:r>
            <w:r>
              <w:rPr>
                <w:color w:val="000000" w:themeColor="text1"/>
                <w:sz w:val="24"/>
                <w14:textFill>
                  <w14:solidFill>
                    <w14:schemeClr w14:val="tx1"/>
                  </w14:solidFill>
                </w14:textFill>
              </w:rPr>
              <w:t>小时。</w:t>
            </w:r>
          </w:p>
          <w:p w14:paraId="73129ED3">
            <w:pPr>
              <w:spacing w:line="500" w:lineRule="atLeas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劳动定员：共计</w:t>
            </w:r>
            <w:r>
              <w:rPr>
                <w:rFonts w:hint="eastAsia"/>
                <w:color w:val="000000" w:themeColor="text1"/>
                <w:sz w:val="24"/>
                <w14:textFill>
                  <w14:solidFill>
                    <w14:schemeClr w14:val="tx1"/>
                  </w14:solidFill>
                </w14:textFill>
              </w:rPr>
              <w:t>20</w:t>
            </w:r>
            <w:r>
              <w:rPr>
                <w:color w:val="000000" w:themeColor="text1"/>
                <w:sz w:val="24"/>
                <w14:textFill>
                  <w14:solidFill>
                    <w14:schemeClr w14:val="tx1"/>
                  </w14:solidFill>
                </w14:textFill>
              </w:rPr>
              <w:t>人。</w:t>
            </w:r>
          </w:p>
          <w:p w14:paraId="2C63F652">
            <w:pPr>
              <w:spacing w:line="500" w:lineRule="atLeast"/>
              <w:ind w:firstLine="472" w:firstLineChars="196"/>
              <w:rPr>
                <w:b/>
                <w:color w:val="000000" w:themeColor="text1"/>
                <w:kern w:val="28"/>
                <w:sz w:val="24"/>
                <w14:textFill>
                  <w14:solidFill>
                    <w14:schemeClr w14:val="tx1"/>
                  </w14:solidFill>
                </w14:textFill>
              </w:rPr>
            </w:pPr>
            <w:r>
              <w:rPr>
                <w:rFonts w:hint="eastAsia"/>
                <w:b/>
                <w:color w:val="000000" w:themeColor="text1"/>
                <w:kern w:val="28"/>
                <w:sz w:val="24"/>
                <w14:textFill>
                  <w14:solidFill>
                    <w14:schemeClr w14:val="tx1"/>
                  </w14:solidFill>
                </w14:textFill>
              </w:rPr>
              <w:t>三</w:t>
            </w:r>
            <w:r>
              <w:rPr>
                <w:b/>
                <w:color w:val="000000" w:themeColor="text1"/>
                <w:kern w:val="28"/>
                <w:sz w:val="24"/>
                <w14:textFill>
                  <w14:solidFill>
                    <w14:schemeClr w14:val="tx1"/>
                  </w14:solidFill>
                </w14:textFill>
              </w:rPr>
              <w:t>、主要生产设备</w:t>
            </w:r>
          </w:p>
          <w:p w14:paraId="11ED7066">
            <w:pPr>
              <w:spacing w:line="500" w:lineRule="atLeas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项目主要生产设备见下表：</w:t>
            </w:r>
          </w:p>
          <w:p w14:paraId="5E096173">
            <w:pPr>
              <w:spacing w:line="500" w:lineRule="atLeast"/>
              <w:ind w:firstLine="482" w:firstLineChars="2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表2-2  </w:t>
            </w:r>
            <w:r>
              <w:rPr>
                <w:rFonts w:hint="eastAsia"/>
                <w:b/>
                <w:color w:val="000000" w:themeColor="text1"/>
                <w:sz w:val="24"/>
                <w:lang w:val="en-US" w:eastAsia="zh-CN"/>
                <w14:textFill>
                  <w14:solidFill>
                    <w14:schemeClr w14:val="tx1"/>
                  </w14:solidFill>
                </w14:textFill>
              </w:rPr>
              <w:t>改扩建前</w:t>
            </w:r>
            <w:r>
              <w:rPr>
                <w:b/>
                <w:color w:val="000000" w:themeColor="text1"/>
                <w:sz w:val="24"/>
                <w14:textFill>
                  <w14:solidFill>
                    <w14:schemeClr w14:val="tx1"/>
                  </w14:solidFill>
                </w14:textFill>
              </w:rPr>
              <w:t>主要</w:t>
            </w:r>
            <w:r>
              <w:rPr>
                <w:rFonts w:hint="eastAsia"/>
                <w:b/>
                <w:color w:val="000000" w:themeColor="text1"/>
                <w:sz w:val="24"/>
                <w14:textFill>
                  <w14:solidFill>
                    <w14:schemeClr w14:val="tx1"/>
                  </w14:solidFill>
                </w14:textFill>
              </w:rPr>
              <w:t>生产</w:t>
            </w:r>
            <w:r>
              <w:rPr>
                <w:b/>
                <w:color w:val="000000" w:themeColor="text1"/>
                <w:sz w:val="24"/>
                <w14:textFill>
                  <w14:solidFill>
                    <w14:schemeClr w14:val="tx1"/>
                  </w14:solidFill>
                </w14:textFill>
              </w:rPr>
              <w:t>设备一览表</w:t>
            </w:r>
          </w:p>
          <w:tbl>
            <w:tblPr>
              <w:tblStyle w:val="27"/>
              <w:tblW w:w="5000" w:type="pct"/>
              <w:tblInd w:w="0" w:type="dxa"/>
              <w:tblLayout w:type="fixed"/>
              <w:tblCellMar>
                <w:top w:w="0" w:type="dxa"/>
                <w:left w:w="108" w:type="dxa"/>
                <w:bottom w:w="0" w:type="dxa"/>
                <w:right w:w="108" w:type="dxa"/>
              </w:tblCellMar>
            </w:tblPr>
            <w:tblGrid>
              <w:gridCol w:w="1178"/>
              <w:gridCol w:w="3385"/>
              <w:gridCol w:w="1343"/>
              <w:gridCol w:w="1176"/>
              <w:gridCol w:w="2177"/>
            </w:tblGrid>
            <w:tr w14:paraId="1CA3CA8E">
              <w:tblPrEx>
                <w:tblCellMar>
                  <w:top w:w="0" w:type="dxa"/>
                  <w:left w:w="108" w:type="dxa"/>
                  <w:bottom w:w="0" w:type="dxa"/>
                  <w:right w:w="108" w:type="dxa"/>
                </w:tblCellMar>
              </w:tblPrEx>
              <w:trPr>
                <w:trHeight w:val="247" w:hRule="atLeast"/>
              </w:trPr>
              <w:tc>
                <w:tcPr>
                  <w:tcW w:w="6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7196E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827" w:type="pct"/>
                  <w:tcBorders>
                    <w:top w:val="single" w:color="auto" w:sz="4" w:space="0"/>
                    <w:left w:val="nil"/>
                    <w:bottom w:val="single" w:color="auto" w:sz="4" w:space="0"/>
                    <w:right w:val="single" w:color="auto" w:sz="4" w:space="0"/>
                  </w:tcBorders>
                  <w:shd w:val="clear" w:color="auto" w:fill="auto"/>
                  <w:noWrap/>
                  <w:vAlign w:val="center"/>
                </w:tcPr>
                <w:p w14:paraId="44F6D4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设备名称</w:t>
                  </w:r>
                </w:p>
              </w:tc>
              <w:tc>
                <w:tcPr>
                  <w:tcW w:w="725" w:type="pct"/>
                  <w:tcBorders>
                    <w:top w:val="single" w:color="auto" w:sz="4" w:space="0"/>
                    <w:left w:val="nil"/>
                    <w:bottom w:val="single" w:color="auto" w:sz="4" w:space="0"/>
                    <w:right w:val="single" w:color="auto" w:sz="4" w:space="0"/>
                  </w:tcBorders>
                  <w:shd w:val="clear" w:color="auto" w:fill="auto"/>
                  <w:noWrap/>
                  <w:vAlign w:val="center"/>
                </w:tcPr>
                <w:p w14:paraId="0CFDD75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数量</w:t>
                  </w:r>
                </w:p>
              </w:tc>
              <w:tc>
                <w:tcPr>
                  <w:tcW w:w="635" w:type="pct"/>
                  <w:tcBorders>
                    <w:top w:val="single" w:color="auto" w:sz="4" w:space="0"/>
                    <w:left w:val="nil"/>
                    <w:bottom w:val="single" w:color="auto" w:sz="4" w:space="0"/>
                    <w:right w:val="single" w:color="auto" w:sz="4" w:space="0"/>
                  </w:tcBorders>
                  <w:shd w:val="clear" w:color="auto" w:fill="auto"/>
                  <w:noWrap/>
                  <w:vAlign w:val="center"/>
                </w:tcPr>
                <w:p w14:paraId="7FE7CD2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c>
                <w:tcPr>
                  <w:tcW w:w="1175" w:type="pct"/>
                  <w:tcBorders>
                    <w:top w:val="single" w:color="auto" w:sz="4" w:space="0"/>
                    <w:left w:val="nil"/>
                    <w:bottom w:val="single" w:color="auto" w:sz="4" w:space="0"/>
                    <w:right w:val="single" w:color="auto" w:sz="4" w:space="0"/>
                  </w:tcBorders>
                  <w:vAlign w:val="center"/>
                </w:tcPr>
                <w:p w14:paraId="61E185F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技术规格及型号</w:t>
                  </w:r>
                </w:p>
              </w:tc>
            </w:tr>
            <w:tr w14:paraId="53ECC159">
              <w:tblPrEx>
                <w:tblCellMar>
                  <w:top w:w="0" w:type="dxa"/>
                  <w:left w:w="108" w:type="dxa"/>
                  <w:bottom w:w="0" w:type="dxa"/>
                  <w:right w:w="108" w:type="dxa"/>
                </w:tblCellMar>
              </w:tblPrEx>
              <w:trPr>
                <w:trHeight w:val="20" w:hRule="atLeast"/>
              </w:trPr>
              <w:tc>
                <w:tcPr>
                  <w:tcW w:w="636" w:type="pct"/>
                  <w:tcBorders>
                    <w:top w:val="nil"/>
                    <w:left w:val="single" w:color="auto" w:sz="4" w:space="0"/>
                    <w:bottom w:val="single" w:color="auto" w:sz="4" w:space="0"/>
                    <w:right w:val="single" w:color="auto" w:sz="4" w:space="0"/>
                  </w:tcBorders>
                  <w:shd w:val="clear" w:color="auto" w:fill="auto"/>
                  <w:noWrap/>
                  <w:vAlign w:val="center"/>
                </w:tcPr>
                <w:p w14:paraId="69B0163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827" w:type="pct"/>
                  <w:tcBorders>
                    <w:top w:val="nil"/>
                    <w:left w:val="nil"/>
                    <w:bottom w:val="single" w:color="auto" w:sz="4" w:space="0"/>
                    <w:right w:val="single" w:color="auto" w:sz="4" w:space="0"/>
                  </w:tcBorders>
                  <w:shd w:val="clear" w:color="auto" w:fill="auto"/>
                  <w:noWrap/>
                  <w:vAlign w:val="center"/>
                </w:tcPr>
                <w:p w14:paraId="39AE20F5">
                  <w:pPr>
                    <w:spacing w:line="2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双层汽油储罐</w:t>
                  </w:r>
                </w:p>
              </w:tc>
              <w:tc>
                <w:tcPr>
                  <w:tcW w:w="725" w:type="pct"/>
                  <w:tcBorders>
                    <w:top w:val="nil"/>
                    <w:left w:val="nil"/>
                    <w:bottom w:val="single" w:color="auto" w:sz="4" w:space="0"/>
                    <w:right w:val="single" w:color="auto" w:sz="4" w:space="0"/>
                  </w:tcBorders>
                  <w:shd w:val="clear" w:color="auto" w:fill="auto"/>
                  <w:noWrap/>
                  <w:vAlign w:val="center"/>
                </w:tcPr>
                <w:p w14:paraId="78437128">
                  <w:pPr>
                    <w:spacing w:line="240" w:lineRule="exact"/>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635" w:type="pct"/>
                  <w:tcBorders>
                    <w:top w:val="nil"/>
                    <w:left w:val="nil"/>
                    <w:bottom w:val="single" w:color="auto" w:sz="4" w:space="0"/>
                    <w:right w:val="single" w:color="auto" w:sz="4" w:space="0"/>
                  </w:tcBorders>
                  <w:shd w:val="clear" w:color="auto" w:fill="auto"/>
                  <w:noWrap/>
                  <w:vAlign w:val="center"/>
                </w:tcPr>
                <w:p w14:paraId="01174A4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c>
                <w:tcPr>
                  <w:tcW w:w="1175" w:type="pct"/>
                  <w:tcBorders>
                    <w:top w:val="nil"/>
                    <w:left w:val="nil"/>
                    <w:bottom w:val="single" w:color="auto" w:sz="4" w:space="0"/>
                    <w:right w:val="single" w:color="auto" w:sz="4" w:space="0"/>
                  </w:tcBorders>
                  <w:vAlign w:val="center"/>
                </w:tcPr>
                <w:p w14:paraId="3952B24C">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V=20m³</w:t>
                  </w:r>
                </w:p>
              </w:tc>
            </w:tr>
            <w:tr w14:paraId="19217846">
              <w:tblPrEx>
                <w:tblCellMar>
                  <w:top w:w="0" w:type="dxa"/>
                  <w:left w:w="108" w:type="dxa"/>
                  <w:bottom w:w="0" w:type="dxa"/>
                  <w:right w:w="108" w:type="dxa"/>
                </w:tblCellMar>
              </w:tblPrEx>
              <w:trPr>
                <w:trHeight w:val="20" w:hRule="atLeast"/>
              </w:trPr>
              <w:tc>
                <w:tcPr>
                  <w:tcW w:w="636" w:type="pct"/>
                  <w:tcBorders>
                    <w:top w:val="nil"/>
                    <w:left w:val="single" w:color="auto" w:sz="4" w:space="0"/>
                    <w:bottom w:val="single" w:color="auto" w:sz="4" w:space="0"/>
                    <w:right w:val="single" w:color="auto" w:sz="4" w:space="0"/>
                  </w:tcBorders>
                  <w:shd w:val="clear" w:color="auto" w:fill="auto"/>
                  <w:noWrap/>
                  <w:vAlign w:val="center"/>
                </w:tcPr>
                <w:p w14:paraId="5E57DC4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827" w:type="pct"/>
                  <w:tcBorders>
                    <w:top w:val="nil"/>
                    <w:left w:val="nil"/>
                    <w:bottom w:val="single" w:color="auto" w:sz="4" w:space="0"/>
                    <w:right w:val="single" w:color="auto" w:sz="4" w:space="0"/>
                  </w:tcBorders>
                  <w:shd w:val="clear" w:color="auto" w:fill="auto"/>
                  <w:vAlign w:val="center"/>
                </w:tcPr>
                <w:p w14:paraId="28F42EB5">
                  <w:pPr>
                    <w:spacing w:line="2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双层柴油储罐</w:t>
                  </w:r>
                </w:p>
              </w:tc>
              <w:tc>
                <w:tcPr>
                  <w:tcW w:w="725" w:type="pct"/>
                  <w:tcBorders>
                    <w:top w:val="nil"/>
                    <w:left w:val="nil"/>
                    <w:bottom w:val="single" w:color="auto" w:sz="4" w:space="0"/>
                    <w:right w:val="single" w:color="auto" w:sz="4" w:space="0"/>
                  </w:tcBorders>
                  <w:shd w:val="clear" w:color="auto" w:fill="auto"/>
                  <w:noWrap/>
                  <w:vAlign w:val="center"/>
                </w:tcPr>
                <w:p w14:paraId="0C48D49C">
                  <w:pPr>
                    <w:spacing w:line="240" w:lineRule="exact"/>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635" w:type="pct"/>
                  <w:tcBorders>
                    <w:top w:val="nil"/>
                    <w:left w:val="nil"/>
                    <w:bottom w:val="single" w:color="auto" w:sz="4" w:space="0"/>
                    <w:right w:val="single" w:color="auto" w:sz="4" w:space="0"/>
                  </w:tcBorders>
                  <w:shd w:val="clear" w:color="auto" w:fill="auto"/>
                  <w:noWrap/>
                  <w:vAlign w:val="center"/>
                </w:tcPr>
                <w:p w14:paraId="0485660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c>
                <w:tcPr>
                  <w:tcW w:w="1175" w:type="pct"/>
                  <w:tcBorders>
                    <w:top w:val="nil"/>
                    <w:left w:val="nil"/>
                    <w:bottom w:val="single" w:color="auto" w:sz="4" w:space="0"/>
                    <w:right w:val="single" w:color="auto" w:sz="4" w:space="0"/>
                  </w:tcBorders>
                  <w:vAlign w:val="center"/>
                </w:tcPr>
                <w:p w14:paraId="1DF51D07">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V=20m³</w:t>
                  </w:r>
                </w:p>
              </w:tc>
            </w:tr>
            <w:tr w14:paraId="3B0E097E">
              <w:tblPrEx>
                <w:tblCellMar>
                  <w:top w:w="0" w:type="dxa"/>
                  <w:left w:w="108" w:type="dxa"/>
                  <w:bottom w:w="0" w:type="dxa"/>
                  <w:right w:w="108" w:type="dxa"/>
                </w:tblCellMar>
              </w:tblPrEx>
              <w:trPr>
                <w:trHeight w:val="20" w:hRule="atLeast"/>
              </w:trPr>
              <w:tc>
                <w:tcPr>
                  <w:tcW w:w="636" w:type="pct"/>
                  <w:tcBorders>
                    <w:top w:val="nil"/>
                    <w:left w:val="single" w:color="auto" w:sz="4" w:space="0"/>
                    <w:bottom w:val="single" w:color="auto" w:sz="4" w:space="0"/>
                    <w:right w:val="single" w:color="auto" w:sz="4" w:space="0"/>
                  </w:tcBorders>
                  <w:shd w:val="clear" w:color="auto" w:fill="auto"/>
                  <w:noWrap/>
                  <w:vAlign w:val="center"/>
                </w:tcPr>
                <w:p w14:paraId="74AD99A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827" w:type="pct"/>
                  <w:tcBorders>
                    <w:top w:val="nil"/>
                    <w:left w:val="nil"/>
                    <w:bottom w:val="single" w:color="auto" w:sz="4" w:space="0"/>
                    <w:right w:val="single" w:color="auto" w:sz="4" w:space="0"/>
                  </w:tcBorders>
                  <w:shd w:val="clear" w:color="auto" w:fill="auto"/>
                  <w:noWrap/>
                  <w:vAlign w:val="center"/>
                </w:tcPr>
                <w:p w14:paraId="73527B25">
                  <w:pPr>
                    <w:spacing w:line="2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加油机</w:t>
                  </w:r>
                </w:p>
              </w:tc>
              <w:tc>
                <w:tcPr>
                  <w:tcW w:w="725" w:type="pct"/>
                  <w:tcBorders>
                    <w:top w:val="nil"/>
                    <w:left w:val="nil"/>
                    <w:bottom w:val="single" w:color="auto" w:sz="4" w:space="0"/>
                    <w:right w:val="single" w:color="auto" w:sz="4" w:space="0"/>
                  </w:tcBorders>
                  <w:shd w:val="clear" w:color="auto" w:fill="auto"/>
                  <w:noWrap/>
                  <w:vAlign w:val="center"/>
                </w:tcPr>
                <w:p w14:paraId="39D1D8BB">
                  <w:pPr>
                    <w:spacing w:line="240" w:lineRule="exact"/>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635" w:type="pct"/>
                  <w:tcBorders>
                    <w:top w:val="nil"/>
                    <w:left w:val="nil"/>
                    <w:bottom w:val="single" w:color="auto" w:sz="4" w:space="0"/>
                    <w:right w:val="single" w:color="auto" w:sz="4" w:space="0"/>
                  </w:tcBorders>
                  <w:shd w:val="clear" w:color="auto" w:fill="auto"/>
                  <w:noWrap/>
                  <w:vAlign w:val="center"/>
                </w:tcPr>
                <w:p w14:paraId="28C0B83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c>
                <w:tcPr>
                  <w:tcW w:w="1175" w:type="pct"/>
                  <w:tcBorders>
                    <w:top w:val="nil"/>
                    <w:left w:val="nil"/>
                    <w:bottom w:val="single" w:color="auto" w:sz="4" w:space="0"/>
                    <w:right w:val="single" w:color="auto" w:sz="4" w:space="0"/>
                  </w:tcBorders>
                  <w:vAlign w:val="center"/>
                </w:tcPr>
                <w:p w14:paraId="0385D89E">
                  <w:pPr>
                    <w:adjustRightInd w:val="0"/>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445F86B0">
              <w:tblPrEx>
                <w:tblCellMar>
                  <w:top w:w="0" w:type="dxa"/>
                  <w:left w:w="108" w:type="dxa"/>
                  <w:bottom w:w="0" w:type="dxa"/>
                  <w:right w:w="108" w:type="dxa"/>
                </w:tblCellMar>
              </w:tblPrEx>
              <w:trPr>
                <w:trHeight w:val="20" w:hRule="atLeast"/>
              </w:trPr>
              <w:tc>
                <w:tcPr>
                  <w:tcW w:w="6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438A76">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1827" w:type="pct"/>
                  <w:tcBorders>
                    <w:top w:val="single" w:color="auto" w:sz="4" w:space="0"/>
                    <w:left w:val="nil"/>
                    <w:bottom w:val="single" w:color="auto" w:sz="4" w:space="0"/>
                    <w:right w:val="single" w:color="auto" w:sz="4" w:space="0"/>
                  </w:tcBorders>
                  <w:shd w:val="clear" w:color="auto" w:fill="auto"/>
                  <w:noWrap/>
                  <w:vAlign w:val="bottom"/>
                </w:tcPr>
                <w:p w14:paraId="2C1F81F4">
                  <w:pPr>
                    <w:spacing w:line="2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潜油泵</w:t>
                  </w:r>
                </w:p>
              </w:tc>
              <w:tc>
                <w:tcPr>
                  <w:tcW w:w="725" w:type="pct"/>
                  <w:tcBorders>
                    <w:top w:val="single" w:color="auto" w:sz="4" w:space="0"/>
                    <w:left w:val="nil"/>
                    <w:bottom w:val="single" w:color="auto" w:sz="4" w:space="0"/>
                    <w:right w:val="single" w:color="auto" w:sz="4" w:space="0"/>
                  </w:tcBorders>
                  <w:shd w:val="clear" w:color="auto" w:fill="auto"/>
                  <w:noWrap/>
                  <w:vAlign w:val="center"/>
                </w:tcPr>
                <w:p w14:paraId="240A9BA4">
                  <w:pPr>
                    <w:spacing w:line="2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635" w:type="pct"/>
                  <w:tcBorders>
                    <w:top w:val="single" w:color="auto" w:sz="4" w:space="0"/>
                    <w:left w:val="nil"/>
                    <w:bottom w:val="single" w:color="auto" w:sz="4" w:space="0"/>
                    <w:right w:val="single" w:color="auto" w:sz="4" w:space="0"/>
                  </w:tcBorders>
                  <w:shd w:val="clear" w:color="auto" w:fill="auto"/>
                  <w:noWrap/>
                  <w:vAlign w:val="center"/>
                </w:tcPr>
                <w:p w14:paraId="55562077">
                  <w:pPr>
                    <w:widowControl/>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台</w:t>
                  </w:r>
                </w:p>
              </w:tc>
              <w:tc>
                <w:tcPr>
                  <w:tcW w:w="1175" w:type="pct"/>
                  <w:tcBorders>
                    <w:top w:val="single" w:color="auto" w:sz="4" w:space="0"/>
                    <w:left w:val="nil"/>
                    <w:bottom w:val="single" w:color="auto" w:sz="4" w:space="0"/>
                    <w:right w:val="single" w:color="auto" w:sz="4" w:space="0"/>
                  </w:tcBorders>
                  <w:vAlign w:val="center"/>
                </w:tcPr>
                <w:p w14:paraId="0CDA1F52">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200L/min</w:t>
                  </w:r>
                </w:p>
              </w:tc>
            </w:tr>
          </w:tbl>
          <w:p w14:paraId="5CFDACE7">
            <w:pPr>
              <w:spacing w:line="500" w:lineRule="atLeast"/>
              <w:ind w:firstLine="482" w:firstLineChars="2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lang w:val="en-US" w:eastAsia="zh-CN"/>
                <w14:textFill>
                  <w14:solidFill>
                    <w14:schemeClr w14:val="tx1"/>
                  </w14:solidFill>
                </w14:textFill>
              </w:rPr>
              <w:t>3</w:t>
            </w:r>
            <w:r>
              <w:rPr>
                <w:b/>
                <w:color w:val="000000" w:themeColor="text1"/>
                <w:sz w:val="24"/>
                <w14:textFill>
                  <w14:solidFill>
                    <w14:schemeClr w14:val="tx1"/>
                  </w14:solidFill>
                </w14:textFill>
              </w:rPr>
              <w:t xml:space="preserve">  </w:t>
            </w:r>
            <w:r>
              <w:rPr>
                <w:rFonts w:hint="eastAsia"/>
                <w:b/>
                <w:color w:val="000000" w:themeColor="text1"/>
                <w:sz w:val="24"/>
                <w:lang w:val="en-US" w:eastAsia="zh-CN"/>
                <w14:textFill>
                  <w14:solidFill>
                    <w14:schemeClr w14:val="tx1"/>
                  </w14:solidFill>
                </w14:textFill>
              </w:rPr>
              <w:t>改扩建后</w:t>
            </w:r>
            <w:r>
              <w:rPr>
                <w:b/>
                <w:color w:val="000000" w:themeColor="text1"/>
                <w:sz w:val="24"/>
                <w14:textFill>
                  <w14:solidFill>
                    <w14:schemeClr w14:val="tx1"/>
                  </w14:solidFill>
                </w14:textFill>
              </w:rPr>
              <w:t>主要</w:t>
            </w:r>
            <w:r>
              <w:rPr>
                <w:rFonts w:hint="eastAsia"/>
                <w:b/>
                <w:color w:val="000000" w:themeColor="text1"/>
                <w:sz w:val="24"/>
                <w14:textFill>
                  <w14:solidFill>
                    <w14:schemeClr w14:val="tx1"/>
                  </w14:solidFill>
                </w14:textFill>
              </w:rPr>
              <w:t>生产</w:t>
            </w:r>
            <w:r>
              <w:rPr>
                <w:b/>
                <w:color w:val="000000" w:themeColor="text1"/>
                <w:sz w:val="24"/>
                <w14:textFill>
                  <w14:solidFill>
                    <w14:schemeClr w14:val="tx1"/>
                  </w14:solidFill>
                </w14:textFill>
              </w:rPr>
              <w:t>设备一览表</w:t>
            </w:r>
          </w:p>
          <w:tbl>
            <w:tblPr>
              <w:tblStyle w:val="27"/>
              <w:tblW w:w="5000" w:type="pct"/>
              <w:tblInd w:w="0" w:type="dxa"/>
              <w:tblLayout w:type="fixed"/>
              <w:tblCellMar>
                <w:top w:w="0" w:type="dxa"/>
                <w:left w:w="108" w:type="dxa"/>
                <w:bottom w:w="0" w:type="dxa"/>
                <w:right w:w="108" w:type="dxa"/>
              </w:tblCellMar>
            </w:tblPr>
            <w:tblGrid>
              <w:gridCol w:w="1178"/>
              <w:gridCol w:w="3384"/>
              <w:gridCol w:w="1343"/>
              <w:gridCol w:w="1177"/>
              <w:gridCol w:w="2177"/>
            </w:tblGrid>
            <w:tr w14:paraId="46D7224D">
              <w:tblPrEx>
                <w:tblCellMar>
                  <w:top w:w="0" w:type="dxa"/>
                  <w:left w:w="108" w:type="dxa"/>
                  <w:bottom w:w="0" w:type="dxa"/>
                  <w:right w:w="108" w:type="dxa"/>
                </w:tblCellMar>
              </w:tblPrEx>
              <w:trPr>
                <w:trHeight w:val="247" w:hRule="atLeast"/>
              </w:trPr>
              <w:tc>
                <w:tcPr>
                  <w:tcW w:w="6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DF0E6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826" w:type="pct"/>
                  <w:tcBorders>
                    <w:top w:val="single" w:color="auto" w:sz="4" w:space="0"/>
                    <w:left w:val="nil"/>
                    <w:bottom w:val="single" w:color="auto" w:sz="4" w:space="0"/>
                    <w:right w:val="single" w:color="auto" w:sz="4" w:space="0"/>
                  </w:tcBorders>
                  <w:shd w:val="clear" w:color="auto" w:fill="auto"/>
                  <w:noWrap/>
                  <w:vAlign w:val="center"/>
                </w:tcPr>
                <w:p w14:paraId="2A397D1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设备名称</w:t>
                  </w:r>
                </w:p>
              </w:tc>
              <w:tc>
                <w:tcPr>
                  <w:tcW w:w="725" w:type="pct"/>
                  <w:tcBorders>
                    <w:top w:val="single" w:color="auto" w:sz="4" w:space="0"/>
                    <w:left w:val="nil"/>
                    <w:bottom w:val="single" w:color="auto" w:sz="4" w:space="0"/>
                    <w:right w:val="single" w:color="auto" w:sz="4" w:space="0"/>
                  </w:tcBorders>
                  <w:shd w:val="clear" w:color="auto" w:fill="auto"/>
                  <w:noWrap/>
                  <w:vAlign w:val="center"/>
                </w:tcPr>
                <w:p w14:paraId="7A816B4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数量</w:t>
                  </w:r>
                </w:p>
              </w:tc>
              <w:tc>
                <w:tcPr>
                  <w:tcW w:w="635" w:type="pct"/>
                  <w:tcBorders>
                    <w:top w:val="single" w:color="auto" w:sz="4" w:space="0"/>
                    <w:left w:val="nil"/>
                    <w:bottom w:val="single" w:color="auto" w:sz="4" w:space="0"/>
                    <w:right w:val="single" w:color="auto" w:sz="4" w:space="0"/>
                  </w:tcBorders>
                  <w:shd w:val="clear" w:color="auto" w:fill="auto"/>
                  <w:noWrap/>
                  <w:vAlign w:val="center"/>
                </w:tcPr>
                <w:p w14:paraId="51FD169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c>
                <w:tcPr>
                  <w:tcW w:w="1175" w:type="pct"/>
                  <w:tcBorders>
                    <w:top w:val="single" w:color="auto" w:sz="4" w:space="0"/>
                    <w:left w:val="nil"/>
                    <w:bottom w:val="single" w:color="auto" w:sz="4" w:space="0"/>
                    <w:right w:val="single" w:color="auto" w:sz="4" w:space="0"/>
                  </w:tcBorders>
                  <w:vAlign w:val="center"/>
                </w:tcPr>
                <w:p w14:paraId="7557DD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技术规格及型号</w:t>
                  </w:r>
                </w:p>
              </w:tc>
            </w:tr>
            <w:tr w14:paraId="2C5DEF27">
              <w:tblPrEx>
                <w:tblCellMar>
                  <w:top w:w="0" w:type="dxa"/>
                  <w:left w:w="108" w:type="dxa"/>
                  <w:bottom w:w="0" w:type="dxa"/>
                  <w:right w:w="108" w:type="dxa"/>
                </w:tblCellMar>
              </w:tblPrEx>
              <w:trPr>
                <w:trHeight w:val="20" w:hRule="atLeast"/>
              </w:trPr>
              <w:tc>
                <w:tcPr>
                  <w:tcW w:w="636" w:type="pct"/>
                  <w:tcBorders>
                    <w:top w:val="nil"/>
                    <w:left w:val="single" w:color="auto" w:sz="4" w:space="0"/>
                    <w:bottom w:val="single" w:color="auto" w:sz="4" w:space="0"/>
                    <w:right w:val="single" w:color="auto" w:sz="4" w:space="0"/>
                  </w:tcBorders>
                  <w:shd w:val="clear" w:color="auto" w:fill="auto"/>
                  <w:noWrap/>
                  <w:vAlign w:val="center"/>
                </w:tcPr>
                <w:p w14:paraId="464BAD5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826" w:type="pct"/>
                  <w:tcBorders>
                    <w:top w:val="nil"/>
                    <w:left w:val="nil"/>
                    <w:bottom w:val="single" w:color="auto" w:sz="4" w:space="0"/>
                    <w:right w:val="single" w:color="auto" w:sz="4" w:space="0"/>
                  </w:tcBorders>
                  <w:shd w:val="clear" w:color="auto" w:fill="auto"/>
                  <w:noWrap/>
                  <w:vAlign w:val="center"/>
                </w:tcPr>
                <w:p w14:paraId="604542AF">
                  <w:pPr>
                    <w:spacing w:line="2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双层汽油储罐</w:t>
                  </w:r>
                </w:p>
              </w:tc>
              <w:tc>
                <w:tcPr>
                  <w:tcW w:w="725" w:type="pct"/>
                  <w:tcBorders>
                    <w:top w:val="nil"/>
                    <w:left w:val="nil"/>
                    <w:bottom w:val="single" w:color="auto" w:sz="4" w:space="0"/>
                    <w:right w:val="single" w:color="auto" w:sz="4" w:space="0"/>
                  </w:tcBorders>
                  <w:shd w:val="clear" w:color="auto" w:fill="auto"/>
                  <w:noWrap/>
                  <w:vAlign w:val="center"/>
                </w:tcPr>
                <w:p w14:paraId="5C1C253D">
                  <w:pPr>
                    <w:spacing w:line="2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635" w:type="pct"/>
                  <w:tcBorders>
                    <w:top w:val="nil"/>
                    <w:left w:val="nil"/>
                    <w:bottom w:val="single" w:color="auto" w:sz="4" w:space="0"/>
                    <w:right w:val="single" w:color="auto" w:sz="4" w:space="0"/>
                  </w:tcBorders>
                  <w:shd w:val="clear" w:color="auto" w:fill="auto"/>
                  <w:noWrap/>
                  <w:vAlign w:val="center"/>
                </w:tcPr>
                <w:p w14:paraId="3ECD840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c>
                <w:tcPr>
                  <w:tcW w:w="1175" w:type="pct"/>
                  <w:tcBorders>
                    <w:top w:val="nil"/>
                    <w:left w:val="nil"/>
                    <w:bottom w:val="single" w:color="auto" w:sz="4" w:space="0"/>
                    <w:right w:val="single" w:color="auto" w:sz="4" w:space="0"/>
                  </w:tcBorders>
                  <w:vAlign w:val="center"/>
                </w:tcPr>
                <w:p w14:paraId="6D4FE054">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V=20m³</w:t>
                  </w:r>
                </w:p>
              </w:tc>
            </w:tr>
            <w:tr w14:paraId="28AA566E">
              <w:tblPrEx>
                <w:tblCellMar>
                  <w:top w:w="0" w:type="dxa"/>
                  <w:left w:w="108" w:type="dxa"/>
                  <w:bottom w:w="0" w:type="dxa"/>
                  <w:right w:w="108" w:type="dxa"/>
                </w:tblCellMar>
              </w:tblPrEx>
              <w:trPr>
                <w:trHeight w:val="20" w:hRule="atLeast"/>
              </w:trPr>
              <w:tc>
                <w:tcPr>
                  <w:tcW w:w="636" w:type="pct"/>
                  <w:tcBorders>
                    <w:top w:val="nil"/>
                    <w:left w:val="single" w:color="auto" w:sz="4" w:space="0"/>
                    <w:bottom w:val="single" w:color="auto" w:sz="4" w:space="0"/>
                    <w:right w:val="single" w:color="auto" w:sz="4" w:space="0"/>
                  </w:tcBorders>
                  <w:shd w:val="clear" w:color="auto" w:fill="auto"/>
                  <w:noWrap/>
                  <w:vAlign w:val="center"/>
                </w:tcPr>
                <w:p w14:paraId="2AAC6FB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826" w:type="pct"/>
                  <w:tcBorders>
                    <w:top w:val="nil"/>
                    <w:left w:val="nil"/>
                    <w:bottom w:val="single" w:color="auto" w:sz="4" w:space="0"/>
                    <w:right w:val="single" w:color="auto" w:sz="4" w:space="0"/>
                  </w:tcBorders>
                  <w:shd w:val="clear" w:color="auto" w:fill="auto"/>
                  <w:vAlign w:val="center"/>
                </w:tcPr>
                <w:p w14:paraId="34471421">
                  <w:pPr>
                    <w:spacing w:line="2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双层柴油储罐</w:t>
                  </w:r>
                </w:p>
              </w:tc>
              <w:tc>
                <w:tcPr>
                  <w:tcW w:w="725" w:type="pct"/>
                  <w:tcBorders>
                    <w:top w:val="nil"/>
                    <w:left w:val="nil"/>
                    <w:bottom w:val="single" w:color="auto" w:sz="4" w:space="0"/>
                    <w:right w:val="single" w:color="auto" w:sz="4" w:space="0"/>
                  </w:tcBorders>
                  <w:shd w:val="clear" w:color="auto" w:fill="auto"/>
                  <w:noWrap/>
                  <w:vAlign w:val="center"/>
                </w:tcPr>
                <w:p w14:paraId="25DBFC7F">
                  <w:pPr>
                    <w:spacing w:line="2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35" w:type="pct"/>
                  <w:tcBorders>
                    <w:top w:val="nil"/>
                    <w:left w:val="nil"/>
                    <w:bottom w:val="single" w:color="auto" w:sz="4" w:space="0"/>
                    <w:right w:val="single" w:color="auto" w:sz="4" w:space="0"/>
                  </w:tcBorders>
                  <w:shd w:val="clear" w:color="auto" w:fill="auto"/>
                  <w:noWrap/>
                  <w:vAlign w:val="center"/>
                </w:tcPr>
                <w:p w14:paraId="03726B0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c>
                <w:tcPr>
                  <w:tcW w:w="1175" w:type="pct"/>
                  <w:tcBorders>
                    <w:top w:val="nil"/>
                    <w:left w:val="nil"/>
                    <w:bottom w:val="single" w:color="auto" w:sz="4" w:space="0"/>
                    <w:right w:val="single" w:color="auto" w:sz="4" w:space="0"/>
                  </w:tcBorders>
                  <w:vAlign w:val="center"/>
                </w:tcPr>
                <w:p w14:paraId="5781C689">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V=20m³</w:t>
                  </w:r>
                </w:p>
              </w:tc>
            </w:tr>
            <w:tr w14:paraId="718FDC88">
              <w:tblPrEx>
                <w:tblCellMar>
                  <w:top w:w="0" w:type="dxa"/>
                  <w:left w:w="108" w:type="dxa"/>
                  <w:bottom w:w="0" w:type="dxa"/>
                  <w:right w:w="108" w:type="dxa"/>
                </w:tblCellMar>
              </w:tblPrEx>
              <w:trPr>
                <w:trHeight w:val="20" w:hRule="atLeast"/>
              </w:trPr>
              <w:tc>
                <w:tcPr>
                  <w:tcW w:w="636" w:type="pct"/>
                  <w:tcBorders>
                    <w:top w:val="nil"/>
                    <w:left w:val="single" w:color="auto" w:sz="4" w:space="0"/>
                    <w:bottom w:val="single" w:color="auto" w:sz="4" w:space="0"/>
                    <w:right w:val="single" w:color="auto" w:sz="4" w:space="0"/>
                  </w:tcBorders>
                  <w:shd w:val="clear" w:color="auto" w:fill="auto"/>
                  <w:noWrap/>
                  <w:vAlign w:val="center"/>
                </w:tcPr>
                <w:p w14:paraId="29C2799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826" w:type="pct"/>
                  <w:tcBorders>
                    <w:top w:val="nil"/>
                    <w:left w:val="nil"/>
                    <w:bottom w:val="single" w:color="auto" w:sz="4" w:space="0"/>
                    <w:right w:val="single" w:color="auto" w:sz="4" w:space="0"/>
                  </w:tcBorders>
                  <w:shd w:val="clear" w:color="auto" w:fill="auto"/>
                  <w:noWrap/>
                  <w:vAlign w:val="center"/>
                </w:tcPr>
                <w:p w14:paraId="24BEDE69">
                  <w:pPr>
                    <w:spacing w:line="2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潜油泵加油机</w:t>
                  </w:r>
                </w:p>
              </w:tc>
              <w:tc>
                <w:tcPr>
                  <w:tcW w:w="725" w:type="pct"/>
                  <w:tcBorders>
                    <w:top w:val="nil"/>
                    <w:left w:val="nil"/>
                    <w:bottom w:val="single" w:color="auto" w:sz="4" w:space="0"/>
                    <w:right w:val="single" w:color="auto" w:sz="4" w:space="0"/>
                  </w:tcBorders>
                  <w:shd w:val="clear" w:color="auto" w:fill="auto"/>
                  <w:noWrap/>
                  <w:vAlign w:val="center"/>
                </w:tcPr>
                <w:p w14:paraId="49672C19">
                  <w:pPr>
                    <w:spacing w:line="2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35" w:type="pct"/>
                  <w:tcBorders>
                    <w:top w:val="nil"/>
                    <w:left w:val="nil"/>
                    <w:bottom w:val="single" w:color="auto" w:sz="4" w:space="0"/>
                    <w:right w:val="single" w:color="auto" w:sz="4" w:space="0"/>
                  </w:tcBorders>
                  <w:shd w:val="clear" w:color="auto" w:fill="auto"/>
                  <w:noWrap/>
                  <w:vAlign w:val="center"/>
                </w:tcPr>
                <w:p w14:paraId="16139FA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c>
                <w:tcPr>
                  <w:tcW w:w="1175" w:type="pct"/>
                  <w:tcBorders>
                    <w:top w:val="nil"/>
                    <w:left w:val="nil"/>
                    <w:bottom w:val="single" w:color="auto" w:sz="4" w:space="0"/>
                    <w:right w:val="single" w:color="auto" w:sz="4" w:space="0"/>
                  </w:tcBorders>
                  <w:vAlign w:val="center"/>
                </w:tcPr>
                <w:p w14:paraId="09E000EB">
                  <w:pPr>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四枪四油品</w:t>
                  </w:r>
                </w:p>
              </w:tc>
            </w:tr>
            <w:tr w14:paraId="2F209516">
              <w:tblPrEx>
                <w:tblCellMar>
                  <w:top w:w="0" w:type="dxa"/>
                  <w:left w:w="108" w:type="dxa"/>
                  <w:bottom w:w="0" w:type="dxa"/>
                  <w:right w:w="108" w:type="dxa"/>
                </w:tblCellMar>
              </w:tblPrEx>
              <w:trPr>
                <w:trHeight w:val="249" w:hRule="atLeast"/>
              </w:trPr>
              <w:tc>
                <w:tcPr>
                  <w:tcW w:w="6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0C513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826" w:type="pct"/>
                  <w:tcBorders>
                    <w:top w:val="single" w:color="auto" w:sz="4" w:space="0"/>
                    <w:left w:val="nil"/>
                    <w:bottom w:val="single" w:color="auto" w:sz="4" w:space="0"/>
                    <w:right w:val="single" w:color="auto" w:sz="4" w:space="0"/>
                  </w:tcBorders>
                  <w:shd w:val="clear" w:color="auto" w:fill="auto"/>
                  <w:noWrap/>
                  <w:vAlign w:val="bottom"/>
                </w:tcPr>
                <w:p w14:paraId="6E942535">
                  <w:pPr>
                    <w:spacing w:line="2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潜油泵加油机</w:t>
                  </w:r>
                </w:p>
              </w:tc>
              <w:tc>
                <w:tcPr>
                  <w:tcW w:w="725" w:type="pct"/>
                  <w:tcBorders>
                    <w:top w:val="single" w:color="auto" w:sz="4" w:space="0"/>
                    <w:left w:val="nil"/>
                    <w:bottom w:val="single" w:color="auto" w:sz="4" w:space="0"/>
                    <w:right w:val="single" w:color="auto" w:sz="4" w:space="0"/>
                  </w:tcBorders>
                  <w:shd w:val="clear" w:color="auto" w:fill="auto"/>
                  <w:noWrap/>
                  <w:vAlign w:val="center"/>
                </w:tcPr>
                <w:p w14:paraId="446462FB">
                  <w:pPr>
                    <w:spacing w:line="2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35" w:type="pct"/>
                  <w:tcBorders>
                    <w:top w:val="single" w:color="auto" w:sz="4" w:space="0"/>
                    <w:left w:val="nil"/>
                    <w:bottom w:val="single" w:color="auto" w:sz="4" w:space="0"/>
                    <w:right w:val="single" w:color="auto" w:sz="4" w:space="0"/>
                  </w:tcBorders>
                  <w:shd w:val="clear" w:color="auto" w:fill="auto"/>
                  <w:noWrap/>
                  <w:vAlign w:val="center"/>
                </w:tcPr>
                <w:p w14:paraId="5A36136B">
                  <w:pPr>
                    <w:widowControl/>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台</w:t>
                  </w:r>
                </w:p>
              </w:tc>
              <w:tc>
                <w:tcPr>
                  <w:tcW w:w="1175" w:type="pct"/>
                  <w:tcBorders>
                    <w:top w:val="single" w:color="auto" w:sz="4" w:space="0"/>
                    <w:left w:val="nil"/>
                    <w:bottom w:val="single" w:color="auto" w:sz="4" w:space="0"/>
                    <w:right w:val="single" w:color="auto" w:sz="4" w:space="0"/>
                  </w:tcBorders>
                  <w:vAlign w:val="center"/>
                </w:tcPr>
                <w:p w14:paraId="6793E0B6">
                  <w:pPr>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六枪三油品</w:t>
                  </w:r>
                </w:p>
              </w:tc>
            </w:tr>
            <w:tr w14:paraId="791B42BA">
              <w:tblPrEx>
                <w:tblCellMar>
                  <w:top w:w="0" w:type="dxa"/>
                  <w:left w:w="108" w:type="dxa"/>
                  <w:bottom w:w="0" w:type="dxa"/>
                  <w:right w:w="108" w:type="dxa"/>
                </w:tblCellMar>
              </w:tblPrEx>
              <w:trPr>
                <w:trHeight w:val="20" w:hRule="atLeast"/>
              </w:trPr>
              <w:tc>
                <w:tcPr>
                  <w:tcW w:w="6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04473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826" w:type="pct"/>
                  <w:tcBorders>
                    <w:top w:val="single" w:color="auto" w:sz="4" w:space="0"/>
                    <w:left w:val="nil"/>
                    <w:bottom w:val="single" w:color="auto" w:sz="4" w:space="0"/>
                    <w:right w:val="single" w:color="auto" w:sz="4" w:space="0"/>
                  </w:tcBorders>
                  <w:shd w:val="clear" w:color="auto" w:fill="auto"/>
                  <w:noWrap/>
                  <w:vAlign w:val="bottom"/>
                </w:tcPr>
                <w:p w14:paraId="0F2C8A68">
                  <w:pPr>
                    <w:spacing w:line="2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潜油泵</w:t>
                  </w:r>
                </w:p>
              </w:tc>
              <w:tc>
                <w:tcPr>
                  <w:tcW w:w="725" w:type="pct"/>
                  <w:tcBorders>
                    <w:top w:val="single" w:color="auto" w:sz="4" w:space="0"/>
                    <w:left w:val="nil"/>
                    <w:bottom w:val="single" w:color="auto" w:sz="4" w:space="0"/>
                    <w:right w:val="single" w:color="auto" w:sz="4" w:space="0"/>
                  </w:tcBorders>
                  <w:shd w:val="clear" w:color="auto" w:fill="auto"/>
                  <w:noWrap/>
                  <w:vAlign w:val="center"/>
                </w:tcPr>
                <w:p w14:paraId="3AC67C91">
                  <w:pPr>
                    <w:spacing w:line="2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635" w:type="pct"/>
                  <w:tcBorders>
                    <w:top w:val="single" w:color="auto" w:sz="4" w:space="0"/>
                    <w:left w:val="nil"/>
                    <w:bottom w:val="single" w:color="auto" w:sz="4" w:space="0"/>
                    <w:right w:val="single" w:color="auto" w:sz="4" w:space="0"/>
                  </w:tcBorders>
                  <w:shd w:val="clear" w:color="auto" w:fill="auto"/>
                  <w:noWrap/>
                  <w:vAlign w:val="center"/>
                </w:tcPr>
                <w:p w14:paraId="6BA596C6">
                  <w:pPr>
                    <w:widowControl/>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台</w:t>
                  </w:r>
                </w:p>
              </w:tc>
              <w:tc>
                <w:tcPr>
                  <w:tcW w:w="1175" w:type="pct"/>
                  <w:tcBorders>
                    <w:top w:val="single" w:color="auto" w:sz="4" w:space="0"/>
                    <w:left w:val="nil"/>
                    <w:bottom w:val="single" w:color="auto" w:sz="4" w:space="0"/>
                    <w:right w:val="single" w:color="auto" w:sz="4" w:space="0"/>
                  </w:tcBorders>
                  <w:vAlign w:val="center"/>
                </w:tcPr>
                <w:p w14:paraId="4A960A70">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200L/min</w:t>
                  </w:r>
                </w:p>
              </w:tc>
            </w:tr>
          </w:tbl>
          <w:p w14:paraId="25DBC3D2">
            <w:pPr>
              <w:spacing w:line="500" w:lineRule="atLeast"/>
              <w:ind w:firstLine="472" w:firstLineChars="196"/>
              <w:rPr>
                <w:b/>
                <w:color w:val="000000" w:themeColor="text1"/>
                <w:kern w:val="28"/>
                <w:sz w:val="24"/>
                <w14:textFill>
                  <w14:solidFill>
                    <w14:schemeClr w14:val="tx1"/>
                  </w14:solidFill>
                </w14:textFill>
              </w:rPr>
            </w:pPr>
            <w:r>
              <w:rPr>
                <w:rFonts w:hint="eastAsia"/>
                <w:b/>
                <w:color w:val="000000" w:themeColor="text1"/>
                <w:kern w:val="28"/>
                <w:sz w:val="24"/>
                <w14:textFill>
                  <w14:solidFill>
                    <w14:schemeClr w14:val="tx1"/>
                  </w14:solidFill>
                </w14:textFill>
              </w:rPr>
              <w:t>四</w:t>
            </w:r>
            <w:r>
              <w:rPr>
                <w:b/>
                <w:color w:val="000000" w:themeColor="text1"/>
                <w:kern w:val="28"/>
                <w:sz w:val="24"/>
                <w14:textFill>
                  <w14:solidFill>
                    <w14:schemeClr w14:val="tx1"/>
                  </w14:solidFill>
                </w14:textFill>
              </w:rPr>
              <w:t>、</w:t>
            </w:r>
            <w:r>
              <w:rPr>
                <w:rFonts w:hint="eastAsia"/>
                <w:b/>
                <w:bCs/>
                <w:color w:val="000000" w:themeColor="text1"/>
                <w:kern w:val="28"/>
                <w:sz w:val="24"/>
                <w14:textFill>
                  <w14:solidFill>
                    <w14:schemeClr w14:val="tx1"/>
                  </w14:solidFill>
                </w14:textFill>
              </w:rPr>
              <w:t>主要原辅材料及其性质和能源消耗</w:t>
            </w:r>
          </w:p>
          <w:p w14:paraId="7AF418A4">
            <w:pPr>
              <w:spacing w:line="500" w:lineRule="atLeas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主要原辅材料消耗见下表：</w:t>
            </w:r>
          </w:p>
          <w:p w14:paraId="182CDC50">
            <w:pPr>
              <w:spacing w:line="500" w:lineRule="atLeast"/>
              <w:ind w:firstLine="482" w:firstLineChars="200"/>
              <w:jc w:val="center"/>
              <w:rPr>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lang w:val="en-US" w:eastAsia="zh-CN"/>
                <w14:textFill>
                  <w14:solidFill>
                    <w14:schemeClr w14:val="tx1"/>
                  </w14:solidFill>
                </w14:textFill>
              </w:rPr>
              <w:t>4</w:t>
            </w:r>
            <w:r>
              <w:rPr>
                <w:b/>
                <w:color w:val="000000" w:themeColor="text1"/>
                <w:sz w:val="24"/>
                <w14:textFill>
                  <w14:solidFill>
                    <w14:schemeClr w14:val="tx1"/>
                  </w14:solidFill>
                </w14:textFill>
              </w:rPr>
              <w:t xml:space="preserve">  </w:t>
            </w:r>
            <w:r>
              <w:rPr>
                <w:rFonts w:hint="eastAsia"/>
                <w:b/>
                <w:color w:val="000000" w:themeColor="text1"/>
                <w:sz w:val="24"/>
                <w:lang w:val="en-US" w:eastAsia="zh-CN"/>
                <w14:textFill>
                  <w14:solidFill>
                    <w14:schemeClr w14:val="tx1"/>
                  </w14:solidFill>
                </w14:textFill>
              </w:rPr>
              <w:t>改扩建前</w:t>
            </w:r>
            <w:r>
              <w:rPr>
                <w:b/>
                <w:color w:val="000000" w:themeColor="text1"/>
                <w:sz w:val="24"/>
                <w14:textFill>
                  <w14:solidFill>
                    <w14:schemeClr w14:val="tx1"/>
                  </w14:solidFill>
                </w14:textFill>
              </w:rPr>
              <w:t>主要原辅材料消耗一览表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892"/>
              <w:gridCol w:w="1804"/>
              <w:gridCol w:w="1994"/>
              <w:gridCol w:w="2211"/>
            </w:tblGrid>
            <w:tr w14:paraId="258D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726" w:type="pct"/>
                  <w:shd w:val="clear" w:color="auto" w:fill="auto"/>
                  <w:noWrap/>
                  <w:vAlign w:val="center"/>
                </w:tcPr>
                <w:p w14:paraId="7F00659B">
                  <w:pPr>
                    <w:spacing w:before="2" w:line="289" w:lineRule="exact"/>
                    <w:ind w:left="164" w:right="155"/>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023" w:type="pct"/>
                  <w:shd w:val="clear" w:color="auto" w:fill="auto"/>
                  <w:noWrap/>
                  <w:vAlign w:val="center"/>
                </w:tcPr>
                <w:p w14:paraId="70253FDB">
                  <w:pPr>
                    <w:spacing w:before="2" w:line="289" w:lineRule="exact"/>
                    <w:ind w:left="164" w:right="155"/>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975" w:type="pct"/>
                  <w:shd w:val="clear" w:color="auto" w:fill="auto"/>
                  <w:noWrap/>
                  <w:vAlign w:val="center"/>
                </w:tcPr>
                <w:p w14:paraId="5DE87E23">
                  <w:pPr>
                    <w:spacing w:before="2" w:line="289" w:lineRule="exact"/>
                    <w:ind w:left="164" w:right="155"/>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年用量</w:t>
                  </w:r>
                </w:p>
              </w:tc>
              <w:tc>
                <w:tcPr>
                  <w:tcW w:w="1078" w:type="pct"/>
                  <w:vAlign w:val="center"/>
                </w:tcPr>
                <w:p w14:paraId="2742FD86">
                  <w:pPr>
                    <w:spacing w:before="2" w:line="289" w:lineRule="exact"/>
                    <w:ind w:left="-78" w:right="-2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最大储存量</w:t>
                  </w:r>
                </w:p>
              </w:tc>
              <w:tc>
                <w:tcPr>
                  <w:tcW w:w="1195" w:type="pct"/>
                </w:tcPr>
                <w:p w14:paraId="25B20287">
                  <w:pPr>
                    <w:spacing w:before="2" w:line="289" w:lineRule="exact"/>
                    <w:ind w:left="-61" w:right="-137"/>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储存方式</w:t>
                  </w:r>
                </w:p>
              </w:tc>
            </w:tr>
            <w:tr w14:paraId="4E49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6" w:type="pct"/>
                  <w:shd w:val="clear" w:color="auto" w:fill="auto"/>
                  <w:noWrap/>
                  <w:vAlign w:val="center"/>
                </w:tcPr>
                <w:p w14:paraId="213CC95C">
                  <w:pPr>
                    <w:spacing w:before="2" w:line="289" w:lineRule="exact"/>
                    <w:ind w:left="164" w:right="155"/>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023" w:type="pct"/>
                  <w:shd w:val="clear" w:color="auto" w:fill="auto"/>
                  <w:noWrap/>
                  <w:vAlign w:val="center"/>
                </w:tcPr>
                <w:p w14:paraId="4FCBD7D1">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柴油</w:t>
                  </w:r>
                </w:p>
              </w:tc>
              <w:tc>
                <w:tcPr>
                  <w:tcW w:w="975" w:type="pct"/>
                  <w:shd w:val="clear" w:color="auto" w:fill="auto"/>
                  <w:noWrap/>
                  <w:vAlign w:val="center"/>
                </w:tcPr>
                <w:p w14:paraId="768EE40C">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w:t>
                  </w:r>
                  <w:r>
                    <w:rPr>
                      <w:rFonts w:hint="eastAsia"/>
                      <w:color w:val="000000" w:themeColor="text1"/>
                      <w:szCs w:val="21"/>
                      <w14:textFill>
                        <w14:solidFill>
                          <w14:schemeClr w14:val="tx1"/>
                        </w14:solidFill>
                      </w14:textFill>
                    </w:rPr>
                    <w:t>00</w:t>
                  </w:r>
                  <w:r>
                    <w:rPr>
                      <w:color w:val="000000" w:themeColor="text1"/>
                      <w:szCs w:val="21"/>
                      <w14:textFill>
                        <w14:solidFill>
                          <w14:schemeClr w14:val="tx1"/>
                        </w14:solidFill>
                      </w14:textFill>
                    </w:rPr>
                    <w:t>t/a</w:t>
                  </w:r>
                </w:p>
              </w:tc>
              <w:tc>
                <w:tcPr>
                  <w:tcW w:w="1078" w:type="pct"/>
                  <w:vAlign w:val="center"/>
                </w:tcPr>
                <w:p w14:paraId="2FF77C3E">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w:t>
                  </w:r>
                  <w:r>
                    <w:rPr>
                      <w:rFonts w:hint="eastAsia"/>
                      <w:color w:val="000000" w:themeColor="text1"/>
                      <w:szCs w:val="21"/>
                      <w14:textFill>
                        <w14:solidFill>
                          <w14:schemeClr w14:val="tx1"/>
                        </w14:solidFill>
                      </w14:textFill>
                    </w:rPr>
                    <w:t>0m³</w:t>
                  </w:r>
                </w:p>
              </w:tc>
              <w:tc>
                <w:tcPr>
                  <w:tcW w:w="1195" w:type="pct"/>
                </w:tcPr>
                <w:p w14:paraId="568B7DD8">
                  <w:pPr>
                    <w:spacing w:before="2" w:line="289" w:lineRule="exact"/>
                    <w:ind w:right="155"/>
                    <w:jc w:val="center"/>
                    <w:rPr>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单</w:t>
                  </w:r>
                  <w:r>
                    <w:rPr>
                      <w:rFonts w:hint="eastAsia"/>
                      <w:color w:val="000000" w:themeColor="text1"/>
                      <w14:textFill>
                        <w14:solidFill>
                          <w14:schemeClr w14:val="tx1"/>
                        </w14:solidFill>
                      </w14:textFill>
                    </w:rPr>
                    <w:t>层柴油罐</w:t>
                  </w:r>
                </w:p>
              </w:tc>
            </w:tr>
            <w:tr w14:paraId="70E1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6" w:type="pct"/>
                  <w:shd w:val="clear" w:color="auto" w:fill="auto"/>
                  <w:noWrap/>
                  <w:vAlign w:val="center"/>
                </w:tcPr>
                <w:p w14:paraId="09FC8371">
                  <w:pPr>
                    <w:spacing w:before="2" w:line="289" w:lineRule="exact"/>
                    <w:ind w:left="164" w:right="155"/>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023" w:type="pct"/>
                  <w:shd w:val="clear" w:color="auto" w:fill="auto"/>
                  <w:noWrap/>
                  <w:vAlign w:val="center"/>
                </w:tcPr>
                <w:p w14:paraId="0EEA59BA">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汽油</w:t>
                  </w:r>
                </w:p>
              </w:tc>
              <w:tc>
                <w:tcPr>
                  <w:tcW w:w="975" w:type="pct"/>
                  <w:shd w:val="clear" w:color="auto" w:fill="auto"/>
                  <w:noWrap/>
                  <w:vAlign w:val="center"/>
                </w:tcPr>
                <w:p w14:paraId="12BE850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rFonts w:hint="eastAsia"/>
                      <w:color w:val="000000" w:themeColor="text1"/>
                      <w:szCs w:val="21"/>
                      <w:lang w:val="en-US" w:eastAsia="zh-CN"/>
                      <w14:textFill>
                        <w14:solidFill>
                          <w14:schemeClr w14:val="tx1"/>
                        </w14:solidFill>
                      </w14:textFill>
                    </w:rPr>
                    <w:t>0</w:t>
                  </w:r>
                  <w:r>
                    <w:rPr>
                      <w:rFonts w:hint="eastAsia"/>
                      <w:color w:val="000000" w:themeColor="text1"/>
                      <w:szCs w:val="21"/>
                      <w14:textFill>
                        <w14:solidFill>
                          <w14:schemeClr w14:val="tx1"/>
                        </w14:solidFill>
                      </w14:textFill>
                    </w:rPr>
                    <w:t>00</w:t>
                  </w:r>
                  <w:r>
                    <w:rPr>
                      <w:color w:val="000000" w:themeColor="text1"/>
                      <w:szCs w:val="21"/>
                      <w14:textFill>
                        <w14:solidFill>
                          <w14:schemeClr w14:val="tx1"/>
                        </w14:solidFill>
                      </w14:textFill>
                    </w:rPr>
                    <w:t>t/a</w:t>
                  </w:r>
                </w:p>
              </w:tc>
              <w:tc>
                <w:tcPr>
                  <w:tcW w:w="1078" w:type="pct"/>
                  <w:vAlign w:val="center"/>
                </w:tcPr>
                <w:p w14:paraId="387BEE6F">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w:t>
                  </w:r>
                  <w:r>
                    <w:rPr>
                      <w:rFonts w:hint="eastAsia"/>
                      <w:color w:val="000000" w:themeColor="text1"/>
                      <w:szCs w:val="21"/>
                      <w14:textFill>
                        <w14:solidFill>
                          <w14:schemeClr w14:val="tx1"/>
                        </w14:solidFill>
                      </w14:textFill>
                    </w:rPr>
                    <w:t>0m³</w:t>
                  </w:r>
                </w:p>
              </w:tc>
              <w:tc>
                <w:tcPr>
                  <w:tcW w:w="1195" w:type="pct"/>
                </w:tcPr>
                <w:p w14:paraId="3B332EDA">
                  <w:pPr>
                    <w:spacing w:before="2" w:line="289" w:lineRule="exact"/>
                    <w:ind w:right="155"/>
                    <w:jc w:val="center"/>
                    <w:rPr>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单</w:t>
                  </w:r>
                  <w:r>
                    <w:rPr>
                      <w:rFonts w:hint="eastAsia"/>
                      <w:color w:val="000000" w:themeColor="text1"/>
                      <w14:textFill>
                        <w14:solidFill>
                          <w14:schemeClr w14:val="tx1"/>
                        </w14:solidFill>
                      </w14:textFill>
                    </w:rPr>
                    <w:t>层汽油罐</w:t>
                  </w:r>
                </w:p>
              </w:tc>
            </w:tr>
          </w:tbl>
          <w:p w14:paraId="0162451E">
            <w:pPr>
              <w:spacing w:line="500" w:lineRule="atLeast"/>
              <w:ind w:firstLine="482" w:firstLineChars="200"/>
              <w:jc w:val="center"/>
              <w:rPr>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lang w:val="en-US" w:eastAsia="zh-CN"/>
                <w14:textFill>
                  <w14:solidFill>
                    <w14:schemeClr w14:val="tx1"/>
                  </w14:solidFill>
                </w14:textFill>
              </w:rPr>
              <w:t>5</w:t>
            </w:r>
            <w:r>
              <w:rPr>
                <w:b/>
                <w:color w:val="000000" w:themeColor="text1"/>
                <w:sz w:val="24"/>
                <w14:textFill>
                  <w14:solidFill>
                    <w14:schemeClr w14:val="tx1"/>
                  </w14:solidFill>
                </w14:textFill>
              </w:rPr>
              <w:t xml:space="preserve">  </w:t>
            </w:r>
            <w:r>
              <w:rPr>
                <w:rFonts w:hint="eastAsia"/>
                <w:b/>
                <w:color w:val="000000" w:themeColor="text1"/>
                <w:sz w:val="24"/>
                <w:lang w:val="en-US" w:eastAsia="zh-CN"/>
                <w14:textFill>
                  <w14:solidFill>
                    <w14:schemeClr w14:val="tx1"/>
                  </w14:solidFill>
                </w14:textFill>
              </w:rPr>
              <w:t>改扩建后</w:t>
            </w:r>
            <w:r>
              <w:rPr>
                <w:b/>
                <w:color w:val="000000" w:themeColor="text1"/>
                <w:sz w:val="24"/>
                <w14:textFill>
                  <w14:solidFill>
                    <w14:schemeClr w14:val="tx1"/>
                  </w14:solidFill>
                </w14:textFill>
              </w:rPr>
              <w:t>主要原辅材料消耗一览表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892"/>
              <w:gridCol w:w="1804"/>
              <w:gridCol w:w="1994"/>
              <w:gridCol w:w="2211"/>
            </w:tblGrid>
            <w:tr w14:paraId="6BBE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26" w:type="pct"/>
                  <w:shd w:val="clear" w:color="auto" w:fill="auto"/>
                  <w:noWrap/>
                  <w:vAlign w:val="center"/>
                </w:tcPr>
                <w:p w14:paraId="320234FD">
                  <w:pPr>
                    <w:spacing w:before="2" w:line="289" w:lineRule="exact"/>
                    <w:ind w:left="164" w:right="155"/>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023" w:type="pct"/>
                  <w:shd w:val="clear" w:color="auto" w:fill="auto"/>
                  <w:noWrap/>
                  <w:vAlign w:val="center"/>
                </w:tcPr>
                <w:p w14:paraId="19B7A462">
                  <w:pPr>
                    <w:spacing w:before="2" w:line="289" w:lineRule="exact"/>
                    <w:ind w:left="164" w:right="155"/>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975" w:type="pct"/>
                  <w:shd w:val="clear" w:color="auto" w:fill="auto"/>
                  <w:noWrap/>
                  <w:vAlign w:val="center"/>
                </w:tcPr>
                <w:p w14:paraId="3529F3BE">
                  <w:pPr>
                    <w:spacing w:before="2" w:line="289" w:lineRule="exact"/>
                    <w:ind w:left="164" w:right="155"/>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年用量</w:t>
                  </w:r>
                </w:p>
              </w:tc>
              <w:tc>
                <w:tcPr>
                  <w:tcW w:w="1078" w:type="pct"/>
                  <w:vAlign w:val="center"/>
                </w:tcPr>
                <w:p w14:paraId="2578A1B2">
                  <w:pPr>
                    <w:spacing w:before="2" w:line="289" w:lineRule="exact"/>
                    <w:ind w:left="-78" w:right="-2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最大储存量</w:t>
                  </w:r>
                </w:p>
              </w:tc>
              <w:tc>
                <w:tcPr>
                  <w:tcW w:w="1195" w:type="pct"/>
                </w:tcPr>
                <w:p w14:paraId="1FDFE772">
                  <w:pPr>
                    <w:spacing w:before="2" w:line="289" w:lineRule="exact"/>
                    <w:ind w:left="-61" w:right="-137"/>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储存方式</w:t>
                  </w:r>
                </w:p>
              </w:tc>
            </w:tr>
            <w:tr w14:paraId="7D68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6" w:type="pct"/>
                  <w:shd w:val="clear" w:color="auto" w:fill="auto"/>
                  <w:noWrap/>
                  <w:vAlign w:val="center"/>
                </w:tcPr>
                <w:p w14:paraId="0F8AA21C">
                  <w:pPr>
                    <w:spacing w:before="2" w:line="289" w:lineRule="exact"/>
                    <w:ind w:left="164" w:right="155"/>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023" w:type="pct"/>
                  <w:shd w:val="clear" w:color="auto" w:fill="auto"/>
                  <w:noWrap/>
                  <w:vAlign w:val="center"/>
                </w:tcPr>
                <w:p w14:paraId="5479C14C">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柴油</w:t>
                  </w:r>
                </w:p>
              </w:tc>
              <w:tc>
                <w:tcPr>
                  <w:tcW w:w="975" w:type="pct"/>
                  <w:shd w:val="clear" w:color="auto" w:fill="auto"/>
                  <w:noWrap/>
                  <w:vAlign w:val="center"/>
                </w:tcPr>
                <w:p w14:paraId="5DF9522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r>
                    <w:rPr>
                      <w:color w:val="000000" w:themeColor="text1"/>
                      <w:szCs w:val="21"/>
                      <w14:textFill>
                        <w14:solidFill>
                          <w14:schemeClr w14:val="tx1"/>
                        </w14:solidFill>
                      </w14:textFill>
                    </w:rPr>
                    <w:t>t/a</w:t>
                  </w:r>
                </w:p>
              </w:tc>
              <w:tc>
                <w:tcPr>
                  <w:tcW w:w="1078" w:type="pct"/>
                  <w:vAlign w:val="center"/>
                </w:tcPr>
                <w:p w14:paraId="40D0ADC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20m³</w:t>
                  </w:r>
                </w:p>
              </w:tc>
              <w:tc>
                <w:tcPr>
                  <w:tcW w:w="1195" w:type="pct"/>
                </w:tcPr>
                <w:p w14:paraId="20A88E4E">
                  <w:pPr>
                    <w:spacing w:before="2" w:line="289" w:lineRule="exact"/>
                    <w:ind w:right="155"/>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双层柴油罐</w:t>
                  </w:r>
                </w:p>
              </w:tc>
            </w:tr>
            <w:tr w14:paraId="6677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6" w:type="pct"/>
                  <w:shd w:val="clear" w:color="auto" w:fill="auto"/>
                  <w:noWrap/>
                  <w:vAlign w:val="center"/>
                </w:tcPr>
                <w:p w14:paraId="1C6E09A1">
                  <w:pPr>
                    <w:spacing w:before="2" w:line="289" w:lineRule="exact"/>
                    <w:ind w:left="164" w:right="155"/>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023" w:type="pct"/>
                  <w:shd w:val="clear" w:color="auto" w:fill="auto"/>
                  <w:noWrap/>
                  <w:vAlign w:val="center"/>
                </w:tcPr>
                <w:p w14:paraId="447422DB">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汽油</w:t>
                  </w:r>
                </w:p>
              </w:tc>
              <w:tc>
                <w:tcPr>
                  <w:tcW w:w="975" w:type="pct"/>
                  <w:shd w:val="clear" w:color="auto" w:fill="auto"/>
                  <w:noWrap/>
                  <w:vAlign w:val="center"/>
                </w:tcPr>
                <w:p w14:paraId="3669FC5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4300</w:t>
                  </w:r>
                  <w:r>
                    <w:rPr>
                      <w:color w:val="000000" w:themeColor="text1"/>
                      <w:szCs w:val="21"/>
                      <w14:textFill>
                        <w14:solidFill>
                          <w14:schemeClr w14:val="tx1"/>
                        </w14:solidFill>
                      </w14:textFill>
                    </w:rPr>
                    <w:t>t/a</w:t>
                  </w:r>
                </w:p>
              </w:tc>
              <w:tc>
                <w:tcPr>
                  <w:tcW w:w="1078" w:type="pct"/>
                  <w:vAlign w:val="center"/>
                </w:tcPr>
                <w:p w14:paraId="1B021B6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80m³</w:t>
                  </w:r>
                </w:p>
              </w:tc>
              <w:tc>
                <w:tcPr>
                  <w:tcW w:w="1195" w:type="pct"/>
                </w:tcPr>
                <w:p w14:paraId="3AE10B31">
                  <w:pPr>
                    <w:spacing w:before="2" w:line="289" w:lineRule="exact"/>
                    <w:ind w:right="155"/>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双层汽油罐</w:t>
                  </w:r>
                </w:p>
              </w:tc>
            </w:tr>
          </w:tbl>
          <w:p w14:paraId="02C8F554">
            <w:pPr>
              <w:spacing w:line="500" w:lineRule="atLeas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主要能源消耗见下表：</w:t>
            </w:r>
          </w:p>
          <w:p w14:paraId="72783CC1">
            <w:pPr>
              <w:spacing w:after="24" w:afterLines="10" w:line="500" w:lineRule="atLeast"/>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lang w:val="en-US" w:eastAsia="zh-CN"/>
                <w14:textFill>
                  <w14:solidFill>
                    <w14:schemeClr w14:val="tx1"/>
                  </w14:solidFill>
                </w14:textFill>
              </w:rPr>
              <w:t>6</w:t>
            </w:r>
            <w:r>
              <w:rPr>
                <w:b/>
                <w:color w:val="000000" w:themeColor="text1"/>
                <w:sz w:val="24"/>
                <w14:textFill>
                  <w14:solidFill>
                    <w14:schemeClr w14:val="tx1"/>
                  </w14:solidFill>
                </w14:textFill>
              </w:rPr>
              <w:t xml:space="preserve">  主要能源消耗一览表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473"/>
              <w:gridCol w:w="2573"/>
              <w:gridCol w:w="2194"/>
            </w:tblGrid>
            <w:tr w14:paraId="605AC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09BF9C8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337" w:type="pct"/>
                  <w:vAlign w:val="center"/>
                </w:tcPr>
                <w:p w14:paraId="16E4742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1391" w:type="pct"/>
                  <w:vAlign w:val="center"/>
                </w:tcPr>
                <w:p w14:paraId="5548F43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用量</w:t>
                  </w:r>
                </w:p>
              </w:tc>
              <w:tc>
                <w:tcPr>
                  <w:tcW w:w="1186" w:type="pct"/>
                  <w:vAlign w:val="center"/>
                </w:tcPr>
                <w:p w14:paraId="6ACD48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r>
            <w:tr w14:paraId="4FA47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14933B5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337" w:type="pct"/>
                  <w:vAlign w:val="center"/>
                </w:tcPr>
                <w:p w14:paraId="6F58DE0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w:t>
                  </w:r>
                </w:p>
              </w:tc>
              <w:tc>
                <w:tcPr>
                  <w:tcW w:w="1391" w:type="pct"/>
                  <w:vAlign w:val="center"/>
                </w:tcPr>
                <w:p w14:paraId="3F4AE02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r>
                    <w:rPr>
                      <w:color w:val="000000" w:themeColor="text1"/>
                      <w:szCs w:val="21"/>
                      <w14:textFill>
                        <w14:solidFill>
                          <w14:schemeClr w14:val="tx1"/>
                        </w14:solidFill>
                      </w14:textFill>
                    </w:rPr>
                    <w:t>万</w:t>
                  </w:r>
                </w:p>
              </w:tc>
              <w:tc>
                <w:tcPr>
                  <w:tcW w:w="1186" w:type="pct"/>
                  <w:vAlign w:val="center"/>
                </w:tcPr>
                <w:p w14:paraId="36860CC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kWh/a</w:t>
                  </w:r>
                </w:p>
              </w:tc>
            </w:tr>
            <w:tr w14:paraId="1576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72A1361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337" w:type="pct"/>
                  <w:vAlign w:val="center"/>
                </w:tcPr>
                <w:p w14:paraId="2DA5377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w:t>
                  </w:r>
                </w:p>
              </w:tc>
              <w:tc>
                <w:tcPr>
                  <w:tcW w:w="1391" w:type="pct"/>
                  <w:vAlign w:val="center"/>
                </w:tcPr>
                <w:p w14:paraId="364CECA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2800</w:t>
                  </w:r>
                </w:p>
              </w:tc>
              <w:tc>
                <w:tcPr>
                  <w:tcW w:w="1186" w:type="pct"/>
                  <w:vAlign w:val="center"/>
                </w:tcPr>
                <w:p w14:paraId="401F8D2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r>
          </w:tbl>
          <w:p w14:paraId="05CD9D5D">
            <w:pPr>
              <w:spacing w:line="520" w:lineRule="exact"/>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汽油：</w:t>
            </w:r>
            <w:r>
              <w:rPr>
                <w:color w:val="000000" w:themeColor="text1"/>
                <w:sz w:val="24"/>
                <w14:textFill>
                  <w14:solidFill>
                    <w14:schemeClr w14:val="tx1"/>
                  </w14:solidFill>
                </w14:textFill>
              </w:rPr>
              <w:t xml:space="preserve">无色或淡黄色，易挥发液体，具有特殊臭味；熔点&lt;-60℃，沸点：40～200℃； 不溶于水，易溶于苯、二硫化碳、醇、脂肪；相对密度（水=1）0.7～0.79；相对密度（空气=1）3.5；闪点-50℃，引燃温度427℃，爆炸下限（V%）1.3，爆炸上限（V%）6。易燃，其蒸气与空气可形成爆炸性混合物。遇明火、高热极易燃烧爆炸。与氧化剂能发生强烈反应。其蒸气比空气重，能在较低处扩散到相当远的地方，遇明火会引着回燃。 </w:t>
            </w:r>
          </w:p>
          <w:p w14:paraId="3C1AA093">
            <w:pPr>
              <w:spacing w:line="520" w:lineRule="exact"/>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柴油：</w:t>
            </w:r>
            <w:r>
              <w:rPr>
                <w:color w:val="000000" w:themeColor="text1"/>
                <w:sz w:val="24"/>
                <w14:textFill>
                  <w14:solidFill>
                    <w14:schemeClr w14:val="tx1"/>
                  </w14:solidFill>
                </w14:textFill>
              </w:rPr>
              <w:t>稍有粘性的棕色液体；熔点-18℃，沸点：282-338℃；不溶于水，易溶于 乙醇和丙酮；相对密度（水=1）0.85-0.9；闪点38℃，引燃温度 257℃。易燃，遇明火、高热或与氧化剂接触，有引起燃烧爆炸的危险。若遇高热，容器内压增大，有开裂和爆炸的危险。</w:t>
            </w:r>
          </w:p>
          <w:p w14:paraId="648EEC2F">
            <w:pPr>
              <w:spacing w:line="52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五</w:t>
            </w:r>
            <w:r>
              <w:rPr>
                <w:b/>
                <w:color w:val="000000" w:themeColor="text1"/>
                <w:sz w:val="24"/>
                <w14:textFill>
                  <w14:solidFill>
                    <w14:schemeClr w14:val="tx1"/>
                  </w14:solidFill>
                </w14:textFill>
              </w:rPr>
              <w:t>、产品方案</w:t>
            </w:r>
          </w:p>
          <w:p w14:paraId="5A07BD89">
            <w:pPr>
              <w:spacing w:line="500" w:lineRule="atLeast"/>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本项目产品</w:t>
            </w:r>
            <w:r>
              <w:rPr>
                <w:rFonts w:hint="eastAsia"/>
                <w:color w:val="000000" w:themeColor="text1"/>
                <w:sz w:val="24"/>
                <w14:textFill>
                  <w14:solidFill>
                    <w14:schemeClr w14:val="tx1"/>
                  </w14:solidFill>
                </w14:textFill>
              </w:rPr>
              <w:t>产能如下表：</w:t>
            </w:r>
          </w:p>
          <w:p w14:paraId="6D282C56">
            <w:pPr>
              <w:spacing w:after="24" w:afterLines="10" w:line="500" w:lineRule="atLeast"/>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lang w:val="en-US" w:eastAsia="zh-CN"/>
                <w14:textFill>
                  <w14:solidFill>
                    <w14:schemeClr w14:val="tx1"/>
                  </w14:solidFill>
                </w14:textFill>
              </w:rPr>
              <w:t>6</w:t>
            </w:r>
            <w:r>
              <w:rPr>
                <w:b/>
                <w:color w:val="000000" w:themeColor="text1"/>
                <w:sz w:val="24"/>
                <w14:textFill>
                  <w14:solidFill>
                    <w14:schemeClr w14:val="tx1"/>
                  </w14:solidFill>
                </w14:textFill>
              </w:rPr>
              <w:t xml:space="preserve"> </w:t>
            </w:r>
            <w:r>
              <w:rPr>
                <w:rFonts w:hint="eastAsia"/>
                <w:b/>
                <w:color w:val="000000" w:themeColor="text1"/>
                <w:sz w:val="24"/>
                <w:lang w:val="en-US" w:eastAsia="zh-CN"/>
                <w14:textFill>
                  <w14:solidFill>
                    <w14:schemeClr w14:val="tx1"/>
                  </w14:solidFill>
                </w14:textFill>
              </w:rPr>
              <w:t>改扩建前</w:t>
            </w:r>
            <w:r>
              <w:rPr>
                <w:b/>
                <w:color w:val="000000" w:themeColor="text1"/>
                <w:sz w:val="24"/>
                <w14:textFill>
                  <w14:solidFill>
                    <w14:schemeClr w14:val="tx1"/>
                  </w14:solidFill>
                </w14:textFill>
              </w:rPr>
              <w:t>产品方案</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3921"/>
              <w:gridCol w:w="3523"/>
            </w:tblGrid>
            <w:tr w14:paraId="3A77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4" w:type="pct"/>
                  <w:vAlign w:val="center"/>
                </w:tcPr>
                <w:p w14:paraId="2BDEFE9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120" w:type="pct"/>
                  <w:vAlign w:val="center"/>
                </w:tcPr>
                <w:p w14:paraId="3512BD5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1905" w:type="pct"/>
                  <w:vAlign w:val="center"/>
                </w:tcPr>
                <w:p w14:paraId="340CC93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数量</w:t>
                  </w:r>
                </w:p>
              </w:tc>
            </w:tr>
            <w:tr w14:paraId="566A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4" w:type="pct"/>
                  <w:vAlign w:val="center"/>
                </w:tcPr>
                <w:p w14:paraId="2144162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2120" w:type="pct"/>
                  <w:vAlign w:val="center"/>
                </w:tcPr>
                <w:p w14:paraId="00F2E9A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柴油</w:t>
                  </w:r>
                </w:p>
              </w:tc>
              <w:tc>
                <w:tcPr>
                  <w:tcW w:w="1905" w:type="pct"/>
                  <w:vAlign w:val="center"/>
                </w:tcPr>
                <w:p w14:paraId="46A8FD7C">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w:t>
                  </w:r>
                  <w:r>
                    <w:rPr>
                      <w:rFonts w:hint="eastAsia"/>
                      <w:color w:val="000000" w:themeColor="text1"/>
                      <w:szCs w:val="21"/>
                      <w14:textFill>
                        <w14:solidFill>
                          <w14:schemeClr w14:val="tx1"/>
                        </w14:solidFill>
                      </w14:textFill>
                    </w:rPr>
                    <w:t>00吨/年</w:t>
                  </w:r>
                </w:p>
              </w:tc>
            </w:tr>
            <w:tr w14:paraId="1605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4" w:type="pct"/>
                  <w:vAlign w:val="center"/>
                </w:tcPr>
                <w:p w14:paraId="46D3663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2120" w:type="pct"/>
                  <w:vAlign w:val="center"/>
                </w:tcPr>
                <w:p w14:paraId="3CC2843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汽油</w:t>
                  </w:r>
                </w:p>
              </w:tc>
              <w:tc>
                <w:tcPr>
                  <w:tcW w:w="1905" w:type="pct"/>
                  <w:vAlign w:val="center"/>
                </w:tcPr>
                <w:p w14:paraId="3C89635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rFonts w:hint="eastAsia"/>
                      <w:color w:val="000000" w:themeColor="text1"/>
                      <w:szCs w:val="21"/>
                      <w:lang w:val="en-US" w:eastAsia="zh-CN"/>
                      <w14:textFill>
                        <w14:solidFill>
                          <w14:schemeClr w14:val="tx1"/>
                        </w14:solidFill>
                      </w14:textFill>
                    </w:rPr>
                    <w:t>0</w:t>
                  </w:r>
                  <w:r>
                    <w:rPr>
                      <w:rFonts w:hint="eastAsia"/>
                      <w:color w:val="000000" w:themeColor="text1"/>
                      <w:szCs w:val="21"/>
                      <w14:textFill>
                        <w14:solidFill>
                          <w14:schemeClr w14:val="tx1"/>
                        </w14:solidFill>
                      </w14:textFill>
                    </w:rPr>
                    <w:t>00吨/年</w:t>
                  </w:r>
                </w:p>
              </w:tc>
            </w:tr>
          </w:tbl>
          <w:p w14:paraId="75FF1146">
            <w:pPr>
              <w:spacing w:after="24" w:afterLines="10" w:line="500" w:lineRule="atLeast"/>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lang w:val="en-US" w:eastAsia="zh-CN"/>
                <w14:textFill>
                  <w14:solidFill>
                    <w14:schemeClr w14:val="tx1"/>
                  </w14:solidFill>
                </w14:textFill>
              </w:rPr>
              <w:t>7</w:t>
            </w:r>
            <w:r>
              <w:rPr>
                <w:b/>
                <w:color w:val="000000" w:themeColor="text1"/>
                <w:sz w:val="24"/>
                <w14:textFill>
                  <w14:solidFill>
                    <w14:schemeClr w14:val="tx1"/>
                  </w14:solidFill>
                </w14:textFill>
              </w:rPr>
              <w:t xml:space="preserve">  </w:t>
            </w:r>
            <w:r>
              <w:rPr>
                <w:rFonts w:hint="eastAsia"/>
                <w:b/>
                <w:color w:val="000000" w:themeColor="text1"/>
                <w:sz w:val="24"/>
                <w:lang w:val="en-US" w:eastAsia="zh-CN"/>
                <w14:textFill>
                  <w14:solidFill>
                    <w14:schemeClr w14:val="tx1"/>
                  </w14:solidFill>
                </w14:textFill>
              </w:rPr>
              <w:t>改扩建后</w:t>
            </w:r>
            <w:r>
              <w:rPr>
                <w:b/>
                <w:color w:val="000000" w:themeColor="text1"/>
                <w:sz w:val="24"/>
                <w14:textFill>
                  <w14:solidFill>
                    <w14:schemeClr w14:val="tx1"/>
                  </w14:solidFill>
                </w14:textFill>
              </w:rPr>
              <w:t>产品方案</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3921"/>
              <w:gridCol w:w="3523"/>
            </w:tblGrid>
            <w:tr w14:paraId="1082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4" w:type="pct"/>
                  <w:vAlign w:val="center"/>
                </w:tcPr>
                <w:p w14:paraId="5546A8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120" w:type="pct"/>
                  <w:vAlign w:val="center"/>
                </w:tcPr>
                <w:p w14:paraId="12C7DDB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1905" w:type="pct"/>
                  <w:vAlign w:val="center"/>
                </w:tcPr>
                <w:p w14:paraId="1891129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数量</w:t>
                  </w:r>
                </w:p>
              </w:tc>
            </w:tr>
            <w:tr w14:paraId="5C00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4" w:type="pct"/>
                  <w:vAlign w:val="center"/>
                </w:tcPr>
                <w:p w14:paraId="6724EA4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2120" w:type="pct"/>
                  <w:vAlign w:val="center"/>
                </w:tcPr>
                <w:p w14:paraId="0E3D769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柴油</w:t>
                  </w:r>
                </w:p>
              </w:tc>
              <w:tc>
                <w:tcPr>
                  <w:tcW w:w="1905" w:type="pct"/>
                  <w:vAlign w:val="center"/>
                </w:tcPr>
                <w:p w14:paraId="66FB914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300吨/年</w:t>
                  </w:r>
                </w:p>
              </w:tc>
            </w:tr>
            <w:tr w14:paraId="49C3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4" w:type="pct"/>
                  <w:vAlign w:val="center"/>
                </w:tcPr>
                <w:p w14:paraId="2220E61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2120" w:type="pct"/>
                  <w:vAlign w:val="center"/>
                </w:tcPr>
                <w:p w14:paraId="6327902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汽油</w:t>
                  </w:r>
                </w:p>
              </w:tc>
              <w:tc>
                <w:tcPr>
                  <w:tcW w:w="1905" w:type="pct"/>
                  <w:vAlign w:val="center"/>
                </w:tcPr>
                <w:p w14:paraId="7FD2819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4300吨/年</w:t>
                  </w:r>
                </w:p>
              </w:tc>
            </w:tr>
          </w:tbl>
          <w:p w14:paraId="5D1C0651">
            <w:pPr>
              <w:spacing w:line="500" w:lineRule="atLeast"/>
              <w:ind w:firstLine="472" w:firstLineChars="196"/>
              <w:rPr>
                <w:b/>
                <w:color w:val="000000" w:themeColor="text1"/>
                <w:kern w:val="28"/>
                <w:sz w:val="24"/>
                <w14:textFill>
                  <w14:solidFill>
                    <w14:schemeClr w14:val="tx1"/>
                  </w14:solidFill>
                </w14:textFill>
              </w:rPr>
            </w:pPr>
            <w:r>
              <w:rPr>
                <w:rFonts w:hint="eastAsia"/>
                <w:b/>
                <w:color w:val="000000" w:themeColor="text1"/>
                <w:kern w:val="28"/>
                <w:sz w:val="24"/>
                <w14:textFill>
                  <w14:solidFill>
                    <w14:schemeClr w14:val="tx1"/>
                  </w14:solidFill>
                </w14:textFill>
              </w:rPr>
              <w:t>六</w:t>
            </w:r>
            <w:r>
              <w:rPr>
                <w:b/>
                <w:color w:val="000000" w:themeColor="text1"/>
                <w:kern w:val="28"/>
                <w:sz w:val="24"/>
                <w14:textFill>
                  <w14:solidFill>
                    <w14:schemeClr w14:val="tx1"/>
                  </w14:solidFill>
                </w14:textFill>
              </w:rPr>
              <w:t>、公用工程</w:t>
            </w:r>
          </w:p>
          <w:p w14:paraId="172B3ED3">
            <w:pPr>
              <w:spacing w:line="500" w:lineRule="atLeas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①给水：本项目水源</w:t>
            </w:r>
            <w:r>
              <w:rPr>
                <w:rFonts w:hint="eastAsia" w:ascii="宋体" w:hAnsi="宋体" w:cs="宋体"/>
                <w:color w:val="000000" w:themeColor="text1"/>
                <w:sz w:val="24"/>
                <w14:textFill>
                  <w14:solidFill>
                    <w14:schemeClr w14:val="tx1"/>
                  </w14:solidFill>
                </w14:textFill>
              </w:rPr>
              <w:t>引自市政供水管网，满足本项目生产生活需求。</w:t>
            </w:r>
          </w:p>
          <w:p w14:paraId="7115DF9E">
            <w:pPr>
              <w:spacing w:line="500" w:lineRule="atLeas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②排水：</w:t>
            </w:r>
            <w:r>
              <w:rPr>
                <w:rFonts w:hint="eastAsia" w:ascii="宋体" w:hAnsi="宋体" w:cs="宋体"/>
                <w:color w:val="000000" w:themeColor="text1"/>
                <w:sz w:val="24"/>
                <w14:textFill>
                  <w14:solidFill>
                    <w14:schemeClr w14:val="tx1"/>
                  </w14:solidFill>
                </w14:textFill>
              </w:rPr>
              <w:t>排水采取雨污分流，雨水经雨水管网排入市政雨水管网；生活污水经化粪池预处理后排入市政污水管网，进入固镇县污水处理厂处理，地面冲洗水经隔油池处理后排入市政污水管网，进入固镇县污水处理厂处理。</w:t>
            </w:r>
          </w:p>
          <w:p w14:paraId="6F30AEBA">
            <w:pPr>
              <w:adjustRightInd w:val="0"/>
              <w:snapToGrid w:val="0"/>
              <w:spacing w:line="500" w:lineRule="atLeast"/>
              <w:ind w:firstLine="480" w:firstLineChars="200"/>
              <w:rPr>
                <w:b/>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供电：本项目用电</w:t>
            </w:r>
            <w:r>
              <w:rPr>
                <w:rFonts w:hint="eastAsia"/>
                <w:color w:val="000000" w:themeColor="text1"/>
                <w:sz w:val="24"/>
                <w14:textFill>
                  <w14:solidFill>
                    <w14:schemeClr w14:val="tx1"/>
                  </w14:solidFill>
                </w14:textFill>
              </w:rPr>
              <w:t>引自市政供电线路，满足生产生活需要。</w:t>
            </w:r>
          </w:p>
          <w:p w14:paraId="39ABF900">
            <w:pPr>
              <w:spacing w:line="500" w:lineRule="atLeas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七、平面布置合理性分析</w:t>
            </w:r>
          </w:p>
          <w:p w14:paraId="157C5057">
            <w:pPr>
              <w:spacing w:line="500" w:lineRule="atLeast"/>
              <w:ind w:firstLine="480" w:firstLineChars="200"/>
              <w:rPr>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根据加油站建设内容进行功能分区，可分为油罐区、加油区和站房。加油区位于场地中央，顶设钢结构罩棚，场地两侧的进出口通道与站外道路连通。站房位于场地</w:t>
            </w:r>
            <w:r>
              <w:rPr>
                <w:rFonts w:hint="eastAsia" w:ascii="宋体" w:hAnsi="宋体" w:cs="宋体"/>
                <w:color w:val="000000" w:themeColor="text1"/>
                <w:sz w:val="24"/>
                <w14:textFill>
                  <w14:solidFill>
                    <w14:schemeClr w14:val="tx1"/>
                  </w14:solidFill>
                </w14:textFill>
              </w:rPr>
              <w:t>北</w:t>
            </w:r>
            <w:r>
              <w:rPr>
                <w:rFonts w:ascii="宋体" w:hAnsi="宋体" w:cs="宋体"/>
                <w:color w:val="000000" w:themeColor="text1"/>
                <w:sz w:val="24"/>
                <w14:textFill>
                  <w14:solidFill>
                    <w14:schemeClr w14:val="tx1"/>
                  </w14:solidFill>
                </w14:textFill>
              </w:rPr>
              <w:t>部，内设有便利店、办公室、储藏间以及配电室等。油罐区位于</w:t>
            </w:r>
            <w:r>
              <w:rPr>
                <w:rFonts w:hint="eastAsia" w:ascii="宋体" w:hAnsi="宋体" w:cs="宋体"/>
                <w:color w:val="000000" w:themeColor="text1"/>
                <w:sz w:val="24"/>
                <w14:textFill>
                  <w14:solidFill>
                    <w14:schemeClr w14:val="tx1"/>
                  </w14:solidFill>
                </w14:textFill>
              </w:rPr>
              <w:t>站区北侧</w:t>
            </w:r>
            <w:r>
              <w:rPr>
                <w:rFonts w:ascii="宋体" w:hAnsi="宋体" w:cs="宋体"/>
                <w:color w:val="000000" w:themeColor="text1"/>
                <w:sz w:val="24"/>
                <w14:textFill>
                  <w14:solidFill>
                    <w14:schemeClr w14:val="tx1"/>
                  </w14:solidFill>
                </w14:textFill>
              </w:rPr>
              <w:t>，为</w:t>
            </w:r>
            <w:r>
              <w:rPr>
                <w:rFonts w:hint="eastAsia" w:ascii="宋体" w:hAnsi="宋体" w:cs="宋体"/>
                <w:color w:val="000000" w:themeColor="text1"/>
                <w:sz w:val="24"/>
                <w14:textFill>
                  <w14:solidFill>
                    <w14:schemeClr w14:val="tx1"/>
                  </w14:solidFill>
                </w14:textFill>
              </w:rPr>
              <w:t>双层</w:t>
            </w:r>
            <w:r>
              <w:rPr>
                <w:rFonts w:ascii="宋体" w:hAnsi="宋体" w:cs="宋体"/>
                <w:color w:val="000000" w:themeColor="text1"/>
                <w:sz w:val="24"/>
                <w14:textFill>
                  <w14:solidFill>
                    <w14:schemeClr w14:val="tx1"/>
                  </w14:solidFill>
                </w14:textFill>
              </w:rPr>
              <w:t>油罐；站区除场地</w:t>
            </w:r>
            <w:r>
              <w:rPr>
                <w:rFonts w:hint="eastAsia" w:ascii="宋体" w:hAnsi="宋体" w:cs="宋体"/>
                <w:color w:val="000000" w:themeColor="text1"/>
                <w:sz w:val="24"/>
                <w14:textFill>
                  <w14:solidFill>
                    <w14:schemeClr w14:val="tx1"/>
                  </w14:solidFill>
                </w14:textFill>
              </w:rPr>
              <w:t>北</w:t>
            </w:r>
            <w:r>
              <w:rPr>
                <w:rFonts w:ascii="宋体" w:hAnsi="宋体" w:cs="宋体"/>
                <w:color w:val="000000" w:themeColor="text1"/>
                <w:sz w:val="24"/>
                <w14:textFill>
                  <w14:solidFill>
                    <w14:schemeClr w14:val="tx1"/>
                  </w14:solidFill>
                </w14:textFill>
              </w:rPr>
              <w:t>侧外建设不低于2.2m高的实体围墙与周边相隔，同时起到保护作用。本站共设加油区、油品储罐区、站房等功能区域。站区平面布置疏密有致，在有限的用地范围内，即满足了不同功能区域的平面布置，又符合《汽车加油加气站设计与施工规范》（GB50156-2012）（2014 年修订版）站内防火间距以及站内工艺设施与站外建、构筑物防火间距要求。因此，从环境影响角度来看，该厂区总图布置方案总体较合理，是可行的。具体项目平面布置见附图 2：建设项目平面布置图。</w:t>
            </w:r>
          </w:p>
          <w:p w14:paraId="5D22DD30">
            <w:pPr>
              <w:spacing w:line="500" w:lineRule="atLeast"/>
              <w:ind w:firstLine="480" w:firstLineChars="200"/>
              <w:rPr>
                <w:rFonts w:ascii="宋体" w:hAnsi="宋体" w:cs="宋体"/>
                <w:color w:val="000000" w:themeColor="text1"/>
                <w:sz w:val="24"/>
                <w14:textFill>
                  <w14:solidFill>
                    <w14:schemeClr w14:val="tx1"/>
                  </w14:solidFill>
                </w14:textFill>
              </w:rPr>
            </w:pPr>
          </w:p>
          <w:p w14:paraId="1D8C7480">
            <w:pPr>
              <w:spacing w:line="500" w:lineRule="atLeast"/>
              <w:ind w:firstLine="480" w:firstLineChars="200"/>
              <w:rPr>
                <w:rFonts w:ascii="宋体" w:hAnsi="宋体" w:cs="宋体"/>
                <w:color w:val="000000" w:themeColor="text1"/>
                <w:sz w:val="24"/>
                <w14:textFill>
                  <w14:solidFill>
                    <w14:schemeClr w14:val="tx1"/>
                  </w14:solidFill>
                </w14:textFill>
              </w:rPr>
            </w:pPr>
          </w:p>
          <w:p w14:paraId="305E01DB">
            <w:pPr>
              <w:spacing w:line="500" w:lineRule="atLeast"/>
              <w:ind w:firstLine="480" w:firstLineChars="200"/>
              <w:rPr>
                <w:color w:val="000000" w:themeColor="text1"/>
                <w:sz w:val="24"/>
                <w14:textFill>
                  <w14:solidFill>
                    <w14:schemeClr w14:val="tx1"/>
                  </w14:solidFill>
                </w14:textFill>
              </w:rPr>
            </w:pPr>
          </w:p>
          <w:p w14:paraId="217A009B">
            <w:pPr>
              <w:spacing w:line="500" w:lineRule="atLeast"/>
              <w:rPr>
                <w:color w:val="000000" w:themeColor="text1"/>
                <w:sz w:val="24"/>
                <w14:textFill>
                  <w14:solidFill>
                    <w14:schemeClr w14:val="tx1"/>
                  </w14:solidFill>
                </w14:textFill>
              </w:rPr>
            </w:pPr>
          </w:p>
          <w:p w14:paraId="6076102D">
            <w:pPr>
              <w:spacing w:line="500" w:lineRule="atLeast"/>
              <w:rPr>
                <w:color w:val="000000" w:themeColor="text1"/>
                <w:sz w:val="24"/>
                <w14:textFill>
                  <w14:solidFill>
                    <w14:schemeClr w14:val="tx1"/>
                  </w14:solidFill>
                </w14:textFill>
              </w:rPr>
            </w:pPr>
          </w:p>
          <w:p w14:paraId="2C576E55">
            <w:pPr>
              <w:spacing w:line="500" w:lineRule="atLeast"/>
              <w:rPr>
                <w:color w:val="000000" w:themeColor="text1"/>
                <w:sz w:val="24"/>
                <w14:textFill>
                  <w14:solidFill>
                    <w14:schemeClr w14:val="tx1"/>
                  </w14:solidFill>
                </w14:textFill>
              </w:rPr>
            </w:pPr>
          </w:p>
          <w:p w14:paraId="31308081">
            <w:pPr>
              <w:spacing w:line="500" w:lineRule="atLeast"/>
              <w:rPr>
                <w:color w:val="000000" w:themeColor="text1"/>
                <w:sz w:val="24"/>
                <w14:textFill>
                  <w14:solidFill>
                    <w14:schemeClr w14:val="tx1"/>
                  </w14:solidFill>
                </w14:textFill>
              </w:rPr>
            </w:pPr>
          </w:p>
          <w:p w14:paraId="2CBEB599">
            <w:pPr>
              <w:spacing w:line="500" w:lineRule="atLeast"/>
              <w:rPr>
                <w:color w:val="000000" w:themeColor="text1"/>
                <w:sz w:val="24"/>
                <w14:textFill>
                  <w14:solidFill>
                    <w14:schemeClr w14:val="tx1"/>
                  </w14:solidFill>
                </w14:textFill>
              </w:rPr>
            </w:pPr>
          </w:p>
          <w:p w14:paraId="2B49752B">
            <w:pPr>
              <w:spacing w:line="500" w:lineRule="atLeast"/>
              <w:rPr>
                <w:color w:val="000000" w:themeColor="text1"/>
                <w:sz w:val="24"/>
                <w14:textFill>
                  <w14:solidFill>
                    <w14:schemeClr w14:val="tx1"/>
                  </w14:solidFill>
                </w14:textFill>
              </w:rPr>
            </w:pPr>
          </w:p>
          <w:p w14:paraId="3C20AA25">
            <w:pPr>
              <w:spacing w:line="500" w:lineRule="atLeast"/>
              <w:rPr>
                <w:color w:val="000000" w:themeColor="text1"/>
                <w:sz w:val="24"/>
                <w14:textFill>
                  <w14:solidFill>
                    <w14:schemeClr w14:val="tx1"/>
                  </w14:solidFill>
                </w14:textFill>
              </w:rPr>
            </w:pPr>
          </w:p>
          <w:p w14:paraId="4C2C17C5">
            <w:pPr>
              <w:spacing w:line="500" w:lineRule="atLeast"/>
              <w:rPr>
                <w:color w:val="000000" w:themeColor="text1"/>
                <w:sz w:val="24"/>
                <w14:textFill>
                  <w14:solidFill>
                    <w14:schemeClr w14:val="tx1"/>
                  </w14:solidFill>
                </w14:textFill>
              </w:rPr>
            </w:pPr>
          </w:p>
          <w:p w14:paraId="5298C199">
            <w:pPr>
              <w:spacing w:line="500" w:lineRule="atLeast"/>
              <w:rPr>
                <w:color w:val="000000" w:themeColor="text1"/>
                <w:sz w:val="24"/>
                <w14:textFill>
                  <w14:solidFill>
                    <w14:schemeClr w14:val="tx1"/>
                  </w14:solidFill>
                </w14:textFill>
              </w:rPr>
            </w:pPr>
          </w:p>
          <w:p w14:paraId="4947ED0A">
            <w:pPr>
              <w:spacing w:line="500" w:lineRule="atLeast"/>
              <w:rPr>
                <w:color w:val="000000" w:themeColor="text1"/>
                <w:sz w:val="24"/>
                <w14:textFill>
                  <w14:solidFill>
                    <w14:schemeClr w14:val="tx1"/>
                  </w14:solidFill>
                </w14:textFill>
              </w:rPr>
            </w:pPr>
          </w:p>
          <w:p w14:paraId="35866A12"/>
          <w:p w14:paraId="2B5DF01C">
            <w:pPr>
              <w:pStyle w:val="2"/>
            </w:pPr>
          </w:p>
        </w:tc>
      </w:tr>
      <w:tr w14:paraId="26B5B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50" w:hRule="atLeast"/>
        </w:trPr>
        <w:tc>
          <w:tcPr>
            <w:tcW w:w="535" w:type="dxa"/>
            <w:vAlign w:val="center"/>
          </w:tcPr>
          <w:p w14:paraId="1630AE01">
            <w:pPr>
              <w:adjustRightInd w:val="0"/>
              <w:snapToGrid w:val="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工艺流程和产排污环节</w:t>
            </w:r>
          </w:p>
        </w:tc>
        <w:tc>
          <w:tcPr>
            <w:tcW w:w="9423" w:type="dxa"/>
            <w:gridSpan w:val="2"/>
            <w:vAlign w:val="center"/>
          </w:tcPr>
          <w:p w14:paraId="64900832">
            <w:pPr>
              <w:spacing w:line="500" w:lineRule="atLeas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w:t>
            </w:r>
            <w:r>
              <w:rPr>
                <w:rFonts w:ascii="宋体" w:hAnsi="宋体" w:cs="宋体"/>
                <w:b/>
                <w:bCs/>
                <w:color w:val="000000" w:themeColor="text1"/>
                <w:sz w:val="24"/>
                <w14:textFill>
                  <w14:solidFill>
                    <w14:schemeClr w14:val="tx1"/>
                  </w14:solidFill>
                </w14:textFill>
              </w:rPr>
              <w:t xml:space="preserve">、工艺流程说明： </w:t>
            </w:r>
          </w:p>
          <w:p w14:paraId="04975579">
            <w:pPr>
              <w:spacing w:line="500" w:lineRule="atLeast"/>
              <w:ind w:firstLine="482" w:firstLineChars="200"/>
              <w:rPr>
                <w:rFonts w:ascii="宋体" w:hAnsi="宋体" w:cs="宋体"/>
                <w:b/>
                <w:bCs/>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t>1、施工期工艺流程</w:t>
            </w:r>
          </w:p>
          <w:p w14:paraId="3CB6C2F2">
            <w:pPr>
              <w:spacing w:line="500" w:lineRule="atLeas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（1）场地平整和基础工程</w:t>
            </w:r>
          </w:p>
          <w:p w14:paraId="4A619C66">
            <w:pPr>
              <w:spacing w:line="500" w:lineRule="atLeas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建设项目将施工过程中产生的建筑垃圾、碎石、砂土、粘土共同用作填土材料。利用压路机分片压碾，并浇水湿润填土以利于密实。然后利用起重机械吊起特制的重锤来冲击基土表面，使地基受到压密，一般夯打为8-12遍。该工段主要污染物为施工机械产生的噪声、粉尘和排放的尾气。建筑工程施工现场扬尘污染防治应当做到工地周边围挡、物料堆放覆盖、路面硬化、土方开挖湿法作业、出入车辆清洗、渣土车辆密闭运输“六个百分之百”。</w:t>
            </w:r>
          </w:p>
          <w:p w14:paraId="1DB9D0C5">
            <w:pPr>
              <w:spacing w:line="500" w:lineRule="atLeas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（2）主体工程</w:t>
            </w:r>
          </w:p>
          <w:p w14:paraId="7C8AD5A0">
            <w:pPr>
              <w:spacing w:line="500" w:lineRule="atLeas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建设项目主体工程主要为钻孔灌注，现浇钢砼柱、梁，砖墙砌筑。建设项目利用钻孔设备进行钻孔后，用钢筋混凝土浇灌。然后根据施工图纸，进行钢筋的配料和加工，安装于架好的模板之处，及时连续灌筑混凝土，并捣实使混凝土成型。该工段工期较长，主要污染物为搅拌机产生的噪声、尾气，搅拌砂浆时的砂浆水，碎砖和废砂等固废。 </w:t>
            </w:r>
          </w:p>
          <w:p w14:paraId="753266F0">
            <w:pPr>
              <w:spacing w:line="500" w:lineRule="atLeas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（3）装饰工程</w:t>
            </w:r>
          </w:p>
          <w:p w14:paraId="29A4034B">
            <w:pPr>
              <w:spacing w:line="500" w:lineRule="atLeas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利用各种加工机械对木材、塑钢等按图进行加工。</w:t>
            </w:r>
          </w:p>
          <w:p w14:paraId="141F22B3">
            <w:pPr>
              <w:spacing w:line="500" w:lineRule="atLeas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（4）设备安装 </w:t>
            </w:r>
          </w:p>
          <w:p w14:paraId="0982E753">
            <w:pPr>
              <w:spacing w:line="500" w:lineRule="atLeast"/>
              <w:ind w:firstLine="480" w:firstLineChars="200"/>
              <w:rPr>
                <w:b/>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主要污染物是施工机械产生的噪声、 尾气等。</w:t>
            </w:r>
          </w:p>
          <w:p w14:paraId="7DF11AC3">
            <w:pPr>
              <w:spacing w:line="500" w:lineRule="atLeas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drawing>
                <wp:inline distT="0" distB="0" distL="114300" distR="114300">
                  <wp:extent cx="5181600" cy="1539240"/>
                  <wp:effectExtent l="0" t="0" r="0" b="0"/>
                  <wp:docPr id="7" name="图片 7" descr="168411797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84117970033"/>
                          <pic:cNvPicPr>
                            <a:picLocks noChangeAspect="1"/>
                          </pic:cNvPicPr>
                        </pic:nvPicPr>
                        <pic:blipFill>
                          <a:blip r:embed="rId9"/>
                          <a:stretch>
                            <a:fillRect/>
                          </a:stretch>
                        </pic:blipFill>
                        <pic:spPr>
                          <a:xfrm>
                            <a:off x="0" y="0"/>
                            <a:ext cx="5181600" cy="1539240"/>
                          </a:xfrm>
                          <a:prstGeom prst="rect">
                            <a:avLst/>
                          </a:prstGeom>
                        </pic:spPr>
                      </pic:pic>
                    </a:graphicData>
                  </a:graphic>
                </wp:inline>
              </w:drawing>
            </w:r>
          </w:p>
          <w:p w14:paraId="259CB336">
            <w:pPr>
              <w:spacing w:line="500" w:lineRule="atLeast"/>
              <w:ind w:firstLine="482" w:firstLineChars="20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图2-1：施工期工艺流程及污染节点图</w:t>
            </w:r>
          </w:p>
          <w:p w14:paraId="0793E893">
            <w:pPr>
              <w:spacing w:line="500" w:lineRule="atLeast"/>
              <w:ind w:firstLine="482" w:firstLineChars="200"/>
              <w:rPr>
                <w:b/>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w:t>
            </w:r>
            <w:r>
              <w:rPr>
                <w:rFonts w:ascii="宋体" w:hAnsi="宋体" w:cs="宋体"/>
                <w:b/>
                <w:bCs/>
                <w:color w:val="000000" w:themeColor="text1"/>
                <w:sz w:val="24"/>
                <w14:textFill>
                  <w14:solidFill>
                    <w14:schemeClr w14:val="tx1"/>
                  </w14:solidFill>
                </w14:textFill>
              </w:rPr>
              <w:t>、</w:t>
            </w:r>
            <w:r>
              <w:rPr>
                <w:rFonts w:hint="eastAsia" w:ascii="宋体" w:hAnsi="宋体" w:cs="宋体"/>
                <w:b/>
                <w:bCs/>
                <w:color w:val="000000" w:themeColor="text1"/>
                <w:sz w:val="24"/>
                <w14:textFill>
                  <w14:solidFill>
                    <w14:schemeClr w14:val="tx1"/>
                  </w14:solidFill>
                </w14:textFill>
              </w:rPr>
              <w:t>营运</w:t>
            </w:r>
            <w:r>
              <w:rPr>
                <w:rFonts w:ascii="宋体" w:hAnsi="宋体" w:cs="宋体"/>
                <w:b/>
                <w:bCs/>
                <w:color w:val="000000" w:themeColor="text1"/>
                <w:sz w:val="24"/>
                <w14:textFill>
                  <w14:solidFill>
                    <w14:schemeClr w14:val="tx1"/>
                  </w14:solidFill>
                </w14:textFill>
              </w:rPr>
              <w:t>期工艺流程</w:t>
            </w:r>
          </w:p>
          <w:p w14:paraId="504E0D98">
            <w:pPr>
              <w:spacing w:line="500" w:lineRule="atLeas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①加油站工艺流程图及其说明</w:t>
            </w:r>
          </w:p>
          <w:p w14:paraId="5D6C50EA">
            <w:pPr>
              <w:spacing w:line="500" w:lineRule="atLeas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工艺流程见图</w:t>
            </w:r>
            <w:r>
              <w:rPr>
                <w:rFonts w:hint="eastAsia" w:ascii="宋体" w:hAnsi="宋体" w:cs="宋体"/>
                <w:color w:val="000000" w:themeColor="text1"/>
                <w:sz w:val="24"/>
                <w14:textFill>
                  <w14:solidFill>
                    <w14:schemeClr w14:val="tx1"/>
                  </w14:solidFill>
                </w14:textFill>
              </w:rPr>
              <w:t>2</w:t>
            </w:r>
            <w:r>
              <w:rPr>
                <w:rFonts w:ascii="宋体" w:hAnsi="宋体" w:cs="宋体"/>
                <w:color w:val="000000" w:themeColor="text1"/>
                <w:sz w:val="24"/>
                <w14:textFill>
                  <w14:solidFill>
                    <w14:schemeClr w14:val="tx1"/>
                  </w14:solidFill>
                </w14:textFill>
              </w:rPr>
              <w:t>-2、图</w:t>
            </w:r>
            <w:r>
              <w:rPr>
                <w:rFonts w:hint="eastAsia" w:ascii="宋体" w:hAnsi="宋体" w:cs="宋体"/>
                <w:color w:val="000000" w:themeColor="text1"/>
                <w:sz w:val="24"/>
                <w14:textFill>
                  <w14:solidFill>
                    <w14:schemeClr w14:val="tx1"/>
                  </w14:solidFill>
                </w14:textFill>
              </w:rPr>
              <w:t>2</w:t>
            </w:r>
            <w:r>
              <w:rPr>
                <w:rFonts w:ascii="宋体" w:hAnsi="宋体" w:cs="宋体"/>
                <w:color w:val="000000" w:themeColor="text1"/>
                <w:sz w:val="24"/>
                <w14:textFill>
                  <w14:solidFill>
                    <w14:schemeClr w14:val="tx1"/>
                  </w14:solidFill>
                </w14:textFill>
              </w:rPr>
              <w:t>-3、图</w:t>
            </w:r>
            <w:r>
              <w:rPr>
                <w:rFonts w:hint="eastAsia" w:ascii="宋体" w:hAnsi="宋体" w:cs="宋体"/>
                <w:color w:val="000000" w:themeColor="text1"/>
                <w:sz w:val="24"/>
                <w14:textFill>
                  <w14:solidFill>
                    <w14:schemeClr w14:val="tx1"/>
                  </w14:solidFill>
                </w14:textFill>
              </w:rPr>
              <w:t>2</w:t>
            </w:r>
            <w:r>
              <w:rPr>
                <w:rFonts w:ascii="宋体" w:hAnsi="宋体" w:cs="宋体"/>
                <w:color w:val="000000" w:themeColor="text1"/>
                <w:sz w:val="24"/>
                <w14:textFill>
                  <w14:solidFill>
                    <w14:schemeClr w14:val="tx1"/>
                  </w14:solidFill>
                </w14:textFill>
              </w:rPr>
              <w:t>-4：</w:t>
            </w:r>
          </w:p>
          <w:p w14:paraId="1F6912E7">
            <w:pPr>
              <w:pStyle w:val="35"/>
            </w:pPr>
          </w:p>
          <w:p w14:paraId="1D06DEFE">
            <w:pPr>
              <w:spacing w:line="360" w:lineRule="auto"/>
              <w:ind w:firstLine="420" w:firstLineChars="200"/>
              <w:jc w:val="center"/>
            </w:pPr>
            <w:r>
              <w:object>
                <v:shape id="_x0000_i1025" o:spt="75" type="#_x0000_t75" style="height:172.1pt;width:392.4pt;" o:ole="t" filled="f" o:preferrelative="t" stroked="f" coordsize="21600,21600">
                  <v:path/>
                  <v:fill on="f" focussize="0,0"/>
                  <v:stroke on="f" joinstyle="miter"/>
                  <v:imagedata r:id="rId11" croptop="10044f" cropright="26394f" cropbottom="20280f" o:title=""/>
                  <o:lock v:ext="edit" aspectratio="t"/>
                  <w10:wrap type="none"/>
                  <w10:anchorlock/>
                </v:shape>
                <o:OLEObject Type="Embed" ProgID="AutoCAD.Drawing.17" ShapeID="_x0000_i1025" DrawAspect="Content" ObjectID="_1468075725" r:id="rId10">
                  <o:LockedField>false</o:LockedField>
                </o:OLEObject>
              </w:object>
            </w:r>
          </w:p>
          <w:p w14:paraId="2BA57D28">
            <w:pPr>
              <w:spacing w:line="360" w:lineRule="auto"/>
              <w:ind w:firstLine="480" w:firstLineChars="200"/>
              <w:jc w:val="center"/>
              <w:rPr>
                <w:sz w:val="24"/>
              </w:rPr>
            </w:pPr>
            <w:r>
              <w:rPr>
                <w:sz w:val="24"/>
              </w:rPr>
              <w:t>图</w:t>
            </w:r>
            <w:r>
              <w:rPr>
                <w:rFonts w:hint="eastAsia"/>
                <w:sz w:val="24"/>
              </w:rPr>
              <w:t>2</w:t>
            </w:r>
            <w:r>
              <w:rPr>
                <w:sz w:val="24"/>
              </w:rPr>
              <w:t>-2加油站工艺流程图</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045"/>
              <w:gridCol w:w="2395"/>
              <w:gridCol w:w="944"/>
              <w:gridCol w:w="1134"/>
              <w:gridCol w:w="2284"/>
            </w:tblGrid>
            <w:tr w14:paraId="7144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blHeader/>
                <w:jc w:val="center"/>
              </w:trPr>
              <w:tc>
                <w:tcPr>
                  <w:tcW w:w="8710" w:type="dxa"/>
                  <w:gridSpan w:val="6"/>
                  <w:vAlign w:val="center"/>
                </w:tcPr>
                <w:p w14:paraId="06BF3AEE">
                  <w:pPr>
                    <w:jc w:val="center"/>
                    <w:rPr>
                      <w:b/>
                      <w:szCs w:val="21"/>
                    </w:rPr>
                  </w:pPr>
                  <w:r>
                    <w:rPr>
                      <w:b/>
                      <w:szCs w:val="21"/>
                    </w:rPr>
                    <w:t>加油流程设施、设备说明</w:t>
                  </w:r>
                </w:p>
              </w:tc>
            </w:tr>
            <w:tr w14:paraId="5FB3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blHeader/>
                <w:jc w:val="center"/>
              </w:trPr>
              <w:tc>
                <w:tcPr>
                  <w:tcW w:w="908" w:type="dxa"/>
                  <w:vAlign w:val="center"/>
                </w:tcPr>
                <w:p w14:paraId="6A7B70DD">
                  <w:pPr>
                    <w:jc w:val="center"/>
                    <w:rPr>
                      <w:b/>
                      <w:szCs w:val="21"/>
                    </w:rPr>
                  </w:pPr>
                  <w:r>
                    <w:rPr>
                      <w:b/>
                      <w:szCs w:val="21"/>
                    </w:rPr>
                    <w:t>序号</w:t>
                  </w:r>
                </w:p>
              </w:tc>
              <w:tc>
                <w:tcPr>
                  <w:tcW w:w="1045" w:type="dxa"/>
                  <w:vAlign w:val="center"/>
                </w:tcPr>
                <w:p w14:paraId="1CA5C918">
                  <w:pPr>
                    <w:jc w:val="center"/>
                    <w:rPr>
                      <w:b/>
                      <w:szCs w:val="21"/>
                    </w:rPr>
                  </w:pPr>
                  <w:r>
                    <w:rPr>
                      <w:b/>
                      <w:szCs w:val="21"/>
                    </w:rPr>
                    <w:t>标注</w:t>
                  </w:r>
                </w:p>
              </w:tc>
              <w:tc>
                <w:tcPr>
                  <w:tcW w:w="2395" w:type="dxa"/>
                  <w:vAlign w:val="center"/>
                </w:tcPr>
                <w:p w14:paraId="1F206C65">
                  <w:pPr>
                    <w:jc w:val="center"/>
                    <w:rPr>
                      <w:b/>
                      <w:szCs w:val="21"/>
                    </w:rPr>
                  </w:pPr>
                  <w:r>
                    <w:rPr>
                      <w:b/>
                      <w:szCs w:val="21"/>
                    </w:rPr>
                    <w:t>设施、设备名称</w:t>
                  </w:r>
                </w:p>
              </w:tc>
              <w:tc>
                <w:tcPr>
                  <w:tcW w:w="944" w:type="dxa"/>
                  <w:vAlign w:val="center"/>
                </w:tcPr>
                <w:p w14:paraId="39EB2DE4">
                  <w:pPr>
                    <w:jc w:val="center"/>
                    <w:rPr>
                      <w:b/>
                      <w:szCs w:val="21"/>
                    </w:rPr>
                  </w:pPr>
                  <w:r>
                    <w:rPr>
                      <w:b/>
                      <w:szCs w:val="21"/>
                    </w:rPr>
                    <w:t>序号</w:t>
                  </w:r>
                </w:p>
              </w:tc>
              <w:tc>
                <w:tcPr>
                  <w:tcW w:w="1134" w:type="dxa"/>
                  <w:vAlign w:val="center"/>
                </w:tcPr>
                <w:p w14:paraId="0E4C5D72">
                  <w:pPr>
                    <w:jc w:val="center"/>
                    <w:rPr>
                      <w:b/>
                      <w:szCs w:val="21"/>
                    </w:rPr>
                  </w:pPr>
                  <w:r>
                    <w:rPr>
                      <w:b/>
                      <w:szCs w:val="21"/>
                    </w:rPr>
                    <w:t>标注</w:t>
                  </w:r>
                </w:p>
              </w:tc>
              <w:tc>
                <w:tcPr>
                  <w:tcW w:w="2284" w:type="dxa"/>
                  <w:vAlign w:val="center"/>
                </w:tcPr>
                <w:p w14:paraId="22A99B2F">
                  <w:pPr>
                    <w:jc w:val="center"/>
                    <w:rPr>
                      <w:b/>
                      <w:szCs w:val="21"/>
                    </w:rPr>
                  </w:pPr>
                  <w:r>
                    <w:rPr>
                      <w:b/>
                      <w:szCs w:val="21"/>
                    </w:rPr>
                    <w:t>设施、设备名称</w:t>
                  </w:r>
                </w:p>
              </w:tc>
            </w:tr>
            <w:tr w14:paraId="4B98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8" w:type="dxa"/>
                  <w:vAlign w:val="center"/>
                </w:tcPr>
                <w:p w14:paraId="74E4B754">
                  <w:pPr>
                    <w:jc w:val="center"/>
                    <w:rPr>
                      <w:szCs w:val="21"/>
                    </w:rPr>
                  </w:pPr>
                  <w:r>
                    <w:rPr>
                      <w:szCs w:val="21"/>
                    </w:rPr>
                    <w:t>1</w:t>
                  </w:r>
                </w:p>
              </w:tc>
              <w:tc>
                <w:tcPr>
                  <w:tcW w:w="1045" w:type="dxa"/>
                  <w:vAlign w:val="center"/>
                </w:tcPr>
                <w:p w14:paraId="055A0E33">
                  <w:pPr>
                    <w:numPr>
                      <w:ilvl w:val="0"/>
                      <w:numId w:val="3"/>
                    </w:numPr>
                    <w:jc w:val="center"/>
                    <w:rPr>
                      <w:szCs w:val="21"/>
                    </w:rPr>
                  </w:pPr>
                </w:p>
              </w:tc>
              <w:tc>
                <w:tcPr>
                  <w:tcW w:w="2395" w:type="dxa"/>
                  <w:vAlign w:val="center"/>
                </w:tcPr>
                <w:p w14:paraId="6ADF7797">
                  <w:pPr>
                    <w:jc w:val="center"/>
                    <w:rPr>
                      <w:szCs w:val="21"/>
                    </w:rPr>
                  </w:pPr>
                  <w:r>
                    <w:rPr>
                      <w:szCs w:val="21"/>
                    </w:rPr>
                    <w:t>油罐车</w:t>
                  </w:r>
                </w:p>
              </w:tc>
              <w:tc>
                <w:tcPr>
                  <w:tcW w:w="944" w:type="dxa"/>
                  <w:vAlign w:val="center"/>
                </w:tcPr>
                <w:p w14:paraId="19FBDD7C">
                  <w:pPr>
                    <w:jc w:val="center"/>
                    <w:rPr>
                      <w:szCs w:val="21"/>
                    </w:rPr>
                  </w:pPr>
                  <w:r>
                    <w:rPr>
                      <w:szCs w:val="21"/>
                    </w:rPr>
                    <w:t>7</w:t>
                  </w:r>
                </w:p>
              </w:tc>
              <w:tc>
                <w:tcPr>
                  <w:tcW w:w="1134" w:type="dxa"/>
                  <w:vAlign w:val="center"/>
                </w:tcPr>
                <w:p w14:paraId="6E6C9AD0">
                  <w:pPr>
                    <w:jc w:val="center"/>
                    <w:rPr>
                      <w:szCs w:val="21"/>
                    </w:rPr>
                  </w:pPr>
                  <w:r>
                    <w:rPr>
                      <w:szCs w:val="21"/>
                    </w:rPr>
                    <w:t>⑦</w:t>
                  </w:r>
                </w:p>
              </w:tc>
              <w:tc>
                <w:tcPr>
                  <w:tcW w:w="2284" w:type="dxa"/>
                  <w:vAlign w:val="center"/>
                </w:tcPr>
                <w:p w14:paraId="577C0350">
                  <w:pPr>
                    <w:jc w:val="center"/>
                    <w:rPr>
                      <w:szCs w:val="21"/>
                    </w:rPr>
                  </w:pPr>
                  <w:r>
                    <w:rPr>
                      <w:szCs w:val="21"/>
                    </w:rPr>
                    <w:t>输油管</w:t>
                  </w:r>
                </w:p>
              </w:tc>
            </w:tr>
            <w:tr w14:paraId="3F61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08" w:type="dxa"/>
                  <w:vAlign w:val="center"/>
                </w:tcPr>
                <w:p w14:paraId="226B5C1B">
                  <w:pPr>
                    <w:jc w:val="center"/>
                    <w:rPr>
                      <w:szCs w:val="21"/>
                    </w:rPr>
                  </w:pPr>
                  <w:r>
                    <w:rPr>
                      <w:szCs w:val="21"/>
                    </w:rPr>
                    <w:t>2</w:t>
                  </w:r>
                </w:p>
              </w:tc>
              <w:tc>
                <w:tcPr>
                  <w:tcW w:w="1045" w:type="dxa"/>
                  <w:vAlign w:val="center"/>
                </w:tcPr>
                <w:p w14:paraId="0BB92CA3">
                  <w:pPr>
                    <w:numPr>
                      <w:ilvl w:val="0"/>
                      <w:numId w:val="3"/>
                    </w:numPr>
                    <w:jc w:val="center"/>
                    <w:rPr>
                      <w:szCs w:val="21"/>
                    </w:rPr>
                  </w:pPr>
                </w:p>
              </w:tc>
              <w:tc>
                <w:tcPr>
                  <w:tcW w:w="2395" w:type="dxa"/>
                  <w:vAlign w:val="center"/>
                </w:tcPr>
                <w:p w14:paraId="59F21EDD">
                  <w:pPr>
                    <w:jc w:val="center"/>
                    <w:rPr>
                      <w:szCs w:val="21"/>
                    </w:rPr>
                  </w:pPr>
                  <w:r>
                    <w:rPr>
                      <w:szCs w:val="21"/>
                    </w:rPr>
                    <w:t>油罐车卸油管</w:t>
                  </w:r>
                </w:p>
              </w:tc>
              <w:tc>
                <w:tcPr>
                  <w:tcW w:w="944" w:type="dxa"/>
                  <w:vAlign w:val="center"/>
                </w:tcPr>
                <w:p w14:paraId="3896E039">
                  <w:pPr>
                    <w:jc w:val="center"/>
                    <w:rPr>
                      <w:szCs w:val="21"/>
                    </w:rPr>
                  </w:pPr>
                  <w:r>
                    <w:rPr>
                      <w:szCs w:val="21"/>
                    </w:rPr>
                    <w:t>8</w:t>
                  </w:r>
                </w:p>
              </w:tc>
              <w:tc>
                <w:tcPr>
                  <w:tcW w:w="1134" w:type="dxa"/>
                  <w:vAlign w:val="center"/>
                </w:tcPr>
                <w:p w14:paraId="0F24BFAE">
                  <w:pPr>
                    <w:jc w:val="center"/>
                    <w:rPr>
                      <w:szCs w:val="21"/>
                    </w:rPr>
                  </w:pPr>
                  <w:r>
                    <w:rPr>
                      <w:szCs w:val="21"/>
                    </w:rPr>
                    <w:t>⑧</w:t>
                  </w:r>
                </w:p>
              </w:tc>
              <w:tc>
                <w:tcPr>
                  <w:tcW w:w="2284" w:type="dxa"/>
                  <w:vAlign w:val="center"/>
                </w:tcPr>
                <w:p w14:paraId="0FDA28F1">
                  <w:pPr>
                    <w:jc w:val="center"/>
                    <w:rPr>
                      <w:szCs w:val="21"/>
                    </w:rPr>
                  </w:pPr>
                  <w:r>
                    <w:rPr>
                      <w:szCs w:val="21"/>
                    </w:rPr>
                    <w:t>加油机</w:t>
                  </w:r>
                </w:p>
              </w:tc>
            </w:tr>
            <w:tr w14:paraId="53FD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08" w:type="dxa"/>
                  <w:vAlign w:val="center"/>
                </w:tcPr>
                <w:p w14:paraId="14761528">
                  <w:pPr>
                    <w:jc w:val="center"/>
                    <w:rPr>
                      <w:szCs w:val="21"/>
                    </w:rPr>
                  </w:pPr>
                  <w:r>
                    <w:rPr>
                      <w:szCs w:val="21"/>
                    </w:rPr>
                    <w:t>3</w:t>
                  </w:r>
                </w:p>
              </w:tc>
              <w:tc>
                <w:tcPr>
                  <w:tcW w:w="1045" w:type="dxa"/>
                  <w:vAlign w:val="center"/>
                </w:tcPr>
                <w:p w14:paraId="11166A03">
                  <w:pPr>
                    <w:numPr>
                      <w:ilvl w:val="0"/>
                      <w:numId w:val="3"/>
                    </w:numPr>
                    <w:jc w:val="center"/>
                    <w:rPr>
                      <w:szCs w:val="21"/>
                    </w:rPr>
                  </w:pPr>
                </w:p>
              </w:tc>
              <w:tc>
                <w:tcPr>
                  <w:tcW w:w="2395" w:type="dxa"/>
                  <w:vAlign w:val="center"/>
                </w:tcPr>
                <w:p w14:paraId="23EDBDB3">
                  <w:pPr>
                    <w:jc w:val="center"/>
                    <w:rPr>
                      <w:szCs w:val="21"/>
                    </w:rPr>
                  </w:pPr>
                  <w:r>
                    <w:rPr>
                      <w:szCs w:val="21"/>
                    </w:rPr>
                    <w:t>密闭卸油点</w:t>
                  </w:r>
                </w:p>
              </w:tc>
              <w:tc>
                <w:tcPr>
                  <w:tcW w:w="944" w:type="dxa"/>
                  <w:vAlign w:val="center"/>
                </w:tcPr>
                <w:p w14:paraId="72932FE0">
                  <w:pPr>
                    <w:jc w:val="center"/>
                    <w:rPr>
                      <w:szCs w:val="21"/>
                    </w:rPr>
                  </w:pPr>
                  <w:r>
                    <w:rPr>
                      <w:szCs w:val="21"/>
                    </w:rPr>
                    <w:t>9</w:t>
                  </w:r>
                </w:p>
              </w:tc>
              <w:tc>
                <w:tcPr>
                  <w:tcW w:w="1134" w:type="dxa"/>
                  <w:vAlign w:val="center"/>
                </w:tcPr>
                <w:p w14:paraId="13A098E4">
                  <w:pPr>
                    <w:jc w:val="center"/>
                    <w:rPr>
                      <w:szCs w:val="21"/>
                    </w:rPr>
                  </w:pPr>
                  <w:r>
                    <w:rPr>
                      <w:szCs w:val="21"/>
                    </w:rPr>
                    <w:t>⑨</w:t>
                  </w:r>
                </w:p>
              </w:tc>
              <w:tc>
                <w:tcPr>
                  <w:tcW w:w="2284" w:type="dxa"/>
                  <w:vAlign w:val="center"/>
                </w:tcPr>
                <w:p w14:paraId="131627B1">
                  <w:pPr>
                    <w:jc w:val="center"/>
                    <w:rPr>
                      <w:szCs w:val="21"/>
                    </w:rPr>
                  </w:pPr>
                  <w:r>
                    <w:rPr>
                      <w:szCs w:val="21"/>
                    </w:rPr>
                    <w:t>加油管</w:t>
                  </w:r>
                </w:p>
              </w:tc>
            </w:tr>
            <w:tr w14:paraId="5C5B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908" w:type="dxa"/>
                  <w:vAlign w:val="center"/>
                </w:tcPr>
                <w:p w14:paraId="3AA59CC0">
                  <w:pPr>
                    <w:jc w:val="center"/>
                    <w:rPr>
                      <w:szCs w:val="21"/>
                    </w:rPr>
                  </w:pPr>
                  <w:r>
                    <w:rPr>
                      <w:szCs w:val="21"/>
                    </w:rPr>
                    <w:t>4</w:t>
                  </w:r>
                </w:p>
              </w:tc>
              <w:tc>
                <w:tcPr>
                  <w:tcW w:w="1045" w:type="dxa"/>
                  <w:vAlign w:val="center"/>
                </w:tcPr>
                <w:p w14:paraId="7E7B4A29">
                  <w:pPr>
                    <w:numPr>
                      <w:ilvl w:val="0"/>
                      <w:numId w:val="3"/>
                    </w:numPr>
                    <w:jc w:val="center"/>
                    <w:rPr>
                      <w:szCs w:val="21"/>
                    </w:rPr>
                  </w:pPr>
                </w:p>
              </w:tc>
              <w:tc>
                <w:tcPr>
                  <w:tcW w:w="2395" w:type="dxa"/>
                  <w:vAlign w:val="center"/>
                </w:tcPr>
                <w:p w14:paraId="5AD913FC">
                  <w:pPr>
                    <w:jc w:val="center"/>
                    <w:rPr>
                      <w:szCs w:val="21"/>
                    </w:rPr>
                  </w:pPr>
                  <w:r>
                    <w:rPr>
                      <w:szCs w:val="21"/>
                    </w:rPr>
                    <w:t>操作井</w:t>
                  </w:r>
                </w:p>
              </w:tc>
              <w:tc>
                <w:tcPr>
                  <w:tcW w:w="944" w:type="dxa"/>
                  <w:vAlign w:val="center"/>
                </w:tcPr>
                <w:p w14:paraId="54E08595">
                  <w:pPr>
                    <w:jc w:val="center"/>
                    <w:rPr>
                      <w:szCs w:val="21"/>
                    </w:rPr>
                  </w:pPr>
                  <w:r>
                    <w:rPr>
                      <w:szCs w:val="21"/>
                    </w:rPr>
                    <w:t>10</w:t>
                  </w:r>
                </w:p>
              </w:tc>
              <w:tc>
                <w:tcPr>
                  <w:tcW w:w="1134" w:type="dxa"/>
                  <w:vAlign w:val="center"/>
                </w:tcPr>
                <w:p w14:paraId="44719991">
                  <w:pPr>
                    <w:jc w:val="center"/>
                    <w:rPr>
                      <w:szCs w:val="21"/>
                    </w:rPr>
                  </w:pPr>
                  <w:r>
                    <w:rPr>
                      <w:szCs w:val="21"/>
                    </w:rPr>
                    <w:t>⑩</w:t>
                  </w:r>
                </w:p>
              </w:tc>
              <w:tc>
                <w:tcPr>
                  <w:tcW w:w="2284" w:type="dxa"/>
                  <w:vAlign w:val="center"/>
                </w:tcPr>
                <w:p w14:paraId="551D33DB">
                  <w:pPr>
                    <w:jc w:val="center"/>
                    <w:rPr>
                      <w:szCs w:val="21"/>
                    </w:rPr>
                  </w:pPr>
                  <w:r>
                    <w:rPr>
                      <w:szCs w:val="21"/>
                    </w:rPr>
                    <w:t>加油车辆</w:t>
                  </w:r>
                </w:p>
              </w:tc>
            </w:tr>
            <w:tr w14:paraId="20AD7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908" w:type="dxa"/>
                  <w:vAlign w:val="center"/>
                </w:tcPr>
                <w:p w14:paraId="30D1AE6D">
                  <w:pPr>
                    <w:jc w:val="center"/>
                    <w:rPr>
                      <w:szCs w:val="21"/>
                    </w:rPr>
                  </w:pPr>
                  <w:r>
                    <w:rPr>
                      <w:szCs w:val="21"/>
                    </w:rPr>
                    <w:t>5</w:t>
                  </w:r>
                </w:p>
              </w:tc>
              <w:tc>
                <w:tcPr>
                  <w:tcW w:w="1045" w:type="dxa"/>
                  <w:vAlign w:val="center"/>
                </w:tcPr>
                <w:p w14:paraId="771D6728">
                  <w:pPr>
                    <w:numPr>
                      <w:ilvl w:val="0"/>
                      <w:numId w:val="3"/>
                    </w:numPr>
                    <w:jc w:val="center"/>
                    <w:rPr>
                      <w:szCs w:val="21"/>
                    </w:rPr>
                  </w:pPr>
                </w:p>
              </w:tc>
              <w:tc>
                <w:tcPr>
                  <w:tcW w:w="2395" w:type="dxa"/>
                  <w:vAlign w:val="center"/>
                </w:tcPr>
                <w:p w14:paraId="3E0B6863">
                  <w:pPr>
                    <w:jc w:val="center"/>
                    <w:rPr>
                      <w:szCs w:val="21"/>
                    </w:rPr>
                  </w:pPr>
                  <w:r>
                    <w:rPr>
                      <w:szCs w:val="21"/>
                    </w:rPr>
                    <w:t>通气管</w:t>
                  </w:r>
                </w:p>
              </w:tc>
              <w:tc>
                <w:tcPr>
                  <w:tcW w:w="944" w:type="dxa"/>
                  <w:vAlign w:val="center"/>
                </w:tcPr>
                <w:p w14:paraId="56B0655F">
                  <w:pPr>
                    <w:jc w:val="center"/>
                    <w:rPr>
                      <w:szCs w:val="21"/>
                    </w:rPr>
                  </w:pPr>
                  <w:r>
                    <w:rPr>
                      <w:szCs w:val="21"/>
                    </w:rPr>
                    <w:t>11</w:t>
                  </w:r>
                </w:p>
              </w:tc>
              <w:tc>
                <w:tcPr>
                  <w:tcW w:w="1134" w:type="dxa"/>
                  <w:vAlign w:val="center"/>
                </w:tcPr>
                <w:p w14:paraId="482DCB52">
                  <w:pPr>
                    <w:jc w:val="center"/>
                    <w:rPr>
                      <w:szCs w:val="21"/>
                    </w:rPr>
                  </w:pPr>
                  <w:r>
                    <w:rPr>
                      <w:szCs w:val="21"/>
                    </w:rPr>
                    <w:fldChar w:fldCharType="begin"/>
                  </w:r>
                  <w:r>
                    <w:rPr>
                      <w:szCs w:val="21"/>
                    </w:rPr>
                    <w:instrText xml:space="preserve"> eq \o\ac(</w:instrText>
                  </w:r>
                  <w:r>
                    <w:rPr>
                      <w:position w:val="-4"/>
                      <w:sz w:val="31"/>
                      <w:szCs w:val="21"/>
                    </w:rPr>
                    <w:instrText xml:space="preserve">○</w:instrText>
                  </w:r>
                  <w:r>
                    <w:rPr>
                      <w:szCs w:val="21"/>
                    </w:rPr>
                    <w:instrText xml:space="preserve">,11)</w:instrText>
                  </w:r>
                  <w:r>
                    <w:rPr>
                      <w:szCs w:val="21"/>
                    </w:rPr>
                    <w:fldChar w:fldCharType="end"/>
                  </w:r>
                </w:p>
              </w:tc>
              <w:tc>
                <w:tcPr>
                  <w:tcW w:w="2284" w:type="dxa"/>
                  <w:vAlign w:val="center"/>
                </w:tcPr>
                <w:p w14:paraId="1FDDF284">
                  <w:pPr>
                    <w:jc w:val="center"/>
                    <w:rPr>
                      <w:szCs w:val="21"/>
                    </w:rPr>
                  </w:pPr>
                  <w:r>
                    <w:rPr>
                      <w:szCs w:val="21"/>
                    </w:rPr>
                    <w:t>站房</w:t>
                  </w:r>
                </w:p>
              </w:tc>
            </w:tr>
            <w:tr w14:paraId="25B5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8" w:type="dxa"/>
                  <w:vAlign w:val="center"/>
                </w:tcPr>
                <w:p w14:paraId="38CB0B1B">
                  <w:pPr>
                    <w:jc w:val="center"/>
                    <w:rPr>
                      <w:szCs w:val="21"/>
                    </w:rPr>
                  </w:pPr>
                  <w:r>
                    <w:rPr>
                      <w:szCs w:val="21"/>
                    </w:rPr>
                    <w:t>6</w:t>
                  </w:r>
                </w:p>
              </w:tc>
              <w:tc>
                <w:tcPr>
                  <w:tcW w:w="1045" w:type="dxa"/>
                  <w:vAlign w:val="center"/>
                </w:tcPr>
                <w:p w14:paraId="6075DBBB">
                  <w:pPr>
                    <w:numPr>
                      <w:ilvl w:val="0"/>
                      <w:numId w:val="3"/>
                    </w:numPr>
                    <w:jc w:val="center"/>
                    <w:rPr>
                      <w:szCs w:val="21"/>
                    </w:rPr>
                  </w:pPr>
                </w:p>
              </w:tc>
              <w:tc>
                <w:tcPr>
                  <w:tcW w:w="2395" w:type="dxa"/>
                  <w:vAlign w:val="center"/>
                </w:tcPr>
                <w:p w14:paraId="247B755E">
                  <w:pPr>
                    <w:jc w:val="center"/>
                    <w:rPr>
                      <w:szCs w:val="21"/>
                    </w:rPr>
                  </w:pPr>
                  <w:r>
                    <w:rPr>
                      <w:szCs w:val="21"/>
                    </w:rPr>
                    <w:t>储油罐</w:t>
                  </w:r>
                </w:p>
              </w:tc>
              <w:tc>
                <w:tcPr>
                  <w:tcW w:w="944" w:type="dxa"/>
                  <w:vAlign w:val="center"/>
                </w:tcPr>
                <w:p w14:paraId="2F526839">
                  <w:pPr>
                    <w:jc w:val="center"/>
                    <w:rPr>
                      <w:szCs w:val="21"/>
                    </w:rPr>
                  </w:pPr>
                </w:p>
              </w:tc>
              <w:tc>
                <w:tcPr>
                  <w:tcW w:w="1134" w:type="dxa"/>
                  <w:vAlign w:val="center"/>
                </w:tcPr>
                <w:p w14:paraId="07751AB8">
                  <w:pPr>
                    <w:jc w:val="center"/>
                    <w:rPr>
                      <w:szCs w:val="21"/>
                    </w:rPr>
                  </w:pPr>
                </w:p>
              </w:tc>
              <w:tc>
                <w:tcPr>
                  <w:tcW w:w="2284" w:type="dxa"/>
                  <w:vAlign w:val="center"/>
                </w:tcPr>
                <w:p w14:paraId="328EA750">
                  <w:pPr>
                    <w:jc w:val="center"/>
                    <w:rPr>
                      <w:szCs w:val="21"/>
                    </w:rPr>
                  </w:pPr>
                </w:p>
              </w:tc>
            </w:tr>
          </w:tbl>
          <w:p w14:paraId="3CB5EA14">
            <w:pPr>
              <w:spacing w:before="120" w:beforeLines="50" w:after="120" w:afterLines="50"/>
              <w:jc w:val="center"/>
              <w:rPr>
                <w:sz w:val="24"/>
              </w:rPr>
            </w:pPr>
            <w:r>
              <w:drawing>
                <wp:inline distT="0" distB="0" distL="0" distR="0">
                  <wp:extent cx="3854450" cy="214503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a:xfrm>
                            <a:off x="0" y="0"/>
                            <a:ext cx="3854450" cy="2145030"/>
                          </a:xfrm>
                          <a:prstGeom prst="rect">
                            <a:avLst/>
                          </a:prstGeom>
                          <a:noFill/>
                          <a:ln w="9525">
                            <a:noFill/>
                            <a:miter lim="800000"/>
                            <a:headEnd/>
                            <a:tailEnd/>
                          </a:ln>
                          <a:effectLst/>
                        </pic:spPr>
                      </pic:pic>
                    </a:graphicData>
                  </a:graphic>
                </wp:inline>
              </w:drawing>
            </w:r>
          </w:p>
          <w:p w14:paraId="29E1C72D">
            <w:pPr>
              <w:spacing w:before="120" w:beforeLines="50" w:after="120" w:afterLines="50"/>
              <w:jc w:val="center"/>
              <w:rPr>
                <w:sz w:val="24"/>
              </w:rPr>
            </w:pPr>
            <w:r>
              <w:rPr>
                <w:sz w:val="24"/>
              </w:rPr>
              <w:t>图</w:t>
            </w:r>
            <w:r>
              <w:rPr>
                <w:rFonts w:hint="eastAsia"/>
                <w:sz w:val="24"/>
              </w:rPr>
              <w:t>2</w:t>
            </w:r>
            <w:r>
              <w:rPr>
                <w:sz w:val="24"/>
              </w:rPr>
              <w:t>-3 加油站汽油卸油油气回收系统示意图</w:t>
            </w:r>
          </w:p>
          <w:p w14:paraId="55A2CEE1">
            <w:pPr>
              <w:spacing w:before="120" w:beforeLines="50" w:after="120" w:afterLines="50"/>
              <w:jc w:val="center"/>
              <w:rPr>
                <w:sz w:val="24"/>
              </w:rPr>
            </w:pPr>
            <w:r>
              <w:drawing>
                <wp:inline distT="0" distB="0" distL="0" distR="0">
                  <wp:extent cx="3021330" cy="174244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a:xfrm>
                            <a:off x="0" y="0"/>
                            <a:ext cx="3021330" cy="1742440"/>
                          </a:xfrm>
                          <a:prstGeom prst="rect">
                            <a:avLst/>
                          </a:prstGeom>
                          <a:noFill/>
                          <a:ln w="9525">
                            <a:noFill/>
                            <a:miter lim="800000"/>
                            <a:headEnd/>
                            <a:tailEnd/>
                          </a:ln>
                          <a:effectLst/>
                        </pic:spPr>
                      </pic:pic>
                    </a:graphicData>
                  </a:graphic>
                </wp:inline>
              </w:drawing>
            </w:r>
          </w:p>
          <w:p w14:paraId="61E77D28">
            <w:pPr>
              <w:spacing w:before="240" w:beforeLines="100" w:after="120" w:afterLines="50"/>
              <w:jc w:val="center"/>
              <w:rPr>
                <w:sz w:val="24"/>
              </w:rPr>
            </w:pPr>
            <w:r>
              <w:rPr>
                <w:sz w:val="24"/>
              </w:rPr>
              <w:t>图</w:t>
            </w:r>
            <w:r>
              <w:rPr>
                <w:rFonts w:hint="eastAsia"/>
                <w:sz w:val="24"/>
              </w:rPr>
              <w:t>2</w:t>
            </w:r>
            <w:r>
              <w:rPr>
                <w:sz w:val="24"/>
              </w:rPr>
              <w:t>-4 加油站汽油加油油气回收系统示意图</w:t>
            </w:r>
          </w:p>
          <w:p w14:paraId="08B94532">
            <w:pPr>
              <w:widowControl/>
              <w:spacing w:line="540" w:lineRule="exact"/>
              <w:ind w:firstLine="480" w:firstLineChars="200"/>
              <w:rPr>
                <w:rFonts w:hAnsi="宋体"/>
                <w:snapToGrid w:val="0"/>
                <w:color w:val="000000" w:themeColor="text1"/>
                <w:kern w:val="24"/>
                <w:sz w:val="24"/>
                <w14:textFill>
                  <w14:solidFill>
                    <w14:schemeClr w14:val="tx1"/>
                  </w14:solidFill>
                </w14:textFill>
              </w:rPr>
            </w:pPr>
            <w:bookmarkStart w:id="2" w:name="_Toc169437667"/>
            <w:r>
              <w:rPr>
                <w:rFonts w:hAnsi="宋体"/>
                <w:snapToGrid w:val="0"/>
                <w:color w:val="000000" w:themeColor="text1"/>
                <w:kern w:val="24"/>
                <w:sz w:val="24"/>
                <w14:textFill>
                  <w14:solidFill>
                    <w14:schemeClr w14:val="tx1"/>
                  </w14:solidFill>
                </w14:textFill>
              </w:rPr>
              <w:t>该加油站</w:t>
            </w:r>
            <w:bookmarkEnd w:id="2"/>
            <w:r>
              <w:rPr>
                <w:rFonts w:hAnsi="宋体"/>
                <w:snapToGrid w:val="0"/>
                <w:color w:val="000000" w:themeColor="text1"/>
                <w:kern w:val="24"/>
                <w:sz w:val="24"/>
                <w14:textFill>
                  <w14:solidFill>
                    <w14:schemeClr w14:val="tx1"/>
                  </w14:solidFill>
                </w14:textFill>
              </w:rPr>
              <w:t>工艺主要分为卸油作业和加油作业两部分，拟设置汽油卸油和加油油气回收系统。现分述如下：</w:t>
            </w:r>
          </w:p>
          <w:p w14:paraId="46A04496">
            <w:pPr>
              <w:widowControl/>
              <w:spacing w:line="540" w:lineRule="exact"/>
              <w:ind w:firstLine="480" w:firstLineChars="200"/>
              <w:rPr>
                <w:rFonts w:hAnsi="宋体"/>
                <w:snapToGrid w:val="0"/>
                <w:color w:val="000000" w:themeColor="text1"/>
                <w:kern w:val="24"/>
                <w:sz w:val="24"/>
                <w14:textFill>
                  <w14:solidFill>
                    <w14:schemeClr w14:val="tx1"/>
                  </w14:solidFill>
                </w14:textFill>
              </w:rPr>
            </w:pPr>
            <w:r>
              <w:rPr>
                <w:rFonts w:hAnsi="宋体"/>
                <w:snapToGrid w:val="0"/>
                <w:color w:val="000000" w:themeColor="text1"/>
                <w:kern w:val="24"/>
                <w:sz w:val="24"/>
                <w14:textFill>
                  <w14:solidFill>
                    <w14:schemeClr w14:val="tx1"/>
                  </w14:solidFill>
                </w14:textFill>
              </w:rPr>
              <w:t>（1）卸油工艺简述</w:t>
            </w:r>
          </w:p>
          <w:p w14:paraId="0D741BE4">
            <w:pPr>
              <w:widowControl/>
              <w:spacing w:line="540" w:lineRule="exact"/>
              <w:ind w:firstLine="480" w:firstLineChars="200"/>
              <w:rPr>
                <w:rFonts w:hAnsi="宋体"/>
                <w:snapToGrid w:val="0"/>
                <w:color w:val="000000" w:themeColor="text1"/>
                <w:kern w:val="24"/>
                <w:sz w:val="24"/>
                <w14:textFill>
                  <w14:solidFill>
                    <w14:schemeClr w14:val="tx1"/>
                  </w14:solidFill>
                </w14:textFill>
              </w:rPr>
            </w:pPr>
            <w:r>
              <w:rPr>
                <w:rFonts w:hAnsi="宋体"/>
                <w:snapToGrid w:val="0"/>
                <w:color w:val="000000" w:themeColor="text1"/>
                <w:kern w:val="24"/>
                <w:sz w:val="24"/>
                <w14:textFill>
                  <w14:solidFill>
                    <w14:schemeClr w14:val="tx1"/>
                  </w14:solidFill>
                </w14:textFill>
              </w:rPr>
              <w:t>汽油、柴油均由油罐车运入站内，分别通过各自的管道以密闭方式卸入相应储罐。</w:t>
            </w:r>
          </w:p>
          <w:p w14:paraId="3A5EB4CC">
            <w:pPr>
              <w:widowControl/>
              <w:spacing w:line="540" w:lineRule="exact"/>
              <w:ind w:firstLine="480" w:firstLineChars="200"/>
              <w:rPr>
                <w:rFonts w:hAnsi="宋体"/>
                <w:snapToGrid w:val="0"/>
                <w:color w:val="000000" w:themeColor="text1"/>
                <w:kern w:val="24"/>
                <w:sz w:val="24"/>
                <w14:textFill>
                  <w14:solidFill>
                    <w14:schemeClr w14:val="tx1"/>
                  </w14:solidFill>
                </w14:textFill>
              </w:rPr>
            </w:pPr>
            <w:r>
              <w:rPr>
                <w:rFonts w:hAnsi="宋体"/>
                <w:snapToGrid w:val="0"/>
                <w:color w:val="000000" w:themeColor="text1"/>
                <w:kern w:val="24"/>
                <w:sz w:val="24"/>
                <w14:textFill>
                  <w14:solidFill>
                    <w14:schemeClr w14:val="tx1"/>
                  </w14:solidFill>
                </w14:textFill>
              </w:rPr>
              <w:t>1）汽油卸油：加油站油品经槽车运至站内，静置15-20分钟，利用位差将汽油输送至汽油贮罐内储存，卸油方式采用密闭式卸油方式。卸油时检查接地装置，接好接地线，并将消防器材准备到位。连接罐车出油口和罐区对应的卸油口，油气回收软管连接罐车油气回收口和卸油口的油气回收管道接口，检查连接是否紧固，关闭通气管上手动球阀，开始卸油。卸油完毕，拆除卸油软管、油气回收软管，打开通气管上手动球阀。</w:t>
            </w:r>
          </w:p>
          <w:p w14:paraId="5E4ACE13">
            <w:pPr>
              <w:widowControl/>
              <w:spacing w:line="540" w:lineRule="exact"/>
              <w:ind w:firstLine="480" w:firstLineChars="200"/>
              <w:rPr>
                <w:rFonts w:hAnsi="宋体"/>
                <w:snapToGrid w:val="0"/>
                <w:color w:val="000000" w:themeColor="text1"/>
                <w:kern w:val="24"/>
                <w:sz w:val="24"/>
                <w14:textFill>
                  <w14:solidFill>
                    <w14:schemeClr w14:val="tx1"/>
                  </w14:solidFill>
                </w14:textFill>
              </w:rPr>
            </w:pPr>
            <w:r>
              <w:rPr>
                <w:rFonts w:hAnsi="宋体"/>
                <w:snapToGrid w:val="0"/>
                <w:color w:val="000000" w:themeColor="text1"/>
                <w:kern w:val="24"/>
                <w:sz w:val="24"/>
                <w14:textFill>
                  <w14:solidFill>
                    <w14:schemeClr w14:val="tx1"/>
                  </w14:solidFill>
                </w14:textFill>
              </w:rPr>
              <w:t>该加油站拟设卸油油气回收系统（一次油气回收）。汽油卸油油气回收过程如下：油罐车在卸油时，油罐车内压力减小，地下储罐内压力增加，地下储罐与油罐车内的压力差，使卸油过程中挥发的油气通过管线回到油罐车内，待卸油结束，地下储罐与油罐车内压力达到平衡状态，卸油油气回收阶段结束。</w:t>
            </w:r>
          </w:p>
          <w:p w14:paraId="76D0922E">
            <w:pPr>
              <w:widowControl/>
              <w:spacing w:line="540" w:lineRule="exact"/>
              <w:ind w:firstLine="480" w:firstLineChars="200"/>
              <w:rPr>
                <w:rFonts w:hAnsi="宋体"/>
                <w:snapToGrid w:val="0"/>
                <w:color w:val="000000" w:themeColor="text1"/>
                <w:kern w:val="24"/>
                <w:sz w:val="24"/>
                <w14:textFill>
                  <w14:solidFill>
                    <w14:schemeClr w14:val="tx1"/>
                  </w14:solidFill>
                </w14:textFill>
              </w:rPr>
            </w:pPr>
            <w:r>
              <w:rPr>
                <w:rFonts w:hAnsi="宋体"/>
                <w:snapToGrid w:val="0"/>
                <w:color w:val="000000" w:themeColor="text1"/>
                <w:kern w:val="24"/>
                <w:sz w:val="24"/>
                <w14:textFill>
                  <w14:solidFill>
                    <w14:schemeClr w14:val="tx1"/>
                  </w14:solidFill>
                </w14:textFill>
              </w:rPr>
              <w:t>2）柴油卸油：加油站油品经槽车运至站内。利用液位差将柴油输送至相应柴油贮罐内储存，卸油方式采用密闭式卸油方式。油罐有通气管与大气相通，保证贮罐内为常压储存。卸油时检查接地装置，接好接地线，并将消防器材准备到位。连接罐车出油口和罐区卸油口，检查连接是否紧固。通过自流将柴油卸入柴油油罐。卸油完毕，拆除卸油软管。</w:t>
            </w:r>
          </w:p>
          <w:p w14:paraId="3A84E267">
            <w:pPr>
              <w:widowControl/>
              <w:spacing w:line="540" w:lineRule="exact"/>
              <w:ind w:firstLine="480" w:firstLineChars="200"/>
              <w:rPr>
                <w:rFonts w:hAnsi="宋体"/>
                <w:snapToGrid w:val="0"/>
                <w:color w:val="000000" w:themeColor="text1"/>
                <w:kern w:val="24"/>
                <w:sz w:val="24"/>
                <w14:textFill>
                  <w14:solidFill>
                    <w14:schemeClr w14:val="tx1"/>
                  </w14:solidFill>
                </w14:textFill>
              </w:rPr>
            </w:pPr>
            <w:r>
              <w:rPr>
                <w:rFonts w:hAnsi="宋体"/>
                <w:snapToGrid w:val="0"/>
                <w:color w:val="000000" w:themeColor="text1"/>
                <w:kern w:val="24"/>
                <w:sz w:val="24"/>
                <w14:textFill>
                  <w14:solidFill>
                    <w14:schemeClr w14:val="tx1"/>
                  </w14:solidFill>
                </w14:textFill>
              </w:rPr>
              <w:t>（2）加油工艺简述</w:t>
            </w:r>
          </w:p>
          <w:p w14:paraId="16EE4E48">
            <w:pPr>
              <w:widowControl/>
              <w:spacing w:line="540" w:lineRule="exact"/>
              <w:ind w:firstLine="480" w:firstLineChars="200"/>
              <w:rPr>
                <w:rFonts w:hAnsi="宋体"/>
                <w:snapToGrid w:val="0"/>
                <w:color w:val="000000" w:themeColor="text1"/>
                <w:kern w:val="24"/>
                <w:sz w:val="24"/>
                <w14:textFill>
                  <w14:solidFill>
                    <w14:schemeClr w14:val="tx1"/>
                  </w14:solidFill>
                </w14:textFill>
              </w:rPr>
            </w:pPr>
            <w:r>
              <w:rPr>
                <w:rFonts w:hAnsi="宋体"/>
                <w:snapToGrid w:val="0"/>
                <w:color w:val="000000" w:themeColor="text1"/>
                <w:kern w:val="24"/>
                <w:sz w:val="24"/>
                <w14:textFill>
                  <w14:solidFill>
                    <w14:schemeClr w14:val="tx1"/>
                  </w14:solidFill>
                </w14:textFill>
              </w:rPr>
              <w:t>汽油、柴油分别从各自储罐由潜油泵泵出，经各自管线进入相应加油机，计量输出，加入汽车油箱。</w:t>
            </w:r>
          </w:p>
          <w:p w14:paraId="4F3DD0DC">
            <w:pPr>
              <w:widowControl/>
              <w:spacing w:line="540" w:lineRule="exact"/>
              <w:ind w:firstLine="480" w:firstLineChars="200"/>
              <w:rPr>
                <w:rFonts w:hAnsi="宋体"/>
                <w:snapToGrid w:val="0"/>
                <w:color w:val="000000" w:themeColor="text1"/>
                <w:kern w:val="24"/>
                <w:sz w:val="24"/>
                <w14:textFill>
                  <w14:solidFill>
                    <w14:schemeClr w14:val="tx1"/>
                  </w14:solidFill>
                </w14:textFill>
              </w:rPr>
            </w:pPr>
            <w:r>
              <w:rPr>
                <w:rFonts w:hAnsi="宋体"/>
                <w:snapToGrid w:val="0"/>
                <w:color w:val="000000" w:themeColor="text1"/>
                <w:kern w:val="24"/>
                <w:sz w:val="24"/>
                <w14:textFill>
                  <w14:solidFill>
                    <w14:schemeClr w14:val="tx1"/>
                  </w14:solidFill>
                </w14:textFill>
              </w:rPr>
              <w:t>加油站采用潜油泵式加油机进行加油，油品自埋地油罐通过管道进入加油机，再由加油枪将油品送入汽车油箱或金属受油器内。汽油加油机具有油气回收功能，油气回收管道从加油机引出至汽油罐。车辆加油时，必须停稳熄火后，方可打开汽车油箱口盖或金属受油器盖，然后把加油枪口插在容器内，启动加油机加油。加油完毕后，应尽快将油枪放回托架内，将油箱口盖盖好，汽车离开加油区。</w:t>
            </w:r>
          </w:p>
          <w:p w14:paraId="11826450">
            <w:pPr>
              <w:widowControl/>
              <w:spacing w:line="540" w:lineRule="exact"/>
              <w:ind w:firstLine="480" w:firstLineChars="200"/>
              <w:rPr>
                <w:rFonts w:hAnsi="宋体"/>
                <w:snapToGrid w:val="0"/>
                <w:color w:val="000000" w:themeColor="text1"/>
                <w:kern w:val="24"/>
                <w:sz w:val="24"/>
                <w14:textFill>
                  <w14:solidFill>
                    <w14:schemeClr w14:val="tx1"/>
                  </w14:solidFill>
                </w14:textFill>
              </w:rPr>
            </w:pPr>
            <w:r>
              <w:rPr>
                <w:rFonts w:hAnsi="宋体"/>
                <w:snapToGrid w:val="0"/>
                <w:color w:val="000000" w:themeColor="text1"/>
                <w:kern w:val="24"/>
                <w:sz w:val="24"/>
                <w14:textFill>
                  <w14:solidFill>
                    <w14:schemeClr w14:val="tx1"/>
                  </w14:solidFill>
                </w14:textFill>
              </w:rPr>
              <w:t>该加油站拟设加油油气回收系统（二次油气回收）。汽油加油油气回收系统油气回收过程如下：加油机启动时，通过其内自带的真空泵产生一定真空度，经过加油枪、油气回收管、真空泵等油气回收设备，按照气液比控制在1.0至1.2之间的要求，将加油过程中挥发的油气回收到油罐内。</w:t>
            </w:r>
          </w:p>
          <w:p w14:paraId="524F031D">
            <w:pPr>
              <w:widowControl/>
              <w:spacing w:line="540" w:lineRule="exact"/>
              <w:ind w:firstLine="480" w:firstLineChars="200"/>
              <w:rPr>
                <w:rFonts w:hAnsi="宋体"/>
                <w:snapToGrid w:val="0"/>
                <w:color w:val="000000" w:themeColor="text1"/>
                <w:kern w:val="24"/>
                <w:sz w:val="24"/>
                <w14:textFill>
                  <w14:solidFill>
                    <w14:schemeClr w14:val="tx1"/>
                  </w14:solidFill>
                </w14:textFill>
              </w:rPr>
            </w:pPr>
            <w:r>
              <w:rPr>
                <w:rFonts w:hAnsi="宋体"/>
                <w:snapToGrid w:val="0"/>
                <w:color w:val="000000" w:themeColor="text1"/>
                <w:kern w:val="24"/>
                <w:sz w:val="24"/>
                <w14:textFill>
                  <w14:solidFill>
                    <w14:schemeClr w14:val="tx1"/>
                  </w14:solidFill>
                </w14:textFill>
              </w:rPr>
              <w:t>该加油站技术、工艺为加油站常见工艺技术，技术成熟可靠。</w:t>
            </w:r>
          </w:p>
          <w:p w14:paraId="3C375643">
            <w:pPr>
              <w:spacing w:line="500" w:lineRule="atLeast"/>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其他产污环节分析：</w:t>
            </w:r>
          </w:p>
          <w:p w14:paraId="31F5234E">
            <w:pPr>
              <w:spacing w:line="500" w:lineRule="atLeas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建设项目生产中会产生相应类别的污染物，公辅设施也会产生相应污染物，</w:t>
            </w:r>
            <w:r>
              <w:rPr>
                <w:bCs/>
                <w:color w:val="000000" w:themeColor="text1"/>
                <w:sz w:val="24"/>
                <w14:textFill>
                  <w14:solidFill>
                    <w14:schemeClr w14:val="tx1"/>
                  </w14:solidFill>
                </w14:textFill>
              </w:rPr>
              <w:t>本项目主要产污环节和排污特征见下表</w:t>
            </w:r>
            <w:r>
              <w:rPr>
                <w:rFonts w:hint="eastAsia"/>
                <w:bCs/>
                <w:color w:val="000000" w:themeColor="text1"/>
                <w:sz w:val="24"/>
                <w14:textFill>
                  <w14:solidFill>
                    <w14:schemeClr w14:val="tx1"/>
                  </w14:solidFill>
                </w14:textFill>
              </w:rPr>
              <w:t>：</w:t>
            </w:r>
          </w:p>
          <w:p w14:paraId="24582E72">
            <w:pPr>
              <w:spacing w:line="50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-6主要产污环节一览表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725"/>
              <w:gridCol w:w="1149"/>
              <w:gridCol w:w="5789"/>
            </w:tblGrid>
            <w:tr w14:paraId="58A6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7" w:type="pct"/>
                  <w:vAlign w:val="center"/>
                </w:tcPr>
                <w:p w14:paraId="65FA8D59">
                  <w:pPr>
                    <w:ind w:left="-88" w:leftChars="-42" w:right="-107" w:rightChars="-51"/>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类别</w:t>
                  </w:r>
                </w:p>
              </w:tc>
              <w:tc>
                <w:tcPr>
                  <w:tcW w:w="932" w:type="pct"/>
                  <w:vAlign w:val="center"/>
                </w:tcPr>
                <w:p w14:paraId="580D898A">
                  <w:pPr>
                    <w:ind w:left="-105" w:leftChars="-50" w:right="-107" w:rightChars="-51"/>
                    <w:jc w:val="center"/>
                    <w:rPr>
                      <w:bCs/>
                      <w:color w:val="000000" w:themeColor="text1"/>
                      <w14:textFill>
                        <w14:solidFill>
                          <w14:schemeClr w14:val="tx1"/>
                        </w14:solidFill>
                      </w14:textFill>
                    </w:rPr>
                  </w:pPr>
                  <w:r>
                    <w:rPr>
                      <w:bCs/>
                      <w:color w:val="000000" w:themeColor="text1"/>
                      <w14:textFill>
                        <w14:solidFill>
                          <w14:schemeClr w14:val="tx1"/>
                        </w14:solidFill>
                      </w14:textFill>
                    </w:rPr>
                    <w:t>产生点</w:t>
                  </w:r>
                </w:p>
              </w:tc>
              <w:tc>
                <w:tcPr>
                  <w:tcW w:w="621" w:type="pct"/>
                  <w:vAlign w:val="center"/>
                </w:tcPr>
                <w:p w14:paraId="1A6256CA">
                  <w:pPr>
                    <w:ind w:left="-107" w:leftChars="-51"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w:t>
                  </w:r>
                </w:p>
              </w:tc>
              <w:tc>
                <w:tcPr>
                  <w:tcW w:w="3128" w:type="pct"/>
                  <w:vAlign w:val="center"/>
                </w:tcPr>
                <w:p w14:paraId="49A84D30">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采取的措施及去向</w:t>
                  </w:r>
                </w:p>
              </w:tc>
            </w:tr>
            <w:tr w14:paraId="7CD3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317" w:type="pct"/>
                  <w:vAlign w:val="center"/>
                </w:tcPr>
                <w:p w14:paraId="73834F06">
                  <w:pPr>
                    <w:ind w:left="-107" w:leftChars="-51" w:right="-107" w:rightChars="-51"/>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废气</w:t>
                  </w:r>
                </w:p>
              </w:tc>
              <w:tc>
                <w:tcPr>
                  <w:tcW w:w="932" w:type="pct"/>
                  <w:vAlign w:val="center"/>
                </w:tcPr>
                <w:p w14:paraId="0F7B8A53">
                  <w:pPr>
                    <w:ind w:left="-105" w:leftChars="-50" w:right="-107" w:rightChars="-5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卸油、储油、加油</w:t>
                  </w:r>
                </w:p>
              </w:tc>
              <w:tc>
                <w:tcPr>
                  <w:tcW w:w="621" w:type="pct"/>
                  <w:vAlign w:val="center"/>
                </w:tcPr>
                <w:p w14:paraId="1176506C">
                  <w:pPr>
                    <w:ind w:left="-107" w:leftChars="-51" w:right="-105" w:rightChars="-5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非甲烷总烃</w:t>
                  </w:r>
                </w:p>
              </w:tc>
              <w:tc>
                <w:tcPr>
                  <w:tcW w:w="3128" w:type="pct"/>
                  <w:vAlign w:val="center"/>
                </w:tcPr>
                <w:p w14:paraId="02F7F08B">
                  <w:pPr>
                    <w:ind w:left="-105" w:leftChars="-51" w:right="-73" w:rightChars="-35" w:hanging="2"/>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卸油（大呼吸）产生的非甲烷总烃经密闭管道回流至油罐车内；储油（小呼吸）过程中产生的非甲烷总烃经油气回收系统处理后经罐区中部通气管以无组织形式外排；加油机加油过程中产生的非甲烷总烃经加油枪收集后回流至油罐内。</w:t>
                  </w:r>
                </w:p>
              </w:tc>
            </w:tr>
            <w:tr w14:paraId="1242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7" w:type="pct"/>
                  <w:vAlign w:val="center"/>
                </w:tcPr>
                <w:p w14:paraId="5E827CF2">
                  <w:pPr>
                    <w:ind w:left="-107" w:leftChars="-51" w:right="-107" w:rightChars="-51"/>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噪声</w:t>
                  </w:r>
                </w:p>
              </w:tc>
              <w:tc>
                <w:tcPr>
                  <w:tcW w:w="932" w:type="pct"/>
                  <w:vAlign w:val="center"/>
                </w:tcPr>
                <w:p w14:paraId="4F002A5A">
                  <w:pPr>
                    <w:ind w:left="-105" w:leftChars="-50" w:right="-107" w:rightChars="-51"/>
                    <w:jc w:val="center"/>
                    <w:rPr>
                      <w:bCs/>
                      <w:color w:val="000000" w:themeColor="text1"/>
                      <w14:textFill>
                        <w14:solidFill>
                          <w14:schemeClr w14:val="tx1"/>
                        </w14:solidFill>
                      </w14:textFill>
                    </w:rPr>
                  </w:pPr>
                  <w:r>
                    <w:rPr>
                      <w:bCs/>
                      <w:color w:val="000000" w:themeColor="text1"/>
                      <w14:textFill>
                        <w14:solidFill>
                          <w14:schemeClr w14:val="tx1"/>
                        </w14:solidFill>
                      </w14:textFill>
                    </w:rPr>
                    <w:t>设备运行</w:t>
                  </w:r>
                </w:p>
              </w:tc>
              <w:tc>
                <w:tcPr>
                  <w:tcW w:w="621" w:type="pct"/>
                  <w:vAlign w:val="center"/>
                </w:tcPr>
                <w:p w14:paraId="5465A1C0">
                  <w:pPr>
                    <w:ind w:left="-107" w:leftChars="-51"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噪声</w:t>
                  </w:r>
                </w:p>
              </w:tc>
              <w:tc>
                <w:tcPr>
                  <w:tcW w:w="3128" w:type="pct"/>
                  <w:vAlign w:val="center"/>
                </w:tcPr>
                <w:p w14:paraId="59FB2188">
                  <w:pPr>
                    <w:ind w:left="-105" w:leftChars="-51" w:right="-73" w:rightChars="-35" w:hanging="2"/>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建筑隔声，机座加隔振垫(圈)或设减振器</w:t>
                  </w:r>
                </w:p>
              </w:tc>
            </w:tr>
            <w:tr w14:paraId="6660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7" w:type="pct"/>
                  <w:vMerge w:val="restart"/>
                  <w:vAlign w:val="center"/>
                </w:tcPr>
                <w:p w14:paraId="15E9C738">
                  <w:pPr>
                    <w:ind w:left="-107" w:leftChars="-51" w:right="-107" w:rightChars="-51"/>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固废</w:t>
                  </w:r>
                </w:p>
              </w:tc>
              <w:tc>
                <w:tcPr>
                  <w:tcW w:w="932" w:type="pct"/>
                  <w:vAlign w:val="center"/>
                </w:tcPr>
                <w:p w14:paraId="448C6FEF">
                  <w:pPr>
                    <w:ind w:left="-105" w:leftChars="-50" w:right="-107" w:rightChars="-51"/>
                    <w:jc w:val="center"/>
                    <w:rPr>
                      <w:bCs/>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办公生活</w:t>
                  </w:r>
                </w:p>
              </w:tc>
              <w:tc>
                <w:tcPr>
                  <w:tcW w:w="621" w:type="pct"/>
                  <w:vAlign w:val="center"/>
                </w:tcPr>
                <w:p w14:paraId="5AAEED54">
                  <w:pPr>
                    <w:ind w:left="-107" w:leftChars="-51" w:right="-105" w:rightChars="-5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生活垃圾</w:t>
                  </w:r>
                </w:p>
              </w:tc>
              <w:tc>
                <w:tcPr>
                  <w:tcW w:w="3128" w:type="pct"/>
                  <w:vAlign w:val="center"/>
                </w:tcPr>
                <w:p w14:paraId="03D390A0">
                  <w:pPr>
                    <w:ind w:left="-105" w:leftChars="-51" w:right="-73" w:rightChars="-35" w:hanging="2"/>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环卫清运</w:t>
                  </w:r>
                </w:p>
              </w:tc>
            </w:tr>
            <w:tr w14:paraId="6E393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7" w:type="pct"/>
                  <w:vMerge w:val="continue"/>
                  <w:vAlign w:val="center"/>
                </w:tcPr>
                <w:p w14:paraId="0DE6B3B9">
                  <w:pPr>
                    <w:ind w:left="-107" w:leftChars="-51" w:right="-107" w:rightChars="-51"/>
                    <w:jc w:val="center"/>
                    <w:rPr>
                      <w:bCs/>
                      <w:color w:val="000000" w:themeColor="text1"/>
                      <w:szCs w:val="21"/>
                      <w14:textFill>
                        <w14:solidFill>
                          <w14:schemeClr w14:val="tx1"/>
                        </w14:solidFill>
                      </w14:textFill>
                    </w:rPr>
                  </w:pPr>
                </w:p>
              </w:tc>
              <w:tc>
                <w:tcPr>
                  <w:tcW w:w="932" w:type="pct"/>
                  <w:vAlign w:val="center"/>
                </w:tcPr>
                <w:p w14:paraId="6689660B">
                  <w:pPr>
                    <w:ind w:left="-105" w:leftChars="-50" w:right="-107" w:rightChars="-51"/>
                    <w:jc w:val="center"/>
                    <w:rPr>
                      <w:bCs/>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油罐清理</w:t>
                  </w:r>
                </w:p>
              </w:tc>
              <w:tc>
                <w:tcPr>
                  <w:tcW w:w="621" w:type="pct"/>
                  <w:vAlign w:val="center"/>
                </w:tcPr>
                <w:p w14:paraId="401CA9C9">
                  <w:pPr>
                    <w:ind w:left="-107" w:leftChars="-51" w:right="-105" w:rightChars="-5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含油废液</w:t>
                  </w:r>
                </w:p>
              </w:tc>
              <w:tc>
                <w:tcPr>
                  <w:tcW w:w="3128" w:type="pct"/>
                  <w:vMerge w:val="restart"/>
                  <w:vAlign w:val="center"/>
                </w:tcPr>
                <w:p w14:paraId="26AA4C2D">
                  <w:pPr>
                    <w:ind w:left="-105" w:leftChars="-51" w:right="-73" w:rightChars="-35" w:hanging="2"/>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委托其他公司代为清理，清理后带走处理</w:t>
                  </w:r>
                </w:p>
              </w:tc>
            </w:tr>
            <w:tr w14:paraId="7E30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7" w:type="pct"/>
                  <w:vMerge w:val="continue"/>
                  <w:vAlign w:val="center"/>
                </w:tcPr>
                <w:p w14:paraId="231E0C6A">
                  <w:pPr>
                    <w:ind w:left="-107" w:leftChars="-51" w:right="-107" w:rightChars="-51"/>
                    <w:jc w:val="center"/>
                    <w:rPr>
                      <w:bCs/>
                      <w:color w:val="000000" w:themeColor="text1"/>
                      <w:szCs w:val="21"/>
                      <w14:textFill>
                        <w14:solidFill>
                          <w14:schemeClr w14:val="tx1"/>
                        </w14:solidFill>
                      </w14:textFill>
                    </w:rPr>
                  </w:pPr>
                </w:p>
              </w:tc>
              <w:tc>
                <w:tcPr>
                  <w:tcW w:w="932" w:type="pct"/>
                  <w:vAlign w:val="center"/>
                </w:tcPr>
                <w:p w14:paraId="52CF011E">
                  <w:pPr>
                    <w:ind w:left="-105" w:leftChars="-50" w:right="-107" w:rightChars="-51"/>
                    <w:jc w:val="center"/>
                    <w:rPr>
                      <w:bCs/>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隔油池</w:t>
                  </w:r>
                </w:p>
              </w:tc>
              <w:tc>
                <w:tcPr>
                  <w:tcW w:w="621" w:type="pct"/>
                  <w:vAlign w:val="center"/>
                </w:tcPr>
                <w:p w14:paraId="6A6AC818">
                  <w:pPr>
                    <w:ind w:left="-107" w:leftChars="-51" w:right="-105" w:rightChars="-5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废油</w:t>
                  </w:r>
                </w:p>
              </w:tc>
              <w:tc>
                <w:tcPr>
                  <w:tcW w:w="3128" w:type="pct"/>
                  <w:vMerge w:val="continue"/>
                  <w:vAlign w:val="center"/>
                </w:tcPr>
                <w:p w14:paraId="1D8B25A6">
                  <w:pPr>
                    <w:ind w:left="-105" w:leftChars="-51" w:right="-73" w:rightChars="-35" w:hanging="2"/>
                    <w:jc w:val="center"/>
                    <w:rPr>
                      <w:bCs/>
                      <w:color w:val="000000" w:themeColor="text1"/>
                      <w:szCs w:val="21"/>
                      <w14:textFill>
                        <w14:solidFill>
                          <w14:schemeClr w14:val="tx1"/>
                        </w14:solidFill>
                      </w14:textFill>
                    </w:rPr>
                  </w:pPr>
                </w:p>
              </w:tc>
            </w:tr>
            <w:tr w14:paraId="7F933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7" w:type="pct"/>
                  <w:vMerge w:val="continue"/>
                  <w:vAlign w:val="center"/>
                </w:tcPr>
                <w:p w14:paraId="170E31F9">
                  <w:pPr>
                    <w:ind w:left="-107" w:leftChars="-51" w:right="-107" w:rightChars="-51"/>
                    <w:jc w:val="center"/>
                    <w:rPr>
                      <w:bCs/>
                      <w:color w:val="000000" w:themeColor="text1"/>
                      <w:szCs w:val="21"/>
                      <w14:textFill>
                        <w14:solidFill>
                          <w14:schemeClr w14:val="tx1"/>
                        </w14:solidFill>
                      </w14:textFill>
                    </w:rPr>
                  </w:pPr>
                </w:p>
              </w:tc>
              <w:tc>
                <w:tcPr>
                  <w:tcW w:w="932" w:type="pct"/>
                  <w:vAlign w:val="center"/>
                </w:tcPr>
                <w:p w14:paraId="169FD67B">
                  <w:pPr>
                    <w:ind w:left="-105" w:leftChars="-50" w:right="-107" w:rightChars="-51"/>
                    <w:jc w:val="center"/>
                    <w:rPr>
                      <w:bCs/>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清洁</w:t>
                  </w:r>
                </w:p>
              </w:tc>
              <w:tc>
                <w:tcPr>
                  <w:tcW w:w="621" w:type="pct"/>
                  <w:vAlign w:val="center"/>
                </w:tcPr>
                <w:p w14:paraId="0CF3E8EE">
                  <w:pPr>
                    <w:ind w:left="-107" w:leftChars="-51" w:right="-105" w:rightChars="-5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含油废抹布、含油废手套</w:t>
                  </w:r>
                </w:p>
              </w:tc>
              <w:tc>
                <w:tcPr>
                  <w:tcW w:w="3128" w:type="pct"/>
                  <w:vMerge w:val="restart"/>
                  <w:vAlign w:val="center"/>
                </w:tcPr>
                <w:p w14:paraId="043BA770">
                  <w:pPr>
                    <w:ind w:left="-105" w:leftChars="-51" w:right="-73" w:rightChars="-35" w:hanging="2"/>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暂存后定期委托资质单位代为处置</w:t>
                  </w:r>
                </w:p>
              </w:tc>
            </w:tr>
            <w:tr w14:paraId="2314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7" w:type="pct"/>
                  <w:vMerge w:val="continue"/>
                  <w:vAlign w:val="center"/>
                </w:tcPr>
                <w:p w14:paraId="4DBC4C20">
                  <w:pPr>
                    <w:ind w:left="-107" w:leftChars="-51" w:right="-107" w:rightChars="-51"/>
                    <w:jc w:val="center"/>
                    <w:rPr>
                      <w:bCs/>
                      <w:color w:val="000000" w:themeColor="text1"/>
                      <w:szCs w:val="21"/>
                      <w14:textFill>
                        <w14:solidFill>
                          <w14:schemeClr w14:val="tx1"/>
                        </w14:solidFill>
                      </w14:textFill>
                    </w:rPr>
                  </w:pPr>
                </w:p>
              </w:tc>
              <w:tc>
                <w:tcPr>
                  <w:tcW w:w="932" w:type="pct"/>
                  <w:vAlign w:val="center"/>
                </w:tcPr>
                <w:p w14:paraId="4BC13D6B">
                  <w:pPr>
                    <w:ind w:left="-105" w:leftChars="-50" w:right="-107" w:rightChars="-51"/>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加油机</w:t>
                  </w:r>
                </w:p>
              </w:tc>
              <w:tc>
                <w:tcPr>
                  <w:tcW w:w="621" w:type="pct"/>
                  <w:vAlign w:val="center"/>
                </w:tcPr>
                <w:p w14:paraId="4F5E0AE3">
                  <w:pPr>
                    <w:ind w:left="-107" w:leftChars="-51" w:right="-105" w:rightChars="-5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废过滤网</w:t>
                  </w:r>
                </w:p>
              </w:tc>
              <w:tc>
                <w:tcPr>
                  <w:tcW w:w="3128" w:type="pct"/>
                  <w:vMerge w:val="continue"/>
                  <w:vAlign w:val="center"/>
                </w:tcPr>
                <w:p w14:paraId="65D47836">
                  <w:pPr>
                    <w:ind w:left="-105" w:leftChars="-51" w:right="-73" w:rightChars="-35" w:hanging="2"/>
                    <w:jc w:val="center"/>
                    <w:rPr>
                      <w:bCs/>
                      <w:color w:val="000000" w:themeColor="text1"/>
                      <w:szCs w:val="21"/>
                      <w14:textFill>
                        <w14:solidFill>
                          <w14:schemeClr w14:val="tx1"/>
                        </w14:solidFill>
                      </w14:textFill>
                    </w:rPr>
                  </w:pPr>
                </w:p>
              </w:tc>
            </w:tr>
            <w:tr w14:paraId="676B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317" w:type="pct"/>
                  <w:vMerge w:val="restart"/>
                  <w:vAlign w:val="center"/>
                </w:tcPr>
                <w:p w14:paraId="66E433EC">
                  <w:pPr>
                    <w:ind w:left="-107" w:leftChars="-51" w:right="-107" w:rightChars="-51"/>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废水</w:t>
                  </w:r>
                </w:p>
              </w:tc>
              <w:tc>
                <w:tcPr>
                  <w:tcW w:w="932" w:type="pct"/>
                  <w:vAlign w:val="center"/>
                </w:tcPr>
                <w:p w14:paraId="5BA8D739">
                  <w:pPr>
                    <w:ind w:left="-105" w:leftChars="-50" w:right="-107" w:rightChars="-5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办公</w:t>
                  </w:r>
                </w:p>
              </w:tc>
              <w:tc>
                <w:tcPr>
                  <w:tcW w:w="621" w:type="pct"/>
                  <w:vAlign w:val="center"/>
                </w:tcPr>
                <w:p w14:paraId="77559486">
                  <w:pPr>
                    <w:ind w:left="-107" w:leftChars="-51" w:right="-105" w:rightChars="-5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COD</w:t>
                  </w:r>
                </w:p>
                <w:p w14:paraId="292FCB52">
                  <w:pPr>
                    <w:ind w:left="-107" w:leftChars="-51" w:right="-105" w:rightChars="-5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氨氮</w:t>
                  </w:r>
                </w:p>
                <w:p w14:paraId="2997DF55">
                  <w:pPr>
                    <w:ind w:left="-107" w:leftChars="-51" w:right="-105" w:rightChars="-50"/>
                    <w:jc w:val="cente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SS</w:t>
                  </w:r>
                </w:p>
              </w:tc>
              <w:tc>
                <w:tcPr>
                  <w:tcW w:w="3128" w:type="pct"/>
                  <w:vAlign w:val="center"/>
                </w:tcPr>
                <w:p w14:paraId="425F91DA">
                  <w:pPr>
                    <w:ind w:left="-105" w:leftChars="-51" w:right="-73" w:rightChars="-35" w:hanging="2"/>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经化粪池处理后排</w:t>
                  </w:r>
                  <w:r>
                    <w:rPr>
                      <w:rFonts w:hint="eastAsia"/>
                      <w:bCs/>
                      <w:color w:val="000000" w:themeColor="text1"/>
                      <w:szCs w:val="21"/>
                      <w14:textFill>
                        <w14:solidFill>
                          <w14:schemeClr w14:val="tx1"/>
                        </w14:solidFill>
                      </w14:textFill>
                    </w:rPr>
                    <w:t>入固镇县污水处理厂</w:t>
                  </w:r>
                </w:p>
              </w:tc>
            </w:tr>
            <w:tr w14:paraId="10BB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317" w:type="pct"/>
                  <w:vMerge w:val="continue"/>
                  <w:vAlign w:val="center"/>
                </w:tcPr>
                <w:p w14:paraId="14C7A7D3">
                  <w:pPr>
                    <w:ind w:left="-107" w:leftChars="-51" w:right="-107" w:rightChars="-51"/>
                    <w:jc w:val="center"/>
                    <w:rPr>
                      <w:bCs/>
                      <w:color w:val="000000" w:themeColor="text1"/>
                      <w:szCs w:val="21"/>
                      <w14:textFill>
                        <w14:solidFill>
                          <w14:schemeClr w14:val="tx1"/>
                        </w14:solidFill>
                      </w14:textFill>
                    </w:rPr>
                  </w:pPr>
                </w:p>
              </w:tc>
              <w:tc>
                <w:tcPr>
                  <w:tcW w:w="932" w:type="pct"/>
                  <w:vAlign w:val="center"/>
                </w:tcPr>
                <w:p w14:paraId="4A7E16E7">
                  <w:pPr>
                    <w:ind w:left="-105" w:leftChars="-50" w:right="-107" w:rightChars="-5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地面冲洗水</w:t>
                  </w:r>
                </w:p>
              </w:tc>
              <w:tc>
                <w:tcPr>
                  <w:tcW w:w="621" w:type="pct"/>
                  <w:vAlign w:val="center"/>
                </w:tcPr>
                <w:p w14:paraId="6241802C">
                  <w:pPr>
                    <w:ind w:left="-107" w:leftChars="-51" w:right="-105" w:rightChars="-5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COD</w:t>
                  </w:r>
                </w:p>
                <w:p w14:paraId="05DEF32D">
                  <w:pPr>
                    <w:ind w:left="-107" w:leftChars="-51" w:right="-105" w:rightChars="-5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SS</w:t>
                  </w:r>
                </w:p>
                <w:p w14:paraId="5523BAFF">
                  <w:pPr>
                    <w:ind w:left="-107" w:leftChars="-51" w:right="-105" w:rightChars="-50"/>
                    <w:jc w:val="cente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石油类</w:t>
                  </w:r>
                </w:p>
              </w:tc>
              <w:tc>
                <w:tcPr>
                  <w:tcW w:w="3128" w:type="pct"/>
                  <w:vAlign w:val="center"/>
                </w:tcPr>
                <w:p w14:paraId="56C9A493">
                  <w:pPr>
                    <w:ind w:left="-105" w:leftChars="-51" w:right="-73" w:rightChars="-35" w:hanging="2"/>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经</w:t>
                  </w:r>
                  <w:r>
                    <w:rPr>
                      <w:rFonts w:hint="eastAsia"/>
                      <w:bCs/>
                      <w:color w:val="000000" w:themeColor="text1"/>
                      <w:szCs w:val="21"/>
                      <w14:textFill>
                        <w14:solidFill>
                          <w14:schemeClr w14:val="tx1"/>
                        </w14:solidFill>
                      </w14:textFill>
                    </w:rPr>
                    <w:t>隔油沉淀</w:t>
                  </w:r>
                  <w:r>
                    <w:rPr>
                      <w:bCs/>
                      <w:color w:val="000000" w:themeColor="text1"/>
                      <w:szCs w:val="21"/>
                      <w14:textFill>
                        <w14:solidFill>
                          <w14:schemeClr w14:val="tx1"/>
                        </w14:solidFill>
                      </w14:textFill>
                    </w:rPr>
                    <w:t>池处理后</w:t>
                  </w:r>
                  <w:r>
                    <w:rPr>
                      <w:rFonts w:hint="eastAsia"/>
                      <w:bCs/>
                      <w:color w:val="000000" w:themeColor="text1"/>
                      <w:szCs w:val="21"/>
                      <w14:textFill>
                        <w14:solidFill>
                          <w14:schemeClr w14:val="tx1"/>
                        </w14:solidFill>
                      </w14:textFill>
                    </w:rPr>
                    <w:t>进入化粪池</w:t>
                  </w:r>
                  <w:r>
                    <w:rPr>
                      <w:bCs/>
                      <w:color w:val="000000" w:themeColor="text1"/>
                      <w:szCs w:val="21"/>
                      <w14:textFill>
                        <w14:solidFill>
                          <w14:schemeClr w14:val="tx1"/>
                        </w14:solidFill>
                      </w14:textFill>
                    </w:rPr>
                    <w:t>排</w:t>
                  </w:r>
                  <w:r>
                    <w:rPr>
                      <w:rFonts w:hint="eastAsia"/>
                      <w:bCs/>
                      <w:color w:val="000000" w:themeColor="text1"/>
                      <w:szCs w:val="21"/>
                      <w14:textFill>
                        <w14:solidFill>
                          <w14:schemeClr w14:val="tx1"/>
                        </w14:solidFill>
                      </w14:textFill>
                    </w:rPr>
                    <w:t>入固镇县污水处理厂</w:t>
                  </w:r>
                </w:p>
              </w:tc>
            </w:tr>
          </w:tbl>
          <w:p w14:paraId="01D2C59B">
            <w:pPr>
              <w:widowControl/>
              <w:spacing w:line="400" w:lineRule="exact"/>
              <w:ind w:firstLine="420" w:firstLineChars="200"/>
              <w:rPr>
                <w:snapToGrid w:val="0"/>
                <w:color w:val="000000" w:themeColor="text1"/>
                <w:kern w:val="0"/>
                <w:szCs w:val="21"/>
                <w14:textFill>
                  <w14:solidFill>
                    <w14:schemeClr w14:val="tx1"/>
                  </w14:solidFill>
                </w14:textFill>
              </w:rPr>
            </w:pPr>
          </w:p>
          <w:p w14:paraId="0DF37DAA">
            <w:pPr>
              <w:widowControl/>
              <w:spacing w:line="400" w:lineRule="exact"/>
              <w:ind w:firstLine="420" w:firstLineChars="200"/>
              <w:rPr>
                <w:snapToGrid w:val="0"/>
                <w:color w:val="000000" w:themeColor="text1"/>
                <w:kern w:val="0"/>
                <w:szCs w:val="21"/>
                <w14:textFill>
                  <w14:solidFill>
                    <w14:schemeClr w14:val="tx1"/>
                  </w14:solidFill>
                </w14:textFill>
              </w:rPr>
            </w:pPr>
          </w:p>
          <w:p w14:paraId="512898A2">
            <w:pPr>
              <w:widowControl/>
              <w:spacing w:line="400" w:lineRule="exact"/>
              <w:ind w:firstLine="420" w:firstLineChars="200"/>
              <w:rPr>
                <w:snapToGrid w:val="0"/>
                <w:color w:val="000000" w:themeColor="text1"/>
                <w:kern w:val="0"/>
                <w:szCs w:val="21"/>
                <w14:textFill>
                  <w14:solidFill>
                    <w14:schemeClr w14:val="tx1"/>
                  </w14:solidFill>
                </w14:textFill>
              </w:rPr>
            </w:pPr>
          </w:p>
          <w:p w14:paraId="1D746056">
            <w:pPr>
              <w:widowControl/>
              <w:spacing w:line="400" w:lineRule="exact"/>
              <w:ind w:firstLine="420" w:firstLineChars="200"/>
              <w:rPr>
                <w:snapToGrid w:val="0"/>
                <w:color w:val="000000" w:themeColor="text1"/>
                <w:kern w:val="0"/>
                <w:szCs w:val="21"/>
                <w14:textFill>
                  <w14:solidFill>
                    <w14:schemeClr w14:val="tx1"/>
                  </w14:solidFill>
                </w14:textFill>
              </w:rPr>
            </w:pPr>
          </w:p>
          <w:p w14:paraId="14A082C9">
            <w:pPr>
              <w:widowControl/>
              <w:spacing w:line="400" w:lineRule="exact"/>
              <w:ind w:firstLine="420" w:firstLineChars="200"/>
              <w:rPr>
                <w:snapToGrid w:val="0"/>
                <w:color w:val="000000" w:themeColor="text1"/>
                <w:kern w:val="0"/>
                <w:szCs w:val="21"/>
                <w14:textFill>
                  <w14:solidFill>
                    <w14:schemeClr w14:val="tx1"/>
                  </w14:solidFill>
                </w14:textFill>
              </w:rPr>
            </w:pPr>
          </w:p>
          <w:p w14:paraId="6CC60DB1">
            <w:pPr>
              <w:widowControl/>
              <w:spacing w:line="400" w:lineRule="exact"/>
              <w:ind w:firstLine="420" w:firstLineChars="200"/>
              <w:rPr>
                <w:snapToGrid w:val="0"/>
                <w:color w:val="000000" w:themeColor="text1"/>
                <w:kern w:val="0"/>
                <w:szCs w:val="21"/>
                <w14:textFill>
                  <w14:solidFill>
                    <w14:schemeClr w14:val="tx1"/>
                  </w14:solidFill>
                </w14:textFill>
              </w:rPr>
            </w:pPr>
          </w:p>
          <w:p w14:paraId="050833BE">
            <w:pPr>
              <w:widowControl/>
              <w:spacing w:line="400" w:lineRule="exact"/>
              <w:rPr>
                <w:snapToGrid w:val="0"/>
                <w:color w:val="000000" w:themeColor="text1"/>
                <w:kern w:val="0"/>
                <w:szCs w:val="21"/>
                <w14:textFill>
                  <w14:solidFill>
                    <w14:schemeClr w14:val="tx1"/>
                  </w14:solidFill>
                </w14:textFill>
              </w:rPr>
            </w:pPr>
          </w:p>
        </w:tc>
      </w:tr>
      <w:tr w14:paraId="516B34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12" w:hRule="atLeast"/>
        </w:trPr>
        <w:tc>
          <w:tcPr>
            <w:tcW w:w="535" w:type="dxa"/>
            <w:vAlign w:val="center"/>
          </w:tcPr>
          <w:p w14:paraId="25467511">
            <w:pPr>
              <w:adjustRightInd w:val="0"/>
              <w:snapToGrid w:val="0"/>
              <w:jc w:val="center"/>
              <w:rPr>
                <w:rFonts w:cs="宋体"/>
                <w:color w:val="000000" w:themeColor="text1"/>
                <w14:textFill>
                  <w14:solidFill>
                    <w14:schemeClr w14:val="tx1"/>
                  </w14:solidFill>
                </w14:textFill>
              </w:rPr>
            </w:pPr>
            <w:r>
              <w:rPr>
                <w:rFonts w:hint="eastAsia" w:cs="宋体"/>
                <w:bCs/>
                <w:color w:val="000000" w:themeColor="text1"/>
                <w14:textFill>
                  <w14:solidFill>
                    <w14:schemeClr w14:val="tx1"/>
                  </w14:solidFill>
                </w14:textFill>
              </w:rPr>
              <w:t>与项目有关的原有环境污染问题</w:t>
            </w:r>
          </w:p>
        </w:tc>
        <w:tc>
          <w:tcPr>
            <w:tcW w:w="9423" w:type="dxa"/>
            <w:gridSpan w:val="2"/>
            <w:vAlign w:val="center"/>
          </w:tcPr>
          <w:p w14:paraId="1B05E512">
            <w:pPr>
              <w:spacing w:line="500" w:lineRule="atLeast"/>
              <w:rPr>
                <w:b/>
                <w:bCs/>
                <w:color w:val="000000" w:themeColor="text1"/>
                <w:kern w:val="0"/>
                <w:sz w:val="24"/>
                <w14:textFill>
                  <w14:solidFill>
                    <w14:schemeClr w14:val="tx1"/>
                  </w14:solidFill>
                </w14:textFill>
              </w:rPr>
            </w:pPr>
            <w:bookmarkStart w:id="3" w:name="_Hlk87969881"/>
            <w:r>
              <w:rPr>
                <w:b/>
                <w:bCs/>
                <w:color w:val="000000" w:themeColor="text1"/>
                <w:kern w:val="0"/>
                <w:sz w:val="24"/>
                <w14:textFill>
                  <w14:solidFill>
                    <w14:schemeClr w14:val="tx1"/>
                  </w14:solidFill>
                </w14:textFill>
              </w:rPr>
              <w:t>一、原有污染情况</w:t>
            </w:r>
          </w:p>
          <w:p w14:paraId="4C31997D">
            <w:pPr>
              <w:tabs>
                <w:tab w:val="left" w:pos="6600"/>
              </w:tabs>
              <w:spacing w:line="500" w:lineRule="atLeast"/>
              <w:ind w:firstLine="488" w:firstLineChars="200"/>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现有工程各项目环保审批以及环保验收情况见下表</w:t>
            </w:r>
            <w:r>
              <w:rPr>
                <w:rFonts w:hint="eastAsia"/>
                <w:color w:val="000000" w:themeColor="text1"/>
                <w:spacing w:val="2"/>
                <w:sz w:val="24"/>
                <w14:textFill>
                  <w14:solidFill>
                    <w14:schemeClr w14:val="tx1"/>
                  </w14:solidFill>
                </w14:textFill>
              </w:rPr>
              <w:t>：</w:t>
            </w:r>
          </w:p>
          <w:p w14:paraId="25DA21DC">
            <w:pPr>
              <w:spacing w:line="500" w:lineRule="atLeast"/>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14:textFill>
                  <w14:solidFill>
                    <w14:schemeClr w14:val="tx1"/>
                  </w14:solidFill>
                </w14:textFill>
              </w:rPr>
              <w:t>7</w:t>
            </w:r>
            <w:r>
              <w:rPr>
                <w:b/>
                <w:color w:val="000000" w:themeColor="text1"/>
                <w:sz w:val="24"/>
                <w14:textFill>
                  <w14:solidFill>
                    <w14:schemeClr w14:val="tx1"/>
                  </w14:solidFill>
                </w14:textFill>
              </w:rPr>
              <w:t xml:space="preserve"> 现有工程环保审批、验收情况一览表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79" w:type="dxa"/>
                <w:bottom w:w="28" w:type="dxa"/>
                <w:right w:w="79" w:type="dxa"/>
              </w:tblCellMar>
            </w:tblPr>
            <w:tblGrid>
              <w:gridCol w:w="1592"/>
              <w:gridCol w:w="2663"/>
              <w:gridCol w:w="3510"/>
              <w:gridCol w:w="1478"/>
            </w:tblGrid>
            <w:tr w14:paraId="5012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79" w:type="dxa"/>
                  <w:bottom w:w="28" w:type="dxa"/>
                  <w:right w:w="79" w:type="dxa"/>
                </w:tblCellMar>
              </w:tblPrEx>
              <w:trPr>
                <w:trHeight w:val="397" w:hRule="atLeast"/>
                <w:jc w:val="center"/>
              </w:trPr>
              <w:tc>
                <w:tcPr>
                  <w:tcW w:w="861" w:type="pct"/>
                  <w:vAlign w:val="center"/>
                </w:tcPr>
                <w:p w14:paraId="3C51B968">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项目名称</w:t>
                  </w:r>
                </w:p>
              </w:tc>
              <w:tc>
                <w:tcPr>
                  <w:tcW w:w="3338" w:type="pct"/>
                  <w:gridSpan w:val="2"/>
                  <w:vAlign w:val="center"/>
                </w:tcPr>
                <w:p w14:paraId="2642A55F">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环评</w:t>
                  </w:r>
                  <w:r>
                    <w:rPr>
                      <w:rFonts w:hint="eastAsia"/>
                      <w:color w:val="000000" w:themeColor="text1"/>
                      <w:szCs w:val="21"/>
                      <w14:textFill>
                        <w14:solidFill>
                          <w14:schemeClr w14:val="tx1"/>
                        </w14:solidFill>
                      </w14:textFill>
                    </w:rPr>
                    <w:t>批复文号</w:t>
                  </w:r>
                </w:p>
              </w:tc>
              <w:tc>
                <w:tcPr>
                  <w:tcW w:w="799" w:type="pct"/>
                  <w:vAlign w:val="center"/>
                </w:tcPr>
                <w:p w14:paraId="65CEF823">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验收情况</w:t>
                  </w:r>
                </w:p>
              </w:tc>
            </w:tr>
            <w:tr w14:paraId="1780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79" w:type="dxa"/>
                  <w:bottom w:w="28" w:type="dxa"/>
                  <w:right w:w="79" w:type="dxa"/>
                </w:tblCellMar>
              </w:tblPrEx>
              <w:trPr>
                <w:trHeight w:val="397" w:hRule="atLeast"/>
                <w:jc w:val="center"/>
              </w:trPr>
              <w:tc>
                <w:tcPr>
                  <w:tcW w:w="861" w:type="pct"/>
                  <w:vAlign w:val="center"/>
                </w:tcPr>
                <w:p w14:paraId="6A1ECCBB">
                  <w:pPr>
                    <w:spacing w:line="2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中国石化销售股份有限公司安徽蚌埠固镇城北加油站</w:t>
                  </w:r>
                </w:p>
              </w:tc>
              <w:tc>
                <w:tcPr>
                  <w:tcW w:w="3338" w:type="pct"/>
                  <w:gridSpan w:val="2"/>
                  <w:vAlign w:val="center"/>
                </w:tcPr>
                <w:p w14:paraId="7FDEE381">
                  <w:pPr>
                    <w:pStyle w:val="12"/>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Style w:val="33"/>
                      <w:rFonts w:hint="eastAsia"/>
                      <w:lang w:val="en-US" w:eastAsia="zh-CN"/>
                    </w:rPr>
                    <w:t xml:space="preserve">  </w:t>
                  </w: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 xml:space="preserve"> 根据蚌埠市生态环境局召开的《蚌埠市环境保护局专题会议纪要第三次》，提到“2016 年之后建设的加油站，严格按照程序及环评分级审批的要求办理环评审批手续；</w:t>
                  </w:r>
                  <w: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 xml:space="preserve">2016 </w:t>
                  </w: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年之前建成运行、至今未办理环评审批手续的加油站，在其危险化学品经营许可证、成品油零售许可证齐全，符合相关安全防护距离要求、地下水防渗与油气回收采取符合相关要求的前提下，由建设单位委托具备相应资质的环评机构分辖区实行打包编制现状评价报告，对加油站环境现状、环境影响分析、环境风险、环境保护措施及污染物达标排放去等方面进行分析评价，明确环境监管要求和现有环境问题整改措施。加油站现状评价报告按规报备各辖区环保局，纳入日常环境监管。”</w:t>
                  </w:r>
                </w:p>
                <w:p w14:paraId="3AA11732">
                  <w:pPr>
                    <w:pStyle w:val="12"/>
                    <w:rPr>
                      <w:rFonts w:hint="default"/>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 xml:space="preserve">   本项目为2016年之前建站的，根据上述文件要求建设单位委托环评单位对怀远县15家加油站打包一并做了</w:t>
                  </w:r>
                  <w: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项目环境现状评估</w:t>
                  </w: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，同时提交到怀远县环保局进行备案</w:t>
                  </w:r>
                  <w:r>
                    <w:rPr>
                      <w:rFonts w:hint="eastAsia" w:ascii="Times New Roman" w:hAnsi="Times New Roman" w:cs="Times New Roman"/>
                      <w:color w:val="000000" w:themeColor="text1"/>
                      <w:spacing w:val="2"/>
                      <w:kern w:val="2"/>
                      <w:sz w:val="21"/>
                      <w:szCs w:val="21"/>
                      <w:lang w:val="en-US" w:eastAsia="zh-CN" w:bidi="ar-SA"/>
                      <w14:textFill>
                        <w14:solidFill>
                          <w14:schemeClr w14:val="tx1"/>
                        </w14:solidFill>
                      </w14:textFill>
                    </w:rPr>
                    <w:t>。</w:t>
                  </w:r>
                </w:p>
              </w:tc>
              <w:tc>
                <w:tcPr>
                  <w:tcW w:w="799" w:type="pct"/>
                  <w:vAlign w:val="center"/>
                </w:tcPr>
                <w:p w14:paraId="5103BD44">
                  <w:pPr>
                    <w:spacing w:line="240" w:lineRule="exact"/>
                    <w:jc w:val="center"/>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无</w:t>
                  </w:r>
                </w:p>
              </w:tc>
            </w:tr>
            <w:tr w14:paraId="4040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79" w:type="dxa"/>
                  <w:bottom w:w="28" w:type="dxa"/>
                  <w:right w:w="79" w:type="dxa"/>
                </w:tblCellMar>
              </w:tblPrEx>
              <w:trPr>
                <w:trHeight w:val="397" w:hRule="atLeast"/>
                <w:jc w:val="center"/>
              </w:trPr>
              <w:tc>
                <w:tcPr>
                  <w:tcW w:w="861" w:type="pct"/>
                  <w:vAlign w:val="center"/>
                </w:tcPr>
                <w:p w14:paraId="435180AE">
                  <w:pPr>
                    <w:spacing w:line="2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排污许可证</w:t>
                  </w:r>
                </w:p>
              </w:tc>
              <w:tc>
                <w:tcPr>
                  <w:tcW w:w="1440" w:type="pct"/>
                  <w:vAlign w:val="center"/>
                </w:tcPr>
                <w:p w14:paraId="28C26E67">
                  <w:pPr>
                    <w:spacing w:line="2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于2023年5月8日完成排污许可证</w:t>
                  </w:r>
                </w:p>
              </w:tc>
              <w:tc>
                <w:tcPr>
                  <w:tcW w:w="1898" w:type="pct"/>
                  <w:vAlign w:val="center"/>
                </w:tcPr>
                <w:p w14:paraId="46121B11">
                  <w:pPr>
                    <w:spacing w:line="240" w:lineRule="exact"/>
                    <w:jc w:val="center"/>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登记编号：91340323328083794T001Y</w:t>
                  </w:r>
                </w:p>
              </w:tc>
              <w:tc>
                <w:tcPr>
                  <w:tcW w:w="799" w:type="pct"/>
                  <w:vAlign w:val="center"/>
                </w:tcPr>
                <w:p w14:paraId="3FA5371D">
                  <w:pPr>
                    <w:spacing w:line="240" w:lineRule="exact"/>
                    <w:jc w:val="center"/>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w:t>
                  </w:r>
                </w:p>
              </w:tc>
            </w:tr>
          </w:tbl>
          <w:p w14:paraId="785EB5F3">
            <w:pPr>
              <w:spacing w:line="520" w:lineRule="exact"/>
              <w:ind w:firstLine="482" w:firstLineChars="200"/>
              <w:rPr>
                <w:rFonts w:ascii="宋体" w:hAnsi="宋体"/>
                <w:b/>
                <w:bCs/>
                <w:snapToGrid w:val="0"/>
                <w:color w:val="000000" w:themeColor="text1"/>
                <w:kern w:val="0"/>
                <w:sz w:val="24"/>
                <w14:textFill>
                  <w14:solidFill>
                    <w14:schemeClr w14:val="tx1"/>
                  </w14:solidFill>
                </w14:textFill>
              </w:rPr>
            </w:pPr>
            <w:r>
              <w:rPr>
                <w:rFonts w:hint="eastAsia" w:ascii="宋体" w:hAnsi="宋体"/>
                <w:b/>
                <w:bCs/>
                <w:snapToGrid w:val="0"/>
                <w:color w:val="000000" w:themeColor="text1"/>
                <w:kern w:val="0"/>
                <w:sz w:val="24"/>
                <w14:textFill>
                  <w14:solidFill>
                    <w14:schemeClr w14:val="tx1"/>
                  </w14:solidFill>
                </w14:textFill>
              </w:rPr>
              <w:t>1、</w:t>
            </w:r>
            <w:r>
              <w:rPr>
                <w:rFonts w:ascii="宋体" w:hAnsi="宋体"/>
                <w:b/>
                <w:bCs/>
                <w:snapToGrid w:val="0"/>
                <w:color w:val="000000" w:themeColor="text1"/>
                <w:kern w:val="0"/>
                <w:sz w:val="24"/>
                <w14:textFill>
                  <w14:solidFill>
                    <w14:schemeClr w14:val="tx1"/>
                  </w14:solidFill>
                </w14:textFill>
              </w:rPr>
              <w:t>现有工程生产工艺</w:t>
            </w:r>
          </w:p>
          <w:p w14:paraId="64772A5B">
            <w:pPr>
              <w:spacing w:line="500" w:lineRule="atLeast"/>
              <w:jc w:val="center"/>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drawing>
                <wp:inline distT="0" distB="0" distL="114300" distR="114300">
                  <wp:extent cx="4696460" cy="1268095"/>
                  <wp:effectExtent l="0" t="0" r="12700" b="0"/>
                  <wp:docPr id="71" name="图片 71" descr="169087586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690875868648"/>
                          <pic:cNvPicPr>
                            <a:picLocks noChangeAspect="1"/>
                          </pic:cNvPicPr>
                        </pic:nvPicPr>
                        <pic:blipFill>
                          <a:blip r:embed="rId14">
                            <a:clrChange>
                              <a:clrFrom>
                                <a:srgbClr val="FFFFFF">
                                  <a:alpha val="100000"/>
                                </a:srgbClr>
                              </a:clrFrom>
                              <a:clrTo>
                                <a:srgbClr val="FFFFFF">
                                  <a:alpha val="100000"/>
                                  <a:alpha val="0"/>
                                </a:srgbClr>
                              </a:clrTo>
                            </a:clrChange>
                          </a:blip>
                          <a:stretch>
                            <a:fillRect/>
                          </a:stretch>
                        </pic:blipFill>
                        <pic:spPr>
                          <a:xfrm>
                            <a:off x="0" y="0"/>
                            <a:ext cx="4696460" cy="1268095"/>
                          </a:xfrm>
                          <a:prstGeom prst="rect">
                            <a:avLst/>
                          </a:prstGeom>
                        </pic:spPr>
                      </pic:pic>
                    </a:graphicData>
                  </a:graphic>
                </wp:inline>
              </w:drawing>
            </w:r>
          </w:p>
          <w:p w14:paraId="4AA0C14C">
            <w:pPr>
              <w:spacing w:line="500" w:lineRule="atLeast"/>
              <w:jc w:val="center"/>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图2-</w:t>
            </w:r>
            <w:r>
              <w:rPr>
                <w:rFonts w:hint="eastAsia"/>
                <w:b/>
                <w:color w:val="000000" w:themeColor="text1"/>
                <w:kern w:val="0"/>
                <w:sz w:val="24"/>
                <w14:textFill>
                  <w14:solidFill>
                    <w14:schemeClr w14:val="tx1"/>
                  </w14:solidFill>
                </w14:textFill>
              </w:rPr>
              <w:t>3</w:t>
            </w:r>
            <w:r>
              <w:rPr>
                <w:b/>
                <w:color w:val="000000" w:themeColor="text1"/>
                <w:kern w:val="0"/>
                <w:sz w:val="24"/>
                <w14:textFill>
                  <w14:solidFill>
                    <w14:schemeClr w14:val="tx1"/>
                  </w14:solidFill>
                </w14:textFill>
              </w:rPr>
              <w:t xml:space="preserve">  工艺流程及污染节点图</w:t>
            </w:r>
          </w:p>
          <w:p w14:paraId="14244B17">
            <w:pPr>
              <w:spacing w:line="500" w:lineRule="atLeast"/>
              <w:jc w:val="left"/>
              <w:rPr>
                <w:b/>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工艺说明：</w:t>
            </w:r>
          </w:p>
          <w:p w14:paraId="4F6179F6">
            <w:pPr>
              <w:spacing w:line="500" w:lineRule="atLeast"/>
              <w:ind w:firstLine="480" w:firstLineChars="200"/>
              <w:rPr>
                <w:bCs/>
                <w:color w:val="000000" w:themeColor="text1"/>
                <w:kern w:val="0"/>
                <w:sz w:val="24"/>
                <w14:textFill>
                  <w14:solidFill>
                    <w14:schemeClr w14:val="tx1"/>
                  </w14:solidFill>
                </w14:textFill>
              </w:rPr>
            </w:pPr>
            <w:r>
              <w:rPr>
                <w:rFonts w:hAnsi="宋体"/>
                <w:snapToGrid w:val="0"/>
                <w:color w:val="000000" w:themeColor="text1"/>
                <w:kern w:val="24"/>
                <w:sz w:val="24"/>
                <w14:textFill>
                  <w14:solidFill>
                    <w14:schemeClr w14:val="tx1"/>
                  </w14:solidFill>
                </w14:textFill>
              </w:rPr>
              <w:t>本加油站采用常规的自吸式工艺流程。本项目加油机本身自带的泵将油品由加油站地埋式贮油罐内吸到加油机内，经泵提升加压后给汽车</w:t>
            </w:r>
            <w:r>
              <w:rPr>
                <w:rFonts w:hint="eastAsia" w:hAnsi="宋体"/>
                <w:snapToGrid w:val="0"/>
                <w:color w:val="000000" w:themeColor="text1"/>
                <w:kern w:val="24"/>
                <w:sz w:val="24"/>
                <w14:textFill>
                  <w14:solidFill>
                    <w14:schemeClr w14:val="tx1"/>
                  </w14:solidFill>
                </w14:textFill>
              </w:rPr>
              <w:t>等</w:t>
            </w:r>
            <w:r>
              <w:rPr>
                <w:rFonts w:hAnsi="宋体"/>
                <w:snapToGrid w:val="0"/>
                <w:color w:val="000000" w:themeColor="text1"/>
                <w:kern w:val="24"/>
                <w:sz w:val="24"/>
                <w14:textFill>
                  <w14:solidFill>
                    <w14:schemeClr w14:val="tx1"/>
                  </w14:solidFill>
                </w14:textFill>
              </w:rPr>
              <w:t>油箱加油，每个加油枪设单独管线吸油。</w:t>
            </w:r>
          </w:p>
          <w:p w14:paraId="6990AC94">
            <w:pPr>
              <w:spacing w:line="520" w:lineRule="exact"/>
              <w:ind w:firstLine="482"/>
              <w:rPr>
                <w:b/>
                <w:bCs/>
                <w:snapToGrid w:val="0"/>
                <w:color w:val="000000" w:themeColor="text1"/>
                <w:kern w:val="0"/>
                <w:sz w:val="24"/>
                <w14:textFill>
                  <w14:solidFill>
                    <w14:schemeClr w14:val="tx1"/>
                  </w14:solidFill>
                </w14:textFill>
              </w:rPr>
            </w:pPr>
            <w:r>
              <w:rPr>
                <w:rFonts w:hint="eastAsia"/>
                <w:b/>
                <w:bCs/>
                <w:snapToGrid w:val="0"/>
                <w:color w:val="000000" w:themeColor="text1"/>
                <w:kern w:val="0"/>
                <w:sz w:val="24"/>
                <w14:textFill>
                  <w14:solidFill>
                    <w14:schemeClr w14:val="tx1"/>
                  </w14:solidFill>
                </w14:textFill>
              </w:rPr>
              <w:t>2</w:t>
            </w:r>
            <w:r>
              <w:rPr>
                <w:b/>
                <w:bCs/>
                <w:snapToGrid w:val="0"/>
                <w:color w:val="000000" w:themeColor="text1"/>
                <w:kern w:val="0"/>
                <w:sz w:val="24"/>
                <w14:textFill>
                  <w14:solidFill>
                    <w14:schemeClr w14:val="tx1"/>
                  </w14:solidFill>
                </w14:textFill>
              </w:rPr>
              <w:t>、现有工程产污情况及治理措施</w:t>
            </w:r>
          </w:p>
          <w:p w14:paraId="6E399E47">
            <w:pPr>
              <w:pStyle w:val="14"/>
              <w:spacing w:line="500" w:lineRule="atLeast"/>
              <w:ind w:firstLine="482" w:firstLineChars="200"/>
              <w:rPr>
                <w:rFonts w:hint="default"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（1）废气</w:t>
            </w:r>
          </w:p>
          <w:p w14:paraId="3379F4F1">
            <w:pPr>
              <w:adjustRightInd w:val="0"/>
              <w:snapToGrid w:val="0"/>
              <w:spacing w:line="500" w:lineRule="atLeas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项目现有工程废气污染源主要为加油作业时油罐大小呼吸、加油机作业等无组织排放的非甲烷总烃。</w:t>
            </w:r>
          </w:p>
          <w:p w14:paraId="68B691CC">
            <w:pPr>
              <w:adjustRightInd w:val="0"/>
              <w:snapToGrid w:val="0"/>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根据2024年11月21日到11月22日委托安徽华瑞检测技术股份有限公司监测结果可知，项目地无组织排放的非甲烷总烃浓度2.87mg/m³-3.59mg/m³，满足</w:t>
            </w:r>
            <w:r>
              <w:rPr>
                <w:rFonts w:ascii="宋体" w:hAnsi="宋体" w:cs="宋体"/>
                <w:color w:val="000000" w:themeColor="text1"/>
                <w:sz w:val="24"/>
                <w14:textFill>
                  <w14:solidFill>
                    <w14:schemeClr w14:val="tx1"/>
                  </w14:solidFill>
                </w14:textFill>
              </w:rPr>
              <w:t>《加油站大气污染物排放标准》（GB20952-2020）表3油气浓度无组织排放限值</w:t>
            </w:r>
            <w:r>
              <w:rPr>
                <w:rFonts w:hint="eastAsia" w:ascii="宋体" w:hAnsi="宋体" w:cs="宋体"/>
                <w:color w:val="000000" w:themeColor="text1"/>
                <w:sz w:val="24"/>
                <w14:textFill>
                  <w14:solidFill>
                    <w14:schemeClr w14:val="tx1"/>
                  </w14:solidFill>
                </w14:textFill>
              </w:rPr>
              <w:t>。</w:t>
            </w:r>
          </w:p>
          <w:p w14:paraId="3F042D8E">
            <w:pPr>
              <w:pStyle w:val="14"/>
              <w:spacing w:line="500" w:lineRule="atLeast"/>
              <w:ind w:firstLine="482" w:firstLineChars="200"/>
              <w:rPr>
                <w:rFonts w:hint="default"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（2）废水</w:t>
            </w:r>
          </w:p>
          <w:p w14:paraId="1E547063">
            <w:p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现有</w:t>
            </w:r>
            <w:r>
              <w:rPr>
                <w:color w:val="000000" w:themeColor="text1"/>
                <w:sz w:val="24"/>
                <w14:textFill>
                  <w14:solidFill>
                    <w14:schemeClr w14:val="tx1"/>
                  </w14:solidFill>
                </w14:textFill>
              </w:rPr>
              <w:t>工程废水主要来自职工的生活污水</w:t>
            </w:r>
            <w:r>
              <w:rPr>
                <w:rFonts w:hint="eastAsia"/>
                <w:color w:val="000000" w:themeColor="text1"/>
                <w:sz w:val="24"/>
                <w14:textFill>
                  <w14:solidFill>
                    <w14:schemeClr w14:val="tx1"/>
                  </w14:solidFill>
                </w14:textFill>
              </w:rPr>
              <w:t>及地面冲洗水</w:t>
            </w:r>
            <w:r>
              <w:rPr>
                <w:color w:val="000000" w:themeColor="text1"/>
                <w:sz w:val="24"/>
                <w14:textFill>
                  <w14:solidFill>
                    <w14:schemeClr w14:val="tx1"/>
                  </w14:solidFill>
                </w14:textFill>
              </w:rPr>
              <w:t>，主要污染因子为COD、SS、NH3-N</w:t>
            </w:r>
            <w:r>
              <w:rPr>
                <w:rFonts w:hint="eastAsia"/>
                <w:color w:val="000000" w:themeColor="text1"/>
                <w:sz w:val="24"/>
                <w14:textFill>
                  <w14:solidFill>
                    <w14:schemeClr w14:val="tx1"/>
                  </w14:solidFill>
                </w14:textFill>
              </w:rPr>
              <w:t>、PH、石油类等</w:t>
            </w:r>
            <w:r>
              <w:rPr>
                <w:color w:val="000000" w:themeColor="text1"/>
                <w:sz w:val="24"/>
                <w14:textFill>
                  <w14:solidFill>
                    <w14:schemeClr w14:val="tx1"/>
                  </w14:solidFill>
                </w14:textFill>
              </w:rPr>
              <w:t>。现有工程</w:t>
            </w:r>
            <w:r>
              <w:rPr>
                <w:rFonts w:hint="eastAsia"/>
                <w:color w:val="000000" w:themeColor="text1"/>
                <w:sz w:val="24"/>
                <w14:textFill>
                  <w14:solidFill>
                    <w14:schemeClr w14:val="tx1"/>
                  </w14:solidFill>
                </w14:textFill>
              </w:rPr>
              <w:t>生活污水经化粪池预处理后</w:t>
            </w:r>
            <w:r>
              <w:rPr>
                <w:color w:val="000000" w:themeColor="text1"/>
                <w:sz w:val="24"/>
                <w14:textFill>
                  <w14:solidFill>
                    <w14:schemeClr w14:val="tx1"/>
                  </w14:solidFill>
                </w14:textFill>
              </w:rPr>
              <w:t>经</w:t>
            </w:r>
            <w:r>
              <w:rPr>
                <w:rFonts w:hint="eastAsia"/>
                <w:color w:val="000000" w:themeColor="text1"/>
                <w:sz w:val="24"/>
                <w14:textFill>
                  <w14:solidFill>
                    <w14:schemeClr w14:val="tx1"/>
                  </w14:solidFill>
                </w14:textFill>
              </w:rPr>
              <w:t>市政污水</w:t>
            </w:r>
            <w:r>
              <w:rPr>
                <w:color w:val="000000" w:themeColor="text1"/>
                <w:sz w:val="24"/>
                <w14:textFill>
                  <w14:solidFill>
                    <w14:schemeClr w14:val="tx1"/>
                  </w14:solidFill>
                </w14:textFill>
              </w:rPr>
              <w:t>管网进</w:t>
            </w:r>
            <w:r>
              <w:rPr>
                <w:rFonts w:hint="eastAsia"/>
                <w:color w:val="000000" w:themeColor="text1"/>
                <w:sz w:val="24"/>
                <w14:textFill>
                  <w14:solidFill>
                    <w14:schemeClr w14:val="tx1"/>
                  </w14:solidFill>
                </w14:textFill>
              </w:rPr>
              <w:t>入固镇县污水处理厂</w:t>
            </w:r>
            <w:r>
              <w:rPr>
                <w:color w:val="000000" w:themeColor="text1"/>
                <w:sz w:val="24"/>
                <w14:textFill>
                  <w14:solidFill>
                    <w14:schemeClr w14:val="tx1"/>
                  </w14:solidFill>
                </w14:textFill>
              </w:rPr>
              <w:t>进行处理</w:t>
            </w:r>
            <w:r>
              <w:rPr>
                <w:rFonts w:hint="eastAsia"/>
                <w:color w:val="000000" w:themeColor="text1"/>
                <w:sz w:val="24"/>
                <w14:textFill>
                  <w14:solidFill>
                    <w14:schemeClr w14:val="tx1"/>
                  </w14:solidFill>
                </w14:textFill>
              </w:rPr>
              <w:t>，地面冲洗水经隔油池预处理后</w:t>
            </w:r>
            <w:r>
              <w:rPr>
                <w:color w:val="000000" w:themeColor="text1"/>
                <w:sz w:val="24"/>
                <w14:textFill>
                  <w14:solidFill>
                    <w14:schemeClr w14:val="tx1"/>
                  </w14:solidFill>
                </w14:textFill>
              </w:rPr>
              <w:t>经</w:t>
            </w:r>
            <w:r>
              <w:rPr>
                <w:rFonts w:hint="eastAsia"/>
                <w:color w:val="000000" w:themeColor="text1"/>
                <w:sz w:val="24"/>
                <w14:textFill>
                  <w14:solidFill>
                    <w14:schemeClr w14:val="tx1"/>
                  </w14:solidFill>
                </w14:textFill>
              </w:rPr>
              <w:t>市政污水</w:t>
            </w:r>
            <w:r>
              <w:rPr>
                <w:color w:val="000000" w:themeColor="text1"/>
                <w:sz w:val="24"/>
                <w14:textFill>
                  <w14:solidFill>
                    <w14:schemeClr w14:val="tx1"/>
                  </w14:solidFill>
                </w14:textFill>
              </w:rPr>
              <w:t>管网进</w:t>
            </w:r>
            <w:r>
              <w:rPr>
                <w:rFonts w:hint="eastAsia"/>
                <w:color w:val="000000" w:themeColor="text1"/>
                <w:sz w:val="24"/>
                <w14:textFill>
                  <w14:solidFill>
                    <w14:schemeClr w14:val="tx1"/>
                  </w14:solidFill>
                </w14:textFill>
              </w:rPr>
              <w:t>入固镇县污水处理厂</w:t>
            </w:r>
            <w:r>
              <w:rPr>
                <w:color w:val="000000" w:themeColor="text1"/>
                <w:sz w:val="24"/>
                <w14:textFill>
                  <w14:solidFill>
                    <w14:schemeClr w14:val="tx1"/>
                  </w14:solidFill>
                </w14:textFill>
              </w:rPr>
              <w:t>进行处理，</w:t>
            </w:r>
            <w:r>
              <w:rPr>
                <w:rFonts w:hint="eastAsia"/>
                <w:color w:val="000000" w:themeColor="text1"/>
                <w:sz w:val="24"/>
                <w14:textFill>
                  <w14:solidFill>
                    <w14:schemeClr w14:val="tx1"/>
                  </w14:solidFill>
                </w14:textFill>
              </w:rPr>
              <w:t>外排浓度</w:t>
            </w:r>
            <w:r>
              <w:rPr>
                <w:rFonts w:hint="eastAsia"/>
                <w:snapToGrid w:val="0"/>
                <w:color w:val="000000" w:themeColor="text1"/>
                <w:kern w:val="0"/>
                <w:sz w:val="24"/>
                <w14:textFill>
                  <w14:solidFill>
                    <w14:schemeClr w14:val="tx1"/>
                  </w14:solidFill>
                </w14:textFill>
              </w:rPr>
              <w:t>根据2024年11月21日到11月23日委托安徽华瑞检测技术股份有限公司监测结果可知，废水排口PH7.5、COD16mg/l、氨氮0.024mg/l、石油类0.62mg/l、SS22mg/l，外排浓度满足</w:t>
            </w:r>
            <w:r>
              <w:rPr>
                <w:rFonts w:hint="eastAsia"/>
                <w:color w:val="000000" w:themeColor="text1"/>
                <w:sz w:val="24"/>
                <w:szCs w:val="20"/>
                <w:lang w:bidi="ar"/>
                <w14:textFill>
                  <w14:solidFill>
                    <w14:schemeClr w14:val="tx1"/>
                  </w14:solidFill>
                </w14:textFill>
              </w:rPr>
              <w:t>固镇县污水处理厂</w:t>
            </w:r>
            <w:r>
              <w:rPr>
                <w:color w:val="000000" w:themeColor="text1"/>
                <w:sz w:val="24"/>
                <w:szCs w:val="20"/>
                <w:lang w:bidi="ar"/>
                <w14:textFill>
                  <w14:solidFill>
                    <w14:schemeClr w14:val="tx1"/>
                  </w14:solidFill>
                </w14:textFill>
              </w:rPr>
              <w:t>接管标准和《污水综合排放标准》（GB8978-1996）表4中三级标准</w:t>
            </w:r>
            <w:r>
              <w:rPr>
                <w:color w:val="000000" w:themeColor="text1"/>
                <w:sz w:val="24"/>
                <w14:textFill>
                  <w14:solidFill>
                    <w14:schemeClr w14:val="tx1"/>
                  </w14:solidFill>
                </w14:textFill>
              </w:rPr>
              <w:t>。</w:t>
            </w:r>
          </w:p>
          <w:p w14:paraId="28684A9A">
            <w:pPr>
              <w:pStyle w:val="14"/>
              <w:spacing w:line="500" w:lineRule="atLeast"/>
              <w:ind w:firstLine="482" w:firstLineChars="200"/>
              <w:rPr>
                <w:rFonts w:hint="default"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（3）噪声</w:t>
            </w:r>
          </w:p>
          <w:p w14:paraId="4402B81B">
            <w:pPr>
              <w:widowControl/>
              <w:spacing w:line="500" w:lineRule="atLeast"/>
              <w:ind w:firstLine="480" w:firstLineChars="200"/>
              <w:rPr>
                <w:bCs/>
                <w:color w:val="000000" w:themeColor="text1"/>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根据2024年11月21日委托安徽华瑞检测技术股份有限公司监测结果可知</w:t>
            </w:r>
            <w:r>
              <w:rPr>
                <w:bCs/>
                <w:color w:val="000000" w:themeColor="text1"/>
                <w:sz w:val="24"/>
                <w14:textFill>
                  <w14:solidFill>
                    <w14:schemeClr w14:val="tx1"/>
                  </w14:solidFill>
                </w14:textFill>
              </w:rPr>
              <w:t>项目地四周噪声监测结果详见下表：</w:t>
            </w:r>
          </w:p>
          <w:p w14:paraId="375DCC8F">
            <w:pPr>
              <w:spacing w:line="500" w:lineRule="exact"/>
              <w:ind w:firstLine="482" w:firstLineChars="2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14:textFill>
                  <w14:solidFill>
                    <w14:schemeClr w14:val="tx1"/>
                  </w14:solidFill>
                </w14:textFill>
              </w:rPr>
              <w:t>9</w:t>
            </w:r>
            <w:r>
              <w:rPr>
                <w:b/>
                <w:color w:val="000000" w:themeColor="text1"/>
                <w:sz w:val="24"/>
                <w14:textFill>
                  <w14:solidFill>
                    <w14:schemeClr w14:val="tx1"/>
                  </w14:solidFill>
                </w14:textFill>
              </w:rPr>
              <w:t xml:space="preserve">  项目地噪声现状检测结果</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3"/>
              <w:gridCol w:w="4126"/>
              <w:gridCol w:w="1322"/>
              <w:gridCol w:w="1324"/>
            </w:tblGrid>
            <w:tr w14:paraId="49F1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337" w:type="pct"/>
                  <w:vMerge w:val="restart"/>
                  <w:vAlign w:val="center"/>
                </w:tcPr>
                <w:p w14:paraId="247D613E">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监测点编号</w:t>
                  </w:r>
                </w:p>
              </w:tc>
              <w:tc>
                <w:tcPr>
                  <w:tcW w:w="2231" w:type="pct"/>
                  <w:vMerge w:val="restart"/>
                  <w:vAlign w:val="center"/>
                </w:tcPr>
                <w:p w14:paraId="79085273">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监测点位</w:t>
                  </w:r>
                </w:p>
              </w:tc>
              <w:tc>
                <w:tcPr>
                  <w:tcW w:w="1431" w:type="pct"/>
                  <w:gridSpan w:val="2"/>
                  <w:vAlign w:val="center"/>
                </w:tcPr>
                <w:p w14:paraId="4F4FF831">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2023.7.29</w:t>
                  </w:r>
                </w:p>
              </w:tc>
            </w:tr>
            <w:tr w14:paraId="6062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337" w:type="pct"/>
                  <w:vMerge w:val="continue"/>
                  <w:vAlign w:val="center"/>
                </w:tcPr>
                <w:p w14:paraId="4ABF51F0">
                  <w:pPr>
                    <w:tabs>
                      <w:tab w:val="left" w:pos="935"/>
                    </w:tabs>
                    <w:jc w:val="center"/>
                    <w:rPr>
                      <w:rFonts w:asciiTheme="minorEastAsia" w:hAnsiTheme="minorEastAsia" w:eastAsiaTheme="minorEastAsia" w:cstheme="minorEastAsia"/>
                      <w:color w:val="000000" w:themeColor="text1"/>
                      <w:szCs w:val="21"/>
                      <w14:textFill>
                        <w14:solidFill>
                          <w14:schemeClr w14:val="tx1"/>
                        </w14:solidFill>
                      </w14:textFill>
                    </w:rPr>
                  </w:pPr>
                </w:p>
              </w:tc>
              <w:tc>
                <w:tcPr>
                  <w:tcW w:w="2231" w:type="pct"/>
                  <w:vMerge w:val="continue"/>
                  <w:vAlign w:val="center"/>
                </w:tcPr>
                <w:p w14:paraId="28B73616">
                  <w:pPr>
                    <w:tabs>
                      <w:tab w:val="left" w:pos="935"/>
                    </w:tabs>
                    <w:jc w:val="center"/>
                    <w:rPr>
                      <w:rFonts w:asciiTheme="minorEastAsia" w:hAnsiTheme="minorEastAsia" w:eastAsiaTheme="minorEastAsia" w:cstheme="minorEastAsia"/>
                      <w:color w:val="000000" w:themeColor="text1"/>
                      <w:szCs w:val="21"/>
                      <w14:textFill>
                        <w14:solidFill>
                          <w14:schemeClr w14:val="tx1"/>
                        </w14:solidFill>
                      </w14:textFill>
                    </w:rPr>
                  </w:pPr>
                </w:p>
              </w:tc>
              <w:tc>
                <w:tcPr>
                  <w:tcW w:w="715" w:type="pct"/>
                  <w:vAlign w:val="center"/>
                </w:tcPr>
                <w:p w14:paraId="17A2B1ED">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昼间</w:t>
                  </w:r>
                </w:p>
              </w:tc>
              <w:tc>
                <w:tcPr>
                  <w:tcW w:w="716" w:type="pct"/>
                  <w:vAlign w:val="center"/>
                </w:tcPr>
                <w:p w14:paraId="579092F5">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夜间</w:t>
                  </w:r>
                </w:p>
              </w:tc>
            </w:tr>
            <w:tr w14:paraId="7896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7" w:type="pct"/>
                  <w:vAlign w:val="center"/>
                </w:tcPr>
                <w:p w14:paraId="45A9964D">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p>
              </w:tc>
              <w:tc>
                <w:tcPr>
                  <w:tcW w:w="2231" w:type="pct"/>
                  <w:vAlign w:val="center"/>
                </w:tcPr>
                <w:p w14:paraId="15F7D168">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项目地东侧</w:t>
                  </w:r>
                </w:p>
              </w:tc>
              <w:tc>
                <w:tcPr>
                  <w:tcW w:w="715" w:type="pct"/>
                  <w:vAlign w:val="center"/>
                </w:tcPr>
                <w:p w14:paraId="5F29368E">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56.3</w:t>
                  </w:r>
                </w:p>
              </w:tc>
              <w:tc>
                <w:tcPr>
                  <w:tcW w:w="716" w:type="pct"/>
                  <w:vAlign w:val="center"/>
                </w:tcPr>
                <w:p w14:paraId="4B1ED321">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42.6</w:t>
                  </w:r>
                </w:p>
              </w:tc>
            </w:tr>
            <w:tr w14:paraId="3F4E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337" w:type="pct"/>
                  <w:vAlign w:val="center"/>
                </w:tcPr>
                <w:p w14:paraId="41F61BB3">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2231" w:type="pct"/>
                  <w:vAlign w:val="center"/>
                </w:tcPr>
                <w:p w14:paraId="1991860F">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项目地南侧</w:t>
                  </w:r>
                </w:p>
              </w:tc>
              <w:tc>
                <w:tcPr>
                  <w:tcW w:w="715" w:type="pct"/>
                  <w:vAlign w:val="center"/>
                </w:tcPr>
                <w:p w14:paraId="7ED0B3BA">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54.6</w:t>
                  </w:r>
                </w:p>
              </w:tc>
              <w:tc>
                <w:tcPr>
                  <w:tcW w:w="716" w:type="pct"/>
                  <w:vAlign w:val="center"/>
                </w:tcPr>
                <w:p w14:paraId="278BF54F">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42.8</w:t>
                  </w:r>
                </w:p>
              </w:tc>
            </w:tr>
            <w:tr w14:paraId="6EFB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337" w:type="pct"/>
                  <w:vAlign w:val="center"/>
                </w:tcPr>
                <w:p w14:paraId="49260AFE">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p>
              </w:tc>
              <w:tc>
                <w:tcPr>
                  <w:tcW w:w="2231" w:type="pct"/>
                  <w:vAlign w:val="center"/>
                </w:tcPr>
                <w:p w14:paraId="53809EB2">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项目地西侧</w:t>
                  </w:r>
                </w:p>
              </w:tc>
              <w:tc>
                <w:tcPr>
                  <w:tcW w:w="715" w:type="pct"/>
                  <w:vAlign w:val="center"/>
                </w:tcPr>
                <w:p w14:paraId="0854E623">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51.4</w:t>
                  </w:r>
                </w:p>
              </w:tc>
              <w:tc>
                <w:tcPr>
                  <w:tcW w:w="716" w:type="pct"/>
                  <w:vAlign w:val="center"/>
                </w:tcPr>
                <w:p w14:paraId="3C0D8D87">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44.7</w:t>
                  </w:r>
                </w:p>
              </w:tc>
            </w:tr>
            <w:tr w14:paraId="3E7B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337" w:type="pct"/>
                  <w:vAlign w:val="center"/>
                </w:tcPr>
                <w:p w14:paraId="3A9700E3">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p>
              </w:tc>
              <w:tc>
                <w:tcPr>
                  <w:tcW w:w="2231" w:type="pct"/>
                  <w:vAlign w:val="center"/>
                </w:tcPr>
                <w:p w14:paraId="4E09C8B9">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项目地北侧</w:t>
                  </w:r>
                </w:p>
              </w:tc>
              <w:tc>
                <w:tcPr>
                  <w:tcW w:w="715" w:type="pct"/>
                  <w:vAlign w:val="center"/>
                </w:tcPr>
                <w:p w14:paraId="68664D40">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51.1</w:t>
                  </w:r>
                </w:p>
              </w:tc>
              <w:tc>
                <w:tcPr>
                  <w:tcW w:w="716" w:type="pct"/>
                  <w:vAlign w:val="center"/>
                </w:tcPr>
                <w:p w14:paraId="37AE8D9B">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41.4</w:t>
                  </w:r>
                </w:p>
              </w:tc>
            </w:tr>
          </w:tbl>
          <w:p w14:paraId="1AA1E41C">
            <w:pPr>
              <w:spacing w:line="460" w:lineRule="atLeas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监测结果表明项目厂界噪声符合</w:t>
            </w:r>
            <w:r>
              <w:rPr>
                <w:color w:val="000000" w:themeColor="text1"/>
                <w:sz w:val="24"/>
                <w14:textFill>
                  <w14:solidFill>
                    <w14:schemeClr w14:val="tx1"/>
                  </w14:solidFill>
                </w14:textFill>
              </w:rPr>
              <w:t>《工业企业厂界环境噪声排放标准》（GB12348-2008）中的</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类</w:t>
            </w:r>
            <w:r>
              <w:rPr>
                <w:rFonts w:hint="eastAsia"/>
                <w:color w:val="000000" w:themeColor="text1"/>
                <w:sz w:val="24"/>
                <w14:textFill>
                  <w14:solidFill>
                    <w14:schemeClr w14:val="tx1"/>
                  </w14:solidFill>
                </w14:textFill>
              </w:rPr>
              <w:t>和4类</w:t>
            </w:r>
            <w:r>
              <w:rPr>
                <w:color w:val="000000" w:themeColor="text1"/>
                <w:sz w:val="24"/>
                <w14:textFill>
                  <w14:solidFill>
                    <w14:schemeClr w14:val="tx1"/>
                  </w14:solidFill>
                </w14:textFill>
              </w:rPr>
              <w:t>标准</w:t>
            </w:r>
            <w:r>
              <w:rPr>
                <w:rFonts w:hint="eastAsia"/>
                <w:color w:val="000000" w:themeColor="text1"/>
                <w:kern w:val="0"/>
                <w:sz w:val="24"/>
                <w14:textFill>
                  <w14:solidFill>
                    <w14:schemeClr w14:val="tx1"/>
                  </w14:solidFill>
                </w14:textFill>
              </w:rPr>
              <w:t>。</w:t>
            </w:r>
          </w:p>
          <w:p w14:paraId="4FB8C629">
            <w:pPr>
              <w:pStyle w:val="14"/>
              <w:spacing w:line="460" w:lineRule="atLeast"/>
              <w:ind w:firstLine="482" w:firstLineChars="200"/>
              <w:rPr>
                <w:rFonts w:hint="default"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（4）固体废物</w:t>
            </w:r>
          </w:p>
          <w:p w14:paraId="7E96F160">
            <w:pPr>
              <w:spacing w:line="460" w:lineRule="atLeas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建设项目产生的固废主要有:生活垃圾、隔油池产生的废油，油罐清理产生的废渣和废油。生活垃圾由环卫部门处理，废油和废渣由外聘专业清理队伍带走处理，不在站区内储存，送交资质单位代为处置。</w:t>
            </w:r>
          </w:p>
          <w:p w14:paraId="7FB6F1F2">
            <w:pPr>
              <w:spacing w:line="460" w:lineRule="atLeas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现有工程</w:t>
            </w:r>
            <w:r>
              <w:rPr>
                <w:rFonts w:hint="eastAsia"/>
                <w:color w:val="000000" w:themeColor="text1"/>
                <w:sz w:val="24"/>
                <w14:textFill>
                  <w14:solidFill>
                    <w14:schemeClr w14:val="tx1"/>
                  </w14:solidFill>
                </w14:textFill>
              </w:rPr>
              <w:t>固体废物产生情况详</w:t>
            </w:r>
            <w:r>
              <w:rPr>
                <w:color w:val="000000" w:themeColor="text1"/>
                <w:sz w:val="24"/>
                <w14:textFill>
                  <w14:solidFill>
                    <w14:schemeClr w14:val="tx1"/>
                  </w14:solidFill>
                </w14:textFill>
              </w:rPr>
              <w:t>见下表</w:t>
            </w:r>
            <w:r>
              <w:rPr>
                <w:rFonts w:hint="eastAsia"/>
                <w:color w:val="000000" w:themeColor="text1"/>
                <w:sz w:val="24"/>
                <w14:textFill>
                  <w14:solidFill>
                    <w14:schemeClr w14:val="tx1"/>
                  </w14:solidFill>
                </w14:textFill>
              </w:rPr>
              <w:t>：</w:t>
            </w:r>
          </w:p>
          <w:p w14:paraId="286CDDB5">
            <w:pPr>
              <w:spacing w:line="460" w:lineRule="atLeast"/>
              <w:jc w:val="center"/>
              <w:rPr>
                <w:b/>
                <w:snapToGrid w:val="0"/>
                <w:color w:val="000000" w:themeColor="text1"/>
                <w:kern w:val="0"/>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14:textFill>
                  <w14:solidFill>
                    <w14:schemeClr w14:val="tx1"/>
                  </w14:solidFill>
                </w14:textFill>
              </w:rPr>
              <w:t>10</w:t>
            </w:r>
            <w:r>
              <w:rPr>
                <w:b/>
                <w:color w:val="000000" w:themeColor="text1"/>
                <w:sz w:val="24"/>
                <w14:textFill>
                  <w14:solidFill>
                    <w14:schemeClr w14:val="tx1"/>
                  </w14:solidFill>
                </w14:textFill>
              </w:rPr>
              <w:t xml:space="preserve">  现有工程</w:t>
            </w:r>
            <w:r>
              <w:rPr>
                <w:rFonts w:hint="eastAsia"/>
                <w:b/>
                <w:color w:val="000000" w:themeColor="text1"/>
                <w:sz w:val="24"/>
                <w14:textFill>
                  <w14:solidFill>
                    <w14:schemeClr w14:val="tx1"/>
                  </w14:solidFill>
                </w14:textFill>
              </w:rPr>
              <w:t>固体废物产生情况表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3047"/>
              <w:gridCol w:w="2077"/>
              <w:gridCol w:w="3100"/>
            </w:tblGrid>
            <w:tr w14:paraId="5A59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4" w:type="pct"/>
                  <w:tcBorders>
                    <w:top w:val="single" w:color="auto" w:sz="4" w:space="0"/>
                    <w:left w:val="single" w:color="auto" w:sz="4" w:space="0"/>
                    <w:bottom w:val="single" w:color="auto" w:sz="4" w:space="0"/>
                    <w:right w:val="single" w:color="auto" w:sz="4" w:space="0"/>
                  </w:tcBorders>
                  <w:vAlign w:val="center"/>
                </w:tcPr>
                <w:p w14:paraId="738227EA">
                  <w:pPr>
                    <w:spacing w:line="240" w:lineRule="exact"/>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序号</w:t>
                  </w:r>
                </w:p>
              </w:tc>
              <w:tc>
                <w:tcPr>
                  <w:tcW w:w="1646" w:type="pct"/>
                  <w:tcBorders>
                    <w:top w:val="single" w:color="auto" w:sz="4" w:space="0"/>
                    <w:left w:val="single" w:color="auto" w:sz="4" w:space="0"/>
                    <w:bottom w:val="single" w:color="auto" w:sz="4" w:space="0"/>
                    <w:right w:val="single" w:color="auto" w:sz="4" w:space="0"/>
                  </w:tcBorders>
                  <w:vAlign w:val="center"/>
                </w:tcPr>
                <w:p w14:paraId="634240EE">
                  <w:pPr>
                    <w:spacing w:line="240" w:lineRule="exact"/>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名称</w:t>
                  </w:r>
                </w:p>
              </w:tc>
              <w:tc>
                <w:tcPr>
                  <w:tcW w:w="1122" w:type="pct"/>
                  <w:tcBorders>
                    <w:top w:val="single" w:color="auto" w:sz="4" w:space="0"/>
                    <w:left w:val="single" w:color="auto" w:sz="4" w:space="0"/>
                    <w:bottom w:val="single" w:color="auto" w:sz="4" w:space="0"/>
                    <w:right w:val="single" w:color="auto" w:sz="4" w:space="0"/>
                  </w:tcBorders>
                  <w:vAlign w:val="center"/>
                </w:tcPr>
                <w:p w14:paraId="7FC1CD4A">
                  <w:pPr>
                    <w:spacing w:line="240" w:lineRule="exact"/>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产生量（t/a）</w:t>
                  </w:r>
                </w:p>
              </w:tc>
              <w:tc>
                <w:tcPr>
                  <w:tcW w:w="1675" w:type="pct"/>
                  <w:tcBorders>
                    <w:top w:val="single" w:color="auto" w:sz="4" w:space="0"/>
                    <w:left w:val="single" w:color="auto" w:sz="4" w:space="0"/>
                    <w:bottom w:val="single" w:color="auto" w:sz="4" w:space="0"/>
                    <w:right w:val="single" w:color="auto" w:sz="4" w:space="0"/>
                  </w:tcBorders>
                  <w:vAlign w:val="center"/>
                </w:tcPr>
                <w:p w14:paraId="48ED8020">
                  <w:pPr>
                    <w:spacing w:line="240" w:lineRule="exact"/>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处理处置情况</w:t>
                  </w:r>
                </w:p>
              </w:tc>
            </w:tr>
            <w:tr w14:paraId="5C0E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4" w:type="pct"/>
                  <w:tcBorders>
                    <w:top w:val="single" w:color="auto" w:sz="4" w:space="0"/>
                    <w:left w:val="single" w:color="auto" w:sz="4" w:space="0"/>
                    <w:bottom w:val="single" w:color="auto" w:sz="4" w:space="0"/>
                    <w:right w:val="single" w:color="auto" w:sz="4" w:space="0"/>
                  </w:tcBorders>
                  <w:vAlign w:val="center"/>
                </w:tcPr>
                <w:p w14:paraId="2994912E">
                  <w:pPr>
                    <w:spacing w:line="240" w:lineRule="exact"/>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p>
              </w:tc>
              <w:tc>
                <w:tcPr>
                  <w:tcW w:w="1646" w:type="pct"/>
                  <w:tcBorders>
                    <w:top w:val="single" w:color="auto" w:sz="4" w:space="0"/>
                    <w:left w:val="single" w:color="auto" w:sz="4" w:space="0"/>
                    <w:bottom w:val="single" w:color="auto" w:sz="4" w:space="0"/>
                    <w:right w:val="single" w:color="auto" w:sz="4" w:space="0"/>
                  </w:tcBorders>
                  <w:vAlign w:val="center"/>
                </w:tcPr>
                <w:p w14:paraId="4392549F">
                  <w:pPr>
                    <w:spacing w:line="240" w:lineRule="exact"/>
                    <w:jc w:val="center"/>
                    <w:rPr>
                      <w:rStyle w:val="88"/>
                      <w:rFonts w:hint="default" w:ascii="Times New Roman" w:hAnsi="Times New Roman"/>
                      <w:color w:val="000000" w:themeColor="text1"/>
                      <w14:textFill>
                        <w14:solidFill>
                          <w14:schemeClr w14:val="tx1"/>
                        </w14:solidFill>
                      </w14:textFill>
                    </w:rPr>
                  </w:pPr>
                  <w:r>
                    <w:rPr>
                      <w:rStyle w:val="88"/>
                      <w:rFonts w:hint="default"/>
                      <w:color w:val="000000" w:themeColor="text1"/>
                      <w14:textFill>
                        <w14:solidFill>
                          <w14:schemeClr w14:val="tx1"/>
                        </w14:solidFill>
                      </w14:textFill>
                    </w:rPr>
                    <w:t>废油</w:t>
                  </w:r>
                </w:p>
              </w:tc>
              <w:tc>
                <w:tcPr>
                  <w:tcW w:w="1122" w:type="pct"/>
                  <w:tcBorders>
                    <w:left w:val="single" w:color="auto" w:sz="4" w:space="0"/>
                    <w:right w:val="single" w:color="auto" w:sz="4" w:space="0"/>
                  </w:tcBorders>
                  <w:vAlign w:val="center"/>
                </w:tcPr>
                <w:p w14:paraId="5FC53977">
                  <w:pPr>
                    <w:spacing w:line="240" w:lineRule="exact"/>
                    <w:jc w:val="center"/>
                    <w:rPr>
                      <w:rStyle w:val="88"/>
                      <w:rFonts w:hint="default" w:ascii="Times New Roman" w:hAnsi="Times New Roman"/>
                      <w:color w:val="000000" w:themeColor="text1"/>
                      <w14:textFill>
                        <w14:solidFill>
                          <w14:schemeClr w14:val="tx1"/>
                        </w14:solidFill>
                      </w14:textFill>
                    </w:rPr>
                  </w:pPr>
                  <w:r>
                    <w:rPr>
                      <w:rStyle w:val="88"/>
                      <w:rFonts w:hint="default"/>
                      <w:color w:val="000000" w:themeColor="text1"/>
                      <w14:textFill>
                        <w14:solidFill>
                          <w14:schemeClr w14:val="tx1"/>
                        </w14:solidFill>
                      </w14:textFill>
                    </w:rPr>
                    <w:t>0.5</w:t>
                  </w:r>
                </w:p>
              </w:tc>
              <w:tc>
                <w:tcPr>
                  <w:tcW w:w="1675" w:type="pct"/>
                  <w:vMerge w:val="restart"/>
                  <w:tcBorders>
                    <w:left w:val="single" w:color="auto" w:sz="4" w:space="0"/>
                    <w:right w:val="single" w:color="auto" w:sz="4" w:space="0"/>
                  </w:tcBorders>
                  <w:vAlign w:val="center"/>
                </w:tcPr>
                <w:p w14:paraId="2C3A850A">
                  <w:pPr>
                    <w:spacing w:line="24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外聘专业清理队伍带走处理，不在站区内储存，送交资质单位代为处置</w:t>
                  </w:r>
                </w:p>
              </w:tc>
            </w:tr>
            <w:tr w14:paraId="4FD9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4" w:type="pct"/>
                  <w:tcBorders>
                    <w:top w:val="single" w:color="auto" w:sz="4" w:space="0"/>
                    <w:left w:val="single" w:color="auto" w:sz="4" w:space="0"/>
                    <w:bottom w:val="single" w:color="auto" w:sz="4" w:space="0"/>
                    <w:right w:val="single" w:color="auto" w:sz="4" w:space="0"/>
                  </w:tcBorders>
                  <w:vAlign w:val="center"/>
                </w:tcPr>
                <w:p w14:paraId="380268E6">
                  <w:pPr>
                    <w:spacing w:line="240" w:lineRule="exact"/>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w:t>
                  </w:r>
                </w:p>
              </w:tc>
              <w:tc>
                <w:tcPr>
                  <w:tcW w:w="1646" w:type="pct"/>
                  <w:tcBorders>
                    <w:top w:val="single" w:color="auto" w:sz="4" w:space="0"/>
                    <w:left w:val="single" w:color="auto" w:sz="4" w:space="0"/>
                    <w:bottom w:val="single" w:color="auto" w:sz="4" w:space="0"/>
                    <w:right w:val="single" w:color="auto" w:sz="4" w:space="0"/>
                  </w:tcBorders>
                  <w:vAlign w:val="center"/>
                </w:tcPr>
                <w:p w14:paraId="4F7F192B">
                  <w:pPr>
                    <w:spacing w:line="240" w:lineRule="exact"/>
                    <w:jc w:val="center"/>
                    <w:rPr>
                      <w:rStyle w:val="88"/>
                      <w:rFonts w:hint="default" w:ascii="Times New Roman" w:hAnsi="Times New Roman"/>
                      <w:color w:val="000000" w:themeColor="text1"/>
                      <w14:textFill>
                        <w14:solidFill>
                          <w14:schemeClr w14:val="tx1"/>
                        </w14:solidFill>
                      </w14:textFill>
                    </w:rPr>
                  </w:pPr>
                  <w:r>
                    <w:rPr>
                      <w:rStyle w:val="88"/>
                      <w:rFonts w:hint="default"/>
                      <w:color w:val="000000" w:themeColor="text1"/>
                      <w14:textFill>
                        <w14:solidFill>
                          <w14:schemeClr w14:val="tx1"/>
                        </w14:solidFill>
                      </w14:textFill>
                    </w:rPr>
                    <w:t>废渣</w:t>
                  </w:r>
                </w:p>
              </w:tc>
              <w:tc>
                <w:tcPr>
                  <w:tcW w:w="1122" w:type="pct"/>
                  <w:tcBorders>
                    <w:left w:val="single" w:color="auto" w:sz="4" w:space="0"/>
                    <w:right w:val="single" w:color="auto" w:sz="4" w:space="0"/>
                  </w:tcBorders>
                  <w:vAlign w:val="center"/>
                </w:tcPr>
                <w:p w14:paraId="59F569C0">
                  <w:pPr>
                    <w:widowControl/>
                    <w:spacing w:line="240" w:lineRule="exact"/>
                    <w:jc w:val="center"/>
                    <w:rPr>
                      <w:rStyle w:val="88"/>
                      <w:rFonts w:hint="default" w:ascii="Times New Roman" w:hAnsi="Times New Roman"/>
                      <w:color w:val="000000" w:themeColor="text1"/>
                      <w14:textFill>
                        <w14:solidFill>
                          <w14:schemeClr w14:val="tx1"/>
                        </w14:solidFill>
                      </w14:textFill>
                    </w:rPr>
                  </w:pPr>
                  <w:r>
                    <w:rPr>
                      <w:rStyle w:val="88"/>
                      <w:rFonts w:hint="default"/>
                      <w:color w:val="000000" w:themeColor="text1"/>
                      <w14:textFill>
                        <w14:solidFill>
                          <w14:schemeClr w14:val="tx1"/>
                        </w14:solidFill>
                      </w14:textFill>
                    </w:rPr>
                    <w:t>0.3</w:t>
                  </w:r>
                </w:p>
              </w:tc>
              <w:tc>
                <w:tcPr>
                  <w:tcW w:w="1675" w:type="pct"/>
                  <w:vMerge w:val="continue"/>
                  <w:tcBorders>
                    <w:left w:val="single" w:color="auto" w:sz="4" w:space="0"/>
                    <w:right w:val="single" w:color="auto" w:sz="4" w:space="0"/>
                  </w:tcBorders>
                  <w:vAlign w:val="center"/>
                </w:tcPr>
                <w:p w14:paraId="36E6D081">
                  <w:pPr>
                    <w:spacing w:line="240" w:lineRule="exact"/>
                    <w:jc w:val="center"/>
                    <w:rPr>
                      <w:snapToGrid w:val="0"/>
                      <w:color w:val="000000" w:themeColor="text1"/>
                      <w:kern w:val="0"/>
                      <w:szCs w:val="21"/>
                      <w14:textFill>
                        <w14:solidFill>
                          <w14:schemeClr w14:val="tx1"/>
                        </w14:solidFill>
                      </w14:textFill>
                    </w:rPr>
                  </w:pPr>
                </w:p>
              </w:tc>
            </w:tr>
            <w:tr w14:paraId="5EB3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4" w:type="pct"/>
                  <w:tcBorders>
                    <w:top w:val="single" w:color="auto" w:sz="4" w:space="0"/>
                    <w:left w:val="single" w:color="auto" w:sz="4" w:space="0"/>
                    <w:bottom w:val="single" w:color="auto" w:sz="4" w:space="0"/>
                    <w:right w:val="single" w:color="auto" w:sz="4" w:space="0"/>
                  </w:tcBorders>
                  <w:vAlign w:val="center"/>
                </w:tcPr>
                <w:p w14:paraId="6D8D270C">
                  <w:pPr>
                    <w:spacing w:line="24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3</w:t>
                  </w:r>
                </w:p>
              </w:tc>
              <w:tc>
                <w:tcPr>
                  <w:tcW w:w="1646" w:type="pct"/>
                  <w:tcBorders>
                    <w:top w:val="single" w:color="auto" w:sz="4" w:space="0"/>
                    <w:left w:val="single" w:color="auto" w:sz="4" w:space="0"/>
                    <w:bottom w:val="single" w:color="auto" w:sz="4" w:space="0"/>
                    <w:right w:val="single" w:color="auto" w:sz="4" w:space="0"/>
                  </w:tcBorders>
                  <w:vAlign w:val="center"/>
                </w:tcPr>
                <w:p w14:paraId="5B1FDACA">
                  <w:pPr>
                    <w:spacing w:line="240" w:lineRule="exact"/>
                    <w:jc w:val="center"/>
                    <w:rPr>
                      <w:rStyle w:val="88"/>
                      <w:rFonts w:hint="default" w:ascii="Times New Roman" w:hAnsi="Times New Roman"/>
                      <w:color w:val="000000" w:themeColor="text1"/>
                      <w14:textFill>
                        <w14:solidFill>
                          <w14:schemeClr w14:val="tx1"/>
                        </w14:solidFill>
                      </w14:textFill>
                    </w:rPr>
                  </w:pPr>
                  <w:r>
                    <w:rPr>
                      <w:rStyle w:val="88"/>
                      <w:rFonts w:hint="default" w:ascii="Times New Roman" w:hAnsi="Times New Roman"/>
                      <w:color w:val="000000" w:themeColor="text1"/>
                      <w14:textFill>
                        <w14:solidFill>
                          <w14:schemeClr w14:val="tx1"/>
                        </w14:solidFill>
                      </w14:textFill>
                    </w:rPr>
                    <w:t>生活垃圾</w:t>
                  </w:r>
                </w:p>
              </w:tc>
              <w:tc>
                <w:tcPr>
                  <w:tcW w:w="1122" w:type="pct"/>
                  <w:tcBorders>
                    <w:left w:val="single" w:color="auto" w:sz="4" w:space="0"/>
                    <w:bottom w:val="single" w:color="auto" w:sz="4" w:space="0"/>
                    <w:right w:val="single" w:color="auto" w:sz="4" w:space="0"/>
                  </w:tcBorders>
                  <w:vAlign w:val="center"/>
                </w:tcPr>
                <w:p w14:paraId="701952B8">
                  <w:pPr>
                    <w:spacing w:line="240" w:lineRule="exact"/>
                    <w:jc w:val="center"/>
                    <w:rPr>
                      <w:rStyle w:val="88"/>
                      <w:rFonts w:hint="default" w:ascii="Times New Roman" w:hAnsi="Times New Roman"/>
                      <w:color w:val="000000" w:themeColor="text1"/>
                      <w14:textFill>
                        <w14:solidFill>
                          <w14:schemeClr w14:val="tx1"/>
                        </w14:solidFill>
                      </w14:textFill>
                    </w:rPr>
                  </w:pPr>
                  <w:r>
                    <w:rPr>
                      <w:rStyle w:val="88"/>
                      <w:rFonts w:hint="default"/>
                      <w:color w:val="000000" w:themeColor="text1"/>
                      <w14:textFill>
                        <w14:solidFill>
                          <w14:schemeClr w14:val="tx1"/>
                        </w14:solidFill>
                      </w14:textFill>
                    </w:rPr>
                    <w:t>1.64</w:t>
                  </w:r>
                </w:p>
              </w:tc>
              <w:tc>
                <w:tcPr>
                  <w:tcW w:w="1675" w:type="pct"/>
                  <w:tcBorders>
                    <w:left w:val="single" w:color="auto" w:sz="4" w:space="0"/>
                    <w:right w:val="single" w:color="auto" w:sz="4" w:space="0"/>
                  </w:tcBorders>
                  <w:vAlign w:val="center"/>
                </w:tcPr>
                <w:p w14:paraId="168746CC">
                  <w:pPr>
                    <w:spacing w:line="240" w:lineRule="exact"/>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环卫部门统一清运</w:t>
                  </w:r>
                </w:p>
              </w:tc>
            </w:tr>
            <w:bookmarkEnd w:id="3"/>
          </w:tbl>
          <w:p w14:paraId="2E175D83">
            <w:pPr>
              <w:spacing w:line="520" w:lineRule="exact"/>
              <w:ind w:firstLine="482"/>
              <w:rPr>
                <w:color w:val="000000" w:themeColor="text1"/>
                <w:sz w:val="24"/>
                <w14:textFill>
                  <w14:solidFill>
                    <w14:schemeClr w14:val="tx1"/>
                  </w14:solidFill>
                </w14:textFill>
              </w:rPr>
            </w:pPr>
            <w:r>
              <w:rPr>
                <w:b/>
                <w:bCs/>
                <w:color w:val="000000" w:themeColor="text1"/>
                <w:sz w:val="24"/>
                <w14:textFill>
                  <w14:solidFill>
                    <w14:schemeClr w14:val="tx1"/>
                  </w14:solidFill>
                </w14:textFill>
              </w:rPr>
              <w:t>二、主要环境问题</w:t>
            </w:r>
            <w:r>
              <w:rPr>
                <w:rFonts w:hint="eastAsia"/>
                <w:b/>
                <w:bCs/>
                <w:color w:val="000000" w:themeColor="text1"/>
                <w:sz w:val="24"/>
                <w14:textFill>
                  <w14:solidFill>
                    <w14:schemeClr w14:val="tx1"/>
                  </w14:solidFill>
                </w14:textFill>
              </w:rPr>
              <w:t>：</w:t>
            </w:r>
            <w:r>
              <w:rPr>
                <w:rFonts w:hint="eastAsia" w:ascii="Times New Roman" w:hAnsi="Times New Roman" w:cs="Times New Roman"/>
                <w:snapToGrid w:val="0"/>
                <w:color w:val="000000" w:themeColor="text1"/>
                <w:kern w:val="0"/>
                <w:sz w:val="24"/>
                <w:lang w:val="en-US" w:eastAsia="zh-CN"/>
                <w14:textFill>
                  <w14:solidFill>
                    <w14:schemeClr w14:val="tx1"/>
                  </w14:solidFill>
                </w14:textFill>
              </w:rPr>
              <w:t>根据现状污染物排放监测报告，</w:t>
            </w:r>
            <w:r>
              <w:rPr>
                <w:rFonts w:hint="eastAsia" w:ascii="Times New Roman" w:hAnsi="Times New Roman" w:cs="Times New Roman"/>
                <w:snapToGrid w:val="0"/>
                <w:color w:val="000000" w:themeColor="text1"/>
                <w:kern w:val="0"/>
                <w:sz w:val="24"/>
                <w14:textFill>
                  <w14:solidFill>
                    <w14:schemeClr w14:val="tx1"/>
                  </w14:solidFill>
                </w14:textFill>
              </w:rPr>
              <w:t>厂区现有工程各项污染防治措施落实到位，污染物排放达到了国家相关排放标准。无与本项目有关的环境问题。</w:t>
            </w:r>
          </w:p>
        </w:tc>
      </w:tr>
      <w:tr w14:paraId="22128E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89" w:hRule="atLeast"/>
        </w:trPr>
        <w:tc>
          <w:tcPr>
            <w:tcW w:w="1081" w:type="dxa"/>
            <w:gridSpan w:val="2"/>
            <w:vAlign w:val="center"/>
          </w:tcPr>
          <w:p w14:paraId="18C5DD50">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区域</w:t>
            </w:r>
          </w:p>
          <w:p w14:paraId="79C7F8A3">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w:t>
            </w:r>
          </w:p>
          <w:p w14:paraId="079A765C">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质量</w:t>
            </w:r>
          </w:p>
          <w:p w14:paraId="4BBB65B0">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现状</w:t>
            </w:r>
          </w:p>
        </w:tc>
        <w:tc>
          <w:tcPr>
            <w:tcW w:w="8868" w:type="dxa"/>
            <w:shd w:val="clear" w:color="auto" w:fill="auto"/>
            <w:vAlign w:val="center"/>
          </w:tcPr>
          <w:p w14:paraId="6F38E89A">
            <w:pPr>
              <w:spacing w:line="500" w:lineRule="atLeast"/>
              <w:ind w:firstLine="480" w:firstLineChars="200"/>
              <w:rPr>
                <w:b/>
                <w:bCs/>
                <w:snapToGrid w:val="0"/>
                <w:color w:val="000000" w:themeColor="text1"/>
                <w:kern w:val="0"/>
                <w:sz w:val="24"/>
                <w14:textFill>
                  <w14:solidFill>
                    <w14:schemeClr w14:val="tx1"/>
                  </w14:solidFill>
                </w14:textFill>
              </w:rPr>
            </w:pPr>
            <w:r>
              <w:rPr>
                <w:sz w:val="24"/>
              </w:rPr>
              <mc:AlternateContent>
                <mc:Choice Requires="wps">
                  <w:drawing>
                    <wp:anchor distT="0" distB="0" distL="114300" distR="114300" simplePos="0" relativeHeight="251691008" behindDoc="0" locked="0" layoutInCell="1" allowOverlap="1">
                      <wp:simplePos x="0" y="0"/>
                      <wp:positionH relativeFrom="column">
                        <wp:posOffset>677545</wp:posOffset>
                      </wp:positionH>
                      <wp:positionV relativeFrom="paragraph">
                        <wp:posOffset>-471170</wp:posOffset>
                      </wp:positionV>
                      <wp:extent cx="4377690" cy="431800"/>
                      <wp:effectExtent l="0" t="0" r="0" b="0"/>
                      <wp:wrapNone/>
                      <wp:docPr id="1" name="文本框 1"/>
                      <wp:cNvGraphicFramePr/>
                      <a:graphic xmlns:a="http://schemas.openxmlformats.org/drawingml/2006/main">
                        <a:graphicData uri="http://schemas.microsoft.com/office/word/2010/wordprocessingShape">
                          <wps:wsp>
                            <wps:cNvSpPr txBox="1"/>
                            <wps:spPr>
                              <a:xfrm>
                                <a:off x="1892300" y="451485"/>
                                <a:ext cx="4377690" cy="431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613FF">
                                  <w:pPr>
                                    <w:widowControl/>
                                    <w:ind w:left="-565" w:leftChars="-270" w:right="-651" w:rightChars="-310" w:hanging="2"/>
                                    <w:jc w:val="center"/>
                                    <w:outlineLvl w:val="0"/>
                                    <w:rPr>
                                      <w:rFonts w:ascii="黑体" w:hAnsi="黑体" w:eastAsia="黑体"/>
                                      <w:snapToGrid w:val="0"/>
                                      <w:color w:val="000000" w:themeColor="text1"/>
                                      <w:kern w:val="0"/>
                                      <w:sz w:val="30"/>
                                      <w:szCs w:val="30"/>
                                      <w14:textFill>
                                        <w14:solidFill>
                                          <w14:schemeClr w14:val="tx1"/>
                                        </w14:solidFill>
                                      </w14:textFill>
                                    </w:rPr>
                                  </w:pPr>
                                  <w:r>
                                    <w:rPr>
                                      <w:rFonts w:hint="eastAsia" w:ascii="黑体" w:hAnsi="黑体" w:eastAsia="黑体"/>
                                      <w:snapToGrid w:val="0"/>
                                      <w:color w:val="000000" w:themeColor="text1"/>
                                      <w:kern w:val="0"/>
                                      <w:sz w:val="30"/>
                                      <w:szCs w:val="30"/>
                                      <w14:textFill>
                                        <w14:solidFill>
                                          <w14:schemeClr w14:val="tx1"/>
                                        </w14:solidFill>
                                      </w14:textFill>
                                    </w:rPr>
                                    <w:t>三、区域环境质量现状、环境保护目标及评价标准</w:t>
                                  </w:r>
                                </w:p>
                                <w:p w14:paraId="0949DAE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35pt;margin-top:-37.1pt;height:34pt;width:344.7pt;z-index:251691008;mso-width-relative:page;mso-height-relative:page;" filled="f" stroked="f" coordsize="21600,21600" o:gfxdata="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pLFsk2gAAAAoBAAAPAAAAAAAAAAEA&#10;IAAAACIAAABkcnMvZG93bnJldi54bWxQSwECFAAUAAAACACHTuJAorcGs0YCAABxBAAADgAAAAAA&#10;AAABACAAAAApAQAAZHJzL2Uyb0RvYy54bWxQSwUGAAAAAAYABgBZAQAA4QUAAAAA&#10;">
                      <v:fill on="f" focussize="0,0"/>
                      <v:stroke on="f" weight="0.5pt"/>
                      <v:imagedata o:title=""/>
                      <o:lock v:ext="edit" aspectratio="f"/>
                      <v:textbox>
                        <w:txbxContent>
                          <w:p w14:paraId="285613FF">
                            <w:pPr>
                              <w:widowControl/>
                              <w:ind w:left="-565" w:leftChars="-270" w:right="-651" w:rightChars="-310" w:hanging="2"/>
                              <w:jc w:val="center"/>
                              <w:outlineLvl w:val="0"/>
                              <w:rPr>
                                <w:rFonts w:ascii="黑体" w:hAnsi="黑体" w:eastAsia="黑体"/>
                                <w:snapToGrid w:val="0"/>
                                <w:color w:val="000000" w:themeColor="text1"/>
                                <w:kern w:val="0"/>
                                <w:sz w:val="30"/>
                                <w:szCs w:val="30"/>
                                <w14:textFill>
                                  <w14:solidFill>
                                    <w14:schemeClr w14:val="tx1"/>
                                  </w14:solidFill>
                                </w14:textFill>
                              </w:rPr>
                            </w:pPr>
                            <w:r>
                              <w:rPr>
                                <w:rFonts w:hint="eastAsia" w:ascii="黑体" w:hAnsi="黑体" w:eastAsia="黑体"/>
                                <w:snapToGrid w:val="0"/>
                                <w:color w:val="000000" w:themeColor="text1"/>
                                <w:kern w:val="0"/>
                                <w:sz w:val="30"/>
                                <w:szCs w:val="30"/>
                                <w14:textFill>
                                  <w14:solidFill>
                                    <w14:schemeClr w14:val="tx1"/>
                                  </w14:solidFill>
                                </w14:textFill>
                              </w:rPr>
                              <w:t>三、区域环境质量现状、环境保护目标及评价标准</w:t>
                            </w:r>
                          </w:p>
                          <w:p w14:paraId="0949DAEF"/>
                        </w:txbxContent>
                      </v:textbox>
                    </v:shape>
                  </w:pict>
                </mc:Fallback>
              </mc:AlternateContent>
            </w:r>
            <w:r>
              <w:rPr>
                <w:rFonts w:hint="eastAsia"/>
                <w:b/>
                <w:bCs/>
                <w:snapToGrid w:val="0"/>
                <w:color w:val="000000" w:themeColor="text1"/>
                <w:kern w:val="0"/>
                <w:sz w:val="24"/>
                <w14:textFill>
                  <w14:solidFill>
                    <w14:schemeClr w14:val="tx1"/>
                  </w14:solidFill>
                </w14:textFill>
              </w:rPr>
              <w:t>一、环境空气质量现状</w:t>
            </w:r>
          </w:p>
          <w:p w14:paraId="754049B6">
            <w:pPr>
              <w:spacing w:line="500" w:lineRule="atLeast"/>
              <w:ind w:firstLine="480" w:firstLineChars="200"/>
              <w:rPr>
                <w:color w:val="000000"/>
                <w:sz w:val="24"/>
              </w:rPr>
            </w:pPr>
            <w:r>
              <w:rPr>
                <w:color w:val="000000"/>
                <w:sz w:val="24"/>
              </w:rPr>
              <w:t>本项目位于蚌埠市，评价基准年为2023年，根据蚌埠市生态环境局于2024年6月3日公布的《2023年蚌埠市生态环境质量状况公报》，2023年蚌埠市环境空气质量监测项目为二氧化硫（SO</w:t>
            </w:r>
            <w:r>
              <w:rPr>
                <w:color w:val="000000"/>
                <w:sz w:val="24"/>
                <w:vertAlign w:val="subscript"/>
              </w:rPr>
              <w:t>2</w:t>
            </w:r>
            <w:r>
              <w:rPr>
                <w:color w:val="000000"/>
                <w:sz w:val="24"/>
              </w:rPr>
              <w:t>）、颗粒物（PM</w:t>
            </w:r>
            <w:r>
              <w:rPr>
                <w:color w:val="000000"/>
                <w:sz w:val="24"/>
                <w:vertAlign w:val="subscript"/>
              </w:rPr>
              <w:t>10</w:t>
            </w:r>
            <w:r>
              <w:rPr>
                <w:color w:val="000000"/>
                <w:sz w:val="24"/>
              </w:rPr>
              <w:t>）、二氧化氮（NO</w:t>
            </w:r>
            <w:r>
              <w:rPr>
                <w:color w:val="000000"/>
                <w:sz w:val="24"/>
                <w:vertAlign w:val="subscript"/>
              </w:rPr>
              <w:t>2</w:t>
            </w:r>
            <w:r>
              <w:rPr>
                <w:color w:val="000000"/>
                <w:sz w:val="24"/>
              </w:rPr>
              <w:t>）、颗粒物 （PM</w:t>
            </w:r>
            <w:r>
              <w:rPr>
                <w:color w:val="000000"/>
                <w:sz w:val="24"/>
                <w:vertAlign w:val="subscript"/>
              </w:rPr>
              <w:t>2.5</w:t>
            </w:r>
            <w:r>
              <w:rPr>
                <w:color w:val="000000"/>
                <w:sz w:val="24"/>
              </w:rPr>
              <w:t>）、臭氧（O</w:t>
            </w:r>
            <w:r>
              <w:rPr>
                <w:color w:val="000000"/>
                <w:sz w:val="24"/>
                <w:vertAlign w:val="subscript"/>
              </w:rPr>
              <w:t>3</w:t>
            </w:r>
            <w:r>
              <w:rPr>
                <w:color w:val="000000"/>
                <w:sz w:val="24"/>
              </w:rPr>
              <w:t>）和一氧化碳（CO）六项。2023年，细颗粒物（PM</w:t>
            </w:r>
            <w:r>
              <w:rPr>
                <w:color w:val="000000"/>
                <w:sz w:val="24"/>
                <w:vertAlign w:val="subscript"/>
              </w:rPr>
              <w:t>2.5</w:t>
            </w:r>
            <w:r>
              <w:rPr>
                <w:color w:val="000000"/>
                <w:sz w:val="24"/>
              </w:rPr>
              <w:t>）年均浓度为38微克/立方米，同比上升1微克/立方米；优良天数比例为80.8%，同比上升1.9%。基本污染物环境质量现状监测与评价结果见下表：</w:t>
            </w:r>
          </w:p>
          <w:p w14:paraId="3E58CF5E">
            <w:pPr>
              <w:spacing w:line="500" w:lineRule="atLeast"/>
              <w:ind w:right="105" w:rightChars="50" w:firstLine="482" w:firstLineChars="200"/>
              <w:jc w:val="center"/>
              <w:rPr>
                <w:bCs/>
                <w:color w:val="000000"/>
                <w:sz w:val="24"/>
              </w:rPr>
            </w:pPr>
            <w:r>
              <w:rPr>
                <w:b/>
                <w:color w:val="000000"/>
                <w:sz w:val="24"/>
              </w:rPr>
              <w:t>表3-1  202</w:t>
            </w:r>
            <w:r>
              <w:rPr>
                <w:rFonts w:hint="eastAsia"/>
                <w:b/>
                <w:color w:val="000000"/>
                <w:sz w:val="24"/>
              </w:rPr>
              <w:t>3</w:t>
            </w:r>
            <w:r>
              <w:rPr>
                <w:b/>
                <w:color w:val="000000"/>
                <w:sz w:val="24"/>
              </w:rPr>
              <w:t>年度蚌埠市环境状况</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2"/>
              <w:gridCol w:w="3052"/>
              <w:gridCol w:w="1138"/>
              <w:gridCol w:w="1155"/>
              <w:gridCol w:w="1176"/>
              <w:gridCol w:w="1367"/>
            </w:tblGrid>
            <w:tr w14:paraId="0EDB75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2" w:type="pct"/>
                  <w:tcBorders>
                    <w:top w:val="single" w:color="auto" w:sz="4" w:space="0"/>
                    <w:left w:val="single" w:color="auto" w:sz="6" w:space="0"/>
                    <w:bottom w:val="single" w:color="auto" w:sz="4" w:space="0"/>
                    <w:right w:val="single" w:color="auto" w:sz="4" w:space="0"/>
                  </w:tcBorders>
                  <w:noWrap/>
                  <w:vAlign w:val="center"/>
                </w:tcPr>
                <w:p w14:paraId="7018138D">
                  <w:pPr>
                    <w:jc w:val="center"/>
                    <w:rPr>
                      <w:color w:val="000000"/>
                      <w:szCs w:val="21"/>
                    </w:rPr>
                  </w:pPr>
                  <w:r>
                    <w:rPr>
                      <w:color w:val="000000"/>
                      <w:szCs w:val="21"/>
                    </w:rPr>
                    <w:t>污染物</w:t>
                  </w:r>
                </w:p>
              </w:tc>
              <w:tc>
                <w:tcPr>
                  <w:tcW w:w="1752" w:type="pct"/>
                  <w:tcBorders>
                    <w:top w:val="single" w:color="auto" w:sz="4" w:space="0"/>
                    <w:left w:val="single" w:color="auto" w:sz="4" w:space="0"/>
                    <w:bottom w:val="single" w:color="auto" w:sz="4" w:space="0"/>
                    <w:right w:val="single" w:color="auto" w:sz="4" w:space="0"/>
                  </w:tcBorders>
                  <w:noWrap/>
                  <w:vAlign w:val="center"/>
                </w:tcPr>
                <w:p w14:paraId="66B2F039">
                  <w:pPr>
                    <w:jc w:val="center"/>
                    <w:rPr>
                      <w:color w:val="000000"/>
                      <w:szCs w:val="21"/>
                    </w:rPr>
                  </w:pPr>
                  <w:r>
                    <w:rPr>
                      <w:color w:val="000000"/>
                      <w:szCs w:val="21"/>
                    </w:rPr>
                    <w:t>年评价指标</w:t>
                  </w:r>
                </w:p>
              </w:tc>
              <w:tc>
                <w:tcPr>
                  <w:tcW w:w="653" w:type="pct"/>
                  <w:tcBorders>
                    <w:top w:val="single" w:color="auto" w:sz="4" w:space="0"/>
                    <w:left w:val="single" w:color="auto" w:sz="4" w:space="0"/>
                    <w:bottom w:val="single" w:color="auto" w:sz="4" w:space="0"/>
                    <w:right w:val="single" w:color="auto" w:sz="4" w:space="0"/>
                  </w:tcBorders>
                  <w:noWrap/>
                  <w:vAlign w:val="center"/>
                </w:tcPr>
                <w:p w14:paraId="79B6990A">
                  <w:pPr>
                    <w:jc w:val="center"/>
                    <w:rPr>
                      <w:color w:val="000000"/>
                      <w:szCs w:val="21"/>
                    </w:rPr>
                  </w:pPr>
                  <w:r>
                    <w:rPr>
                      <w:color w:val="000000"/>
                      <w:szCs w:val="21"/>
                    </w:rPr>
                    <w:t>标准值</w:t>
                  </w:r>
                </w:p>
                <w:p w14:paraId="6D1A08C5">
                  <w:pPr>
                    <w:jc w:val="center"/>
                    <w:rPr>
                      <w:color w:val="000000"/>
                      <w:szCs w:val="21"/>
                    </w:rPr>
                  </w:pPr>
                  <w:r>
                    <w:rPr>
                      <w:color w:val="000000"/>
                      <w:szCs w:val="21"/>
                    </w:rPr>
                    <w:t>（μg/m³）</w:t>
                  </w:r>
                </w:p>
              </w:tc>
              <w:tc>
                <w:tcPr>
                  <w:tcW w:w="663" w:type="pct"/>
                  <w:tcBorders>
                    <w:top w:val="single" w:color="auto" w:sz="4" w:space="0"/>
                    <w:left w:val="single" w:color="auto" w:sz="4" w:space="0"/>
                    <w:bottom w:val="single" w:color="auto" w:sz="4" w:space="0"/>
                    <w:right w:val="single" w:color="auto" w:sz="4" w:space="0"/>
                  </w:tcBorders>
                  <w:noWrap/>
                  <w:vAlign w:val="center"/>
                </w:tcPr>
                <w:p w14:paraId="1ACF5C63">
                  <w:pPr>
                    <w:jc w:val="center"/>
                    <w:rPr>
                      <w:color w:val="000000"/>
                      <w:szCs w:val="21"/>
                    </w:rPr>
                  </w:pPr>
                  <w:r>
                    <w:rPr>
                      <w:color w:val="000000"/>
                      <w:szCs w:val="21"/>
                    </w:rPr>
                    <w:t>现状浓度</w:t>
                  </w:r>
                </w:p>
                <w:p w14:paraId="20180E52">
                  <w:pPr>
                    <w:jc w:val="center"/>
                    <w:rPr>
                      <w:color w:val="000000"/>
                      <w:szCs w:val="21"/>
                    </w:rPr>
                  </w:pPr>
                  <w:r>
                    <w:rPr>
                      <w:color w:val="000000"/>
                      <w:szCs w:val="21"/>
                    </w:rPr>
                    <w:t>（μg/m³）</w:t>
                  </w:r>
                </w:p>
              </w:tc>
              <w:tc>
                <w:tcPr>
                  <w:tcW w:w="675" w:type="pct"/>
                  <w:tcBorders>
                    <w:top w:val="single" w:color="auto" w:sz="4" w:space="0"/>
                    <w:left w:val="single" w:color="auto" w:sz="4" w:space="0"/>
                    <w:bottom w:val="single" w:color="auto" w:sz="4" w:space="0"/>
                    <w:right w:val="single" w:color="auto" w:sz="4" w:space="0"/>
                  </w:tcBorders>
                  <w:noWrap/>
                  <w:vAlign w:val="center"/>
                </w:tcPr>
                <w:p w14:paraId="55EA16C9">
                  <w:pPr>
                    <w:jc w:val="center"/>
                    <w:rPr>
                      <w:color w:val="000000"/>
                      <w:szCs w:val="21"/>
                    </w:rPr>
                  </w:pPr>
                  <w:r>
                    <w:rPr>
                      <w:color w:val="000000"/>
                      <w:szCs w:val="21"/>
                    </w:rPr>
                    <w:t>占标率</w:t>
                  </w:r>
                </w:p>
                <w:p w14:paraId="1079034D">
                  <w:pPr>
                    <w:jc w:val="center"/>
                    <w:rPr>
                      <w:color w:val="000000"/>
                      <w:szCs w:val="21"/>
                    </w:rPr>
                  </w:pPr>
                  <w:r>
                    <w:rPr>
                      <w:color w:val="000000"/>
                      <w:szCs w:val="21"/>
                    </w:rPr>
                    <w:t>%</w:t>
                  </w:r>
                </w:p>
              </w:tc>
              <w:tc>
                <w:tcPr>
                  <w:tcW w:w="785" w:type="pct"/>
                  <w:tcBorders>
                    <w:top w:val="single" w:color="auto" w:sz="4" w:space="0"/>
                    <w:left w:val="single" w:color="auto" w:sz="4" w:space="0"/>
                    <w:bottom w:val="single" w:color="auto" w:sz="4" w:space="0"/>
                    <w:right w:val="single" w:color="auto" w:sz="4" w:space="0"/>
                  </w:tcBorders>
                  <w:noWrap/>
                  <w:vAlign w:val="center"/>
                </w:tcPr>
                <w:p w14:paraId="0D805221">
                  <w:pPr>
                    <w:jc w:val="center"/>
                    <w:rPr>
                      <w:color w:val="000000"/>
                      <w:szCs w:val="21"/>
                    </w:rPr>
                  </w:pPr>
                  <w:r>
                    <w:rPr>
                      <w:color w:val="000000"/>
                      <w:szCs w:val="21"/>
                    </w:rPr>
                    <w:t>达标情况</w:t>
                  </w:r>
                </w:p>
              </w:tc>
            </w:tr>
            <w:tr w14:paraId="08C1D4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2" w:type="pct"/>
                  <w:tcBorders>
                    <w:top w:val="single" w:color="auto" w:sz="4" w:space="0"/>
                    <w:left w:val="single" w:color="auto" w:sz="4" w:space="0"/>
                    <w:bottom w:val="single" w:color="auto" w:sz="4" w:space="0"/>
                    <w:right w:val="single" w:color="auto" w:sz="4" w:space="0"/>
                  </w:tcBorders>
                  <w:noWrap/>
                  <w:vAlign w:val="center"/>
                </w:tcPr>
                <w:p w14:paraId="1435EF8F">
                  <w:pPr>
                    <w:jc w:val="center"/>
                    <w:rPr>
                      <w:color w:val="000000"/>
                      <w:szCs w:val="21"/>
                    </w:rPr>
                  </w:pPr>
                  <w:r>
                    <w:rPr>
                      <w:color w:val="000000"/>
                      <w:szCs w:val="21"/>
                    </w:rPr>
                    <w:t>SO</w:t>
                  </w:r>
                  <w:r>
                    <w:rPr>
                      <w:color w:val="000000"/>
                      <w:szCs w:val="21"/>
                      <w:vertAlign w:val="subscript"/>
                    </w:rPr>
                    <w:t>2</w:t>
                  </w:r>
                </w:p>
              </w:tc>
              <w:tc>
                <w:tcPr>
                  <w:tcW w:w="1752" w:type="pct"/>
                  <w:tcBorders>
                    <w:top w:val="single" w:color="auto" w:sz="4" w:space="0"/>
                    <w:left w:val="single" w:color="auto" w:sz="4" w:space="0"/>
                    <w:bottom w:val="single" w:color="auto" w:sz="4" w:space="0"/>
                    <w:right w:val="single" w:color="auto" w:sz="4" w:space="0"/>
                  </w:tcBorders>
                  <w:noWrap/>
                  <w:vAlign w:val="center"/>
                </w:tcPr>
                <w:p w14:paraId="7434038F">
                  <w:pPr>
                    <w:jc w:val="center"/>
                    <w:rPr>
                      <w:color w:val="000000"/>
                      <w:szCs w:val="21"/>
                    </w:rPr>
                  </w:pPr>
                  <w:r>
                    <w:rPr>
                      <w:color w:val="000000"/>
                      <w:szCs w:val="21"/>
                    </w:rPr>
                    <w:t>年均值</w:t>
                  </w:r>
                </w:p>
              </w:tc>
              <w:tc>
                <w:tcPr>
                  <w:tcW w:w="653" w:type="pct"/>
                  <w:tcBorders>
                    <w:top w:val="single" w:color="auto" w:sz="4" w:space="0"/>
                    <w:left w:val="single" w:color="auto" w:sz="4" w:space="0"/>
                    <w:bottom w:val="single" w:color="auto" w:sz="4" w:space="0"/>
                    <w:right w:val="single" w:color="auto" w:sz="4" w:space="0"/>
                  </w:tcBorders>
                  <w:noWrap/>
                  <w:vAlign w:val="center"/>
                </w:tcPr>
                <w:p w14:paraId="0A797126">
                  <w:pPr>
                    <w:jc w:val="center"/>
                    <w:rPr>
                      <w:color w:val="000000"/>
                      <w:szCs w:val="21"/>
                    </w:rPr>
                  </w:pPr>
                  <w:r>
                    <w:rPr>
                      <w:color w:val="000000"/>
                      <w:szCs w:val="21"/>
                    </w:rPr>
                    <w:t>60</w:t>
                  </w:r>
                </w:p>
              </w:tc>
              <w:tc>
                <w:tcPr>
                  <w:tcW w:w="663" w:type="pct"/>
                  <w:tcBorders>
                    <w:top w:val="single" w:color="auto" w:sz="4" w:space="0"/>
                    <w:left w:val="single" w:color="auto" w:sz="4" w:space="0"/>
                    <w:bottom w:val="single" w:color="auto" w:sz="4" w:space="0"/>
                    <w:right w:val="single" w:color="auto" w:sz="4" w:space="0"/>
                  </w:tcBorders>
                  <w:noWrap/>
                  <w:vAlign w:val="center"/>
                </w:tcPr>
                <w:p w14:paraId="6FF67D5E">
                  <w:pPr>
                    <w:jc w:val="center"/>
                    <w:rPr>
                      <w:color w:val="000000"/>
                      <w:szCs w:val="21"/>
                    </w:rPr>
                  </w:pPr>
                  <w:r>
                    <w:rPr>
                      <w:rFonts w:hint="eastAsia"/>
                      <w:color w:val="000000"/>
                      <w:szCs w:val="21"/>
                    </w:rPr>
                    <w:t>8</w:t>
                  </w:r>
                </w:p>
              </w:tc>
              <w:tc>
                <w:tcPr>
                  <w:tcW w:w="675" w:type="pct"/>
                  <w:tcBorders>
                    <w:top w:val="single" w:color="auto" w:sz="4" w:space="0"/>
                    <w:left w:val="single" w:color="auto" w:sz="4" w:space="0"/>
                    <w:bottom w:val="single" w:color="auto" w:sz="4" w:space="0"/>
                    <w:right w:val="single" w:color="auto" w:sz="4" w:space="0"/>
                  </w:tcBorders>
                  <w:noWrap/>
                  <w:vAlign w:val="center"/>
                </w:tcPr>
                <w:p w14:paraId="5E3472B0">
                  <w:pPr>
                    <w:jc w:val="center"/>
                    <w:rPr>
                      <w:color w:val="000000"/>
                      <w:szCs w:val="21"/>
                    </w:rPr>
                  </w:pPr>
                  <w:r>
                    <w:rPr>
                      <w:color w:val="000000"/>
                      <w:szCs w:val="21"/>
                    </w:rPr>
                    <w:t>16.67</w:t>
                  </w:r>
                </w:p>
              </w:tc>
              <w:tc>
                <w:tcPr>
                  <w:tcW w:w="785" w:type="pct"/>
                  <w:tcBorders>
                    <w:top w:val="single" w:color="auto" w:sz="4" w:space="0"/>
                    <w:left w:val="single" w:color="auto" w:sz="4" w:space="0"/>
                    <w:bottom w:val="single" w:color="auto" w:sz="4" w:space="0"/>
                    <w:right w:val="single" w:color="auto" w:sz="4" w:space="0"/>
                  </w:tcBorders>
                  <w:noWrap/>
                  <w:vAlign w:val="center"/>
                </w:tcPr>
                <w:p w14:paraId="1D20A760">
                  <w:pPr>
                    <w:jc w:val="center"/>
                    <w:rPr>
                      <w:color w:val="000000"/>
                      <w:szCs w:val="21"/>
                    </w:rPr>
                  </w:pPr>
                  <w:r>
                    <w:rPr>
                      <w:color w:val="000000"/>
                      <w:szCs w:val="21"/>
                    </w:rPr>
                    <w:t>达标</w:t>
                  </w:r>
                </w:p>
              </w:tc>
            </w:tr>
            <w:tr w14:paraId="645BC2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2" w:type="pct"/>
                  <w:tcBorders>
                    <w:top w:val="single" w:color="auto" w:sz="4" w:space="0"/>
                    <w:left w:val="single" w:color="auto" w:sz="4" w:space="0"/>
                    <w:bottom w:val="single" w:color="auto" w:sz="4" w:space="0"/>
                    <w:right w:val="single" w:color="auto" w:sz="4" w:space="0"/>
                  </w:tcBorders>
                  <w:noWrap/>
                  <w:vAlign w:val="center"/>
                </w:tcPr>
                <w:p w14:paraId="0F0BE9E0">
                  <w:pPr>
                    <w:jc w:val="center"/>
                    <w:rPr>
                      <w:color w:val="000000"/>
                      <w:szCs w:val="21"/>
                    </w:rPr>
                  </w:pPr>
                  <w:r>
                    <w:rPr>
                      <w:color w:val="000000"/>
                      <w:szCs w:val="21"/>
                    </w:rPr>
                    <w:t>NO</w:t>
                  </w:r>
                  <w:r>
                    <w:rPr>
                      <w:color w:val="000000"/>
                      <w:szCs w:val="21"/>
                      <w:vertAlign w:val="subscript"/>
                    </w:rPr>
                    <w:t>2</w:t>
                  </w:r>
                </w:p>
              </w:tc>
              <w:tc>
                <w:tcPr>
                  <w:tcW w:w="1752" w:type="pct"/>
                  <w:tcBorders>
                    <w:top w:val="single" w:color="auto" w:sz="4" w:space="0"/>
                    <w:left w:val="single" w:color="auto" w:sz="4" w:space="0"/>
                    <w:bottom w:val="single" w:color="auto" w:sz="4" w:space="0"/>
                    <w:right w:val="single" w:color="auto" w:sz="4" w:space="0"/>
                  </w:tcBorders>
                  <w:noWrap/>
                  <w:vAlign w:val="center"/>
                </w:tcPr>
                <w:p w14:paraId="5717F038">
                  <w:pPr>
                    <w:jc w:val="center"/>
                    <w:rPr>
                      <w:color w:val="000000"/>
                      <w:szCs w:val="21"/>
                    </w:rPr>
                  </w:pPr>
                  <w:r>
                    <w:rPr>
                      <w:color w:val="000000"/>
                      <w:szCs w:val="21"/>
                    </w:rPr>
                    <w:t>年均值</w:t>
                  </w:r>
                </w:p>
              </w:tc>
              <w:tc>
                <w:tcPr>
                  <w:tcW w:w="653" w:type="pct"/>
                  <w:tcBorders>
                    <w:top w:val="single" w:color="auto" w:sz="4" w:space="0"/>
                    <w:left w:val="single" w:color="auto" w:sz="4" w:space="0"/>
                    <w:bottom w:val="single" w:color="auto" w:sz="4" w:space="0"/>
                    <w:right w:val="single" w:color="auto" w:sz="4" w:space="0"/>
                  </w:tcBorders>
                  <w:noWrap/>
                  <w:vAlign w:val="center"/>
                </w:tcPr>
                <w:p w14:paraId="4C6776E0">
                  <w:pPr>
                    <w:jc w:val="center"/>
                    <w:rPr>
                      <w:color w:val="000000"/>
                      <w:szCs w:val="21"/>
                    </w:rPr>
                  </w:pPr>
                  <w:r>
                    <w:rPr>
                      <w:color w:val="000000"/>
                      <w:szCs w:val="21"/>
                    </w:rPr>
                    <w:t>40</w:t>
                  </w:r>
                </w:p>
              </w:tc>
              <w:tc>
                <w:tcPr>
                  <w:tcW w:w="663" w:type="pct"/>
                  <w:tcBorders>
                    <w:top w:val="single" w:color="auto" w:sz="4" w:space="0"/>
                    <w:left w:val="single" w:color="auto" w:sz="4" w:space="0"/>
                    <w:bottom w:val="single" w:color="auto" w:sz="4" w:space="0"/>
                    <w:right w:val="single" w:color="auto" w:sz="4" w:space="0"/>
                  </w:tcBorders>
                  <w:noWrap/>
                  <w:vAlign w:val="center"/>
                </w:tcPr>
                <w:p w14:paraId="384843BF">
                  <w:pPr>
                    <w:jc w:val="center"/>
                    <w:rPr>
                      <w:color w:val="000000"/>
                      <w:szCs w:val="21"/>
                    </w:rPr>
                  </w:pPr>
                  <w:r>
                    <w:rPr>
                      <w:color w:val="000000"/>
                      <w:szCs w:val="21"/>
                    </w:rPr>
                    <w:t>2</w:t>
                  </w:r>
                  <w:r>
                    <w:rPr>
                      <w:rFonts w:hint="eastAsia"/>
                      <w:color w:val="000000"/>
                      <w:szCs w:val="21"/>
                    </w:rPr>
                    <w:t>4</w:t>
                  </w:r>
                </w:p>
              </w:tc>
              <w:tc>
                <w:tcPr>
                  <w:tcW w:w="675" w:type="pct"/>
                  <w:tcBorders>
                    <w:top w:val="single" w:color="auto" w:sz="4" w:space="0"/>
                    <w:left w:val="single" w:color="auto" w:sz="4" w:space="0"/>
                    <w:bottom w:val="single" w:color="auto" w:sz="4" w:space="0"/>
                    <w:right w:val="single" w:color="auto" w:sz="4" w:space="0"/>
                  </w:tcBorders>
                  <w:noWrap/>
                  <w:vAlign w:val="center"/>
                </w:tcPr>
                <w:p w14:paraId="475BBE18">
                  <w:pPr>
                    <w:jc w:val="center"/>
                    <w:rPr>
                      <w:color w:val="000000"/>
                      <w:szCs w:val="21"/>
                    </w:rPr>
                  </w:pPr>
                  <w:r>
                    <w:rPr>
                      <w:color w:val="000000"/>
                      <w:szCs w:val="21"/>
                    </w:rPr>
                    <w:t>62.5</w:t>
                  </w:r>
                </w:p>
              </w:tc>
              <w:tc>
                <w:tcPr>
                  <w:tcW w:w="785" w:type="pct"/>
                  <w:tcBorders>
                    <w:top w:val="single" w:color="auto" w:sz="4" w:space="0"/>
                    <w:left w:val="single" w:color="auto" w:sz="4" w:space="0"/>
                    <w:bottom w:val="single" w:color="auto" w:sz="4" w:space="0"/>
                    <w:right w:val="single" w:color="auto" w:sz="4" w:space="0"/>
                  </w:tcBorders>
                  <w:noWrap/>
                  <w:vAlign w:val="center"/>
                </w:tcPr>
                <w:p w14:paraId="2598720A">
                  <w:pPr>
                    <w:jc w:val="center"/>
                    <w:rPr>
                      <w:color w:val="000000"/>
                      <w:szCs w:val="21"/>
                    </w:rPr>
                  </w:pPr>
                  <w:r>
                    <w:rPr>
                      <w:color w:val="000000"/>
                      <w:szCs w:val="21"/>
                    </w:rPr>
                    <w:t>达标</w:t>
                  </w:r>
                </w:p>
              </w:tc>
            </w:tr>
            <w:tr w14:paraId="2BCC26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2" w:type="pct"/>
                  <w:tcBorders>
                    <w:top w:val="single" w:color="auto" w:sz="4" w:space="0"/>
                    <w:left w:val="single" w:color="auto" w:sz="4" w:space="0"/>
                    <w:bottom w:val="single" w:color="auto" w:sz="4" w:space="0"/>
                    <w:right w:val="single" w:color="auto" w:sz="4" w:space="0"/>
                  </w:tcBorders>
                  <w:noWrap/>
                  <w:vAlign w:val="center"/>
                </w:tcPr>
                <w:p w14:paraId="2F4FCBAA">
                  <w:pPr>
                    <w:jc w:val="center"/>
                    <w:rPr>
                      <w:color w:val="000000"/>
                      <w:szCs w:val="21"/>
                    </w:rPr>
                  </w:pPr>
                  <w:r>
                    <w:rPr>
                      <w:color w:val="000000"/>
                      <w:szCs w:val="21"/>
                    </w:rPr>
                    <w:t>PM</w:t>
                  </w:r>
                  <w:r>
                    <w:rPr>
                      <w:color w:val="000000"/>
                      <w:szCs w:val="21"/>
                      <w:vertAlign w:val="subscript"/>
                    </w:rPr>
                    <w:t>10</w:t>
                  </w:r>
                </w:p>
              </w:tc>
              <w:tc>
                <w:tcPr>
                  <w:tcW w:w="1752" w:type="pct"/>
                  <w:tcBorders>
                    <w:top w:val="single" w:color="auto" w:sz="4" w:space="0"/>
                    <w:left w:val="single" w:color="auto" w:sz="4" w:space="0"/>
                    <w:bottom w:val="single" w:color="auto" w:sz="4" w:space="0"/>
                    <w:right w:val="single" w:color="auto" w:sz="4" w:space="0"/>
                  </w:tcBorders>
                  <w:noWrap/>
                  <w:vAlign w:val="center"/>
                </w:tcPr>
                <w:p w14:paraId="23450CC1">
                  <w:pPr>
                    <w:jc w:val="center"/>
                    <w:rPr>
                      <w:color w:val="000000"/>
                      <w:szCs w:val="21"/>
                    </w:rPr>
                  </w:pPr>
                  <w:r>
                    <w:rPr>
                      <w:color w:val="000000"/>
                      <w:szCs w:val="21"/>
                    </w:rPr>
                    <w:t>年均值</w:t>
                  </w:r>
                </w:p>
              </w:tc>
              <w:tc>
                <w:tcPr>
                  <w:tcW w:w="653" w:type="pct"/>
                  <w:tcBorders>
                    <w:top w:val="single" w:color="auto" w:sz="4" w:space="0"/>
                    <w:left w:val="single" w:color="auto" w:sz="4" w:space="0"/>
                    <w:bottom w:val="single" w:color="auto" w:sz="4" w:space="0"/>
                    <w:right w:val="single" w:color="auto" w:sz="4" w:space="0"/>
                  </w:tcBorders>
                  <w:noWrap/>
                  <w:vAlign w:val="center"/>
                </w:tcPr>
                <w:p w14:paraId="2B071358">
                  <w:pPr>
                    <w:jc w:val="center"/>
                    <w:rPr>
                      <w:color w:val="000000"/>
                      <w:szCs w:val="21"/>
                    </w:rPr>
                  </w:pPr>
                  <w:r>
                    <w:rPr>
                      <w:color w:val="000000"/>
                      <w:szCs w:val="21"/>
                    </w:rPr>
                    <w:t>70</w:t>
                  </w:r>
                </w:p>
              </w:tc>
              <w:tc>
                <w:tcPr>
                  <w:tcW w:w="663" w:type="pct"/>
                  <w:tcBorders>
                    <w:top w:val="single" w:color="auto" w:sz="4" w:space="0"/>
                    <w:left w:val="single" w:color="auto" w:sz="4" w:space="0"/>
                    <w:bottom w:val="single" w:color="auto" w:sz="4" w:space="0"/>
                    <w:right w:val="single" w:color="auto" w:sz="4" w:space="0"/>
                  </w:tcBorders>
                  <w:noWrap/>
                  <w:vAlign w:val="center"/>
                </w:tcPr>
                <w:p w14:paraId="497DD888">
                  <w:pPr>
                    <w:jc w:val="center"/>
                    <w:rPr>
                      <w:color w:val="000000"/>
                      <w:szCs w:val="21"/>
                    </w:rPr>
                  </w:pPr>
                  <w:r>
                    <w:rPr>
                      <w:color w:val="000000"/>
                      <w:szCs w:val="21"/>
                    </w:rPr>
                    <w:t>66</w:t>
                  </w:r>
                </w:p>
              </w:tc>
              <w:tc>
                <w:tcPr>
                  <w:tcW w:w="675" w:type="pct"/>
                  <w:tcBorders>
                    <w:top w:val="single" w:color="auto" w:sz="4" w:space="0"/>
                    <w:left w:val="single" w:color="auto" w:sz="4" w:space="0"/>
                    <w:bottom w:val="single" w:color="auto" w:sz="4" w:space="0"/>
                    <w:right w:val="single" w:color="auto" w:sz="4" w:space="0"/>
                  </w:tcBorders>
                  <w:noWrap/>
                  <w:vAlign w:val="center"/>
                </w:tcPr>
                <w:p w14:paraId="7BE8B0C5">
                  <w:pPr>
                    <w:jc w:val="center"/>
                    <w:rPr>
                      <w:color w:val="000000"/>
                      <w:szCs w:val="21"/>
                    </w:rPr>
                  </w:pPr>
                  <w:r>
                    <w:rPr>
                      <w:color w:val="000000"/>
                      <w:szCs w:val="21"/>
                    </w:rPr>
                    <w:t>94.286</w:t>
                  </w:r>
                </w:p>
              </w:tc>
              <w:tc>
                <w:tcPr>
                  <w:tcW w:w="785" w:type="pct"/>
                  <w:tcBorders>
                    <w:top w:val="single" w:color="auto" w:sz="4" w:space="0"/>
                    <w:left w:val="single" w:color="auto" w:sz="4" w:space="0"/>
                    <w:bottom w:val="single" w:color="auto" w:sz="4" w:space="0"/>
                    <w:right w:val="single" w:color="auto" w:sz="4" w:space="0"/>
                  </w:tcBorders>
                  <w:noWrap/>
                  <w:vAlign w:val="center"/>
                </w:tcPr>
                <w:p w14:paraId="28D26DD4">
                  <w:pPr>
                    <w:jc w:val="center"/>
                    <w:rPr>
                      <w:color w:val="000000"/>
                      <w:szCs w:val="21"/>
                    </w:rPr>
                  </w:pPr>
                  <w:r>
                    <w:rPr>
                      <w:color w:val="000000"/>
                      <w:szCs w:val="21"/>
                    </w:rPr>
                    <w:t>达标</w:t>
                  </w:r>
                </w:p>
              </w:tc>
            </w:tr>
            <w:tr w14:paraId="23B99D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2" w:type="pct"/>
                  <w:tcBorders>
                    <w:top w:val="single" w:color="auto" w:sz="4" w:space="0"/>
                    <w:left w:val="single" w:color="auto" w:sz="4" w:space="0"/>
                    <w:bottom w:val="single" w:color="auto" w:sz="4" w:space="0"/>
                    <w:right w:val="single" w:color="auto" w:sz="4" w:space="0"/>
                  </w:tcBorders>
                  <w:noWrap/>
                  <w:vAlign w:val="center"/>
                </w:tcPr>
                <w:p w14:paraId="51DB7D02">
                  <w:pPr>
                    <w:jc w:val="center"/>
                    <w:rPr>
                      <w:color w:val="000000"/>
                      <w:szCs w:val="21"/>
                    </w:rPr>
                  </w:pPr>
                  <w:r>
                    <w:rPr>
                      <w:color w:val="000000"/>
                      <w:szCs w:val="21"/>
                    </w:rPr>
                    <w:t>PM</w:t>
                  </w:r>
                  <w:r>
                    <w:rPr>
                      <w:color w:val="000000"/>
                      <w:szCs w:val="21"/>
                      <w:vertAlign w:val="subscript"/>
                    </w:rPr>
                    <w:t>2.5</w:t>
                  </w:r>
                </w:p>
              </w:tc>
              <w:tc>
                <w:tcPr>
                  <w:tcW w:w="1752" w:type="pct"/>
                  <w:tcBorders>
                    <w:top w:val="single" w:color="auto" w:sz="4" w:space="0"/>
                    <w:left w:val="single" w:color="auto" w:sz="4" w:space="0"/>
                    <w:bottom w:val="single" w:color="auto" w:sz="4" w:space="0"/>
                    <w:right w:val="single" w:color="auto" w:sz="4" w:space="0"/>
                  </w:tcBorders>
                  <w:noWrap/>
                  <w:vAlign w:val="center"/>
                </w:tcPr>
                <w:p w14:paraId="6C57A4D8">
                  <w:pPr>
                    <w:jc w:val="center"/>
                    <w:rPr>
                      <w:color w:val="000000"/>
                      <w:szCs w:val="21"/>
                    </w:rPr>
                  </w:pPr>
                  <w:r>
                    <w:rPr>
                      <w:color w:val="000000"/>
                      <w:szCs w:val="21"/>
                    </w:rPr>
                    <w:t>年均值</w:t>
                  </w:r>
                </w:p>
              </w:tc>
              <w:tc>
                <w:tcPr>
                  <w:tcW w:w="653" w:type="pct"/>
                  <w:tcBorders>
                    <w:top w:val="single" w:color="auto" w:sz="4" w:space="0"/>
                    <w:left w:val="single" w:color="auto" w:sz="4" w:space="0"/>
                    <w:bottom w:val="single" w:color="auto" w:sz="4" w:space="0"/>
                    <w:right w:val="single" w:color="auto" w:sz="4" w:space="0"/>
                  </w:tcBorders>
                  <w:noWrap/>
                  <w:vAlign w:val="center"/>
                </w:tcPr>
                <w:p w14:paraId="795BDA9E">
                  <w:pPr>
                    <w:jc w:val="center"/>
                    <w:rPr>
                      <w:color w:val="000000"/>
                      <w:szCs w:val="21"/>
                    </w:rPr>
                  </w:pPr>
                  <w:r>
                    <w:rPr>
                      <w:color w:val="000000"/>
                      <w:szCs w:val="21"/>
                    </w:rPr>
                    <w:t>35</w:t>
                  </w:r>
                </w:p>
              </w:tc>
              <w:tc>
                <w:tcPr>
                  <w:tcW w:w="663" w:type="pct"/>
                  <w:tcBorders>
                    <w:top w:val="single" w:color="auto" w:sz="4" w:space="0"/>
                    <w:left w:val="single" w:color="auto" w:sz="4" w:space="0"/>
                    <w:bottom w:val="single" w:color="auto" w:sz="4" w:space="0"/>
                    <w:right w:val="single" w:color="auto" w:sz="4" w:space="0"/>
                  </w:tcBorders>
                  <w:noWrap/>
                  <w:vAlign w:val="center"/>
                </w:tcPr>
                <w:p w14:paraId="53DECBD2">
                  <w:pPr>
                    <w:jc w:val="center"/>
                    <w:rPr>
                      <w:color w:val="000000"/>
                      <w:szCs w:val="21"/>
                    </w:rPr>
                  </w:pPr>
                  <w:r>
                    <w:rPr>
                      <w:color w:val="000000"/>
                      <w:szCs w:val="21"/>
                    </w:rPr>
                    <w:t>3</w:t>
                  </w:r>
                  <w:r>
                    <w:rPr>
                      <w:rFonts w:hint="eastAsia"/>
                      <w:color w:val="000000"/>
                      <w:szCs w:val="21"/>
                    </w:rPr>
                    <w:t>8</w:t>
                  </w:r>
                </w:p>
              </w:tc>
              <w:tc>
                <w:tcPr>
                  <w:tcW w:w="675" w:type="pct"/>
                  <w:tcBorders>
                    <w:top w:val="single" w:color="auto" w:sz="4" w:space="0"/>
                    <w:left w:val="single" w:color="auto" w:sz="4" w:space="0"/>
                    <w:bottom w:val="single" w:color="auto" w:sz="4" w:space="0"/>
                    <w:right w:val="single" w:color="auto" w:sz="4" w:space="0"/>
                  </w:tcBorders>
                  <w:noWrap/>
                  <w:vAlign w:val="center"/>
                </w:tcPr>
                <w:p w14:paraId="253E0AD6">
                  <w:pPr>
                    <w:jc w:val="center"/>
                    <w:rPr>
                      <w:color w:val="000000"/>
                      <w:szCs w:val="21"/>
                    </w:rPr>
                  </w:pPr>
                  <w:r>
                    <w:rPr>
                      <w:color w:val="000000"/>
                      <w:szCs w:val="21"/>
                    </w:rPr>
                    <w:t>105.</w:t>
                  </w:r>
                  <w:r>
                    <w:rPr>
                      <w:rFonts w:hint="eastAsia"/>
                      <w:color w:val="000000"/>
                      <w:szCs w:val="21"/>
                    </w:rPr>
                    <w:t>57</w:t>
                  </w:r>
                </w:p>
              </w:tc>
              <w:tc>
                <w:tcPr>
                  <w:tcW w:w="785" w:type="pct"/>
                  <w:tcBorders>
                    <w:top w:val="single" w:color="auto" w:sz="4" w:space="0"/>
                    <w:left w:val="single" w:color="auto" w:sz="4" w:space="0"/>
                    <w:bottom w:val="single" w:color="auto" w:sz="4" w:space="0"/>
                    <w:right w:val="single" w:color="auto" w:sz="4" w:space="0"/>
                  </w:tcBorders>
                  <w:noWrap/>
                  <w:vAlign w:val="center"/>
                </w:tcPr>
                <w:p w14:paraId="58327B86">
                  <w:pPr>
                    <w:jc w:val="center"/>
                    <w:rPr>
                      <w:color w:val="000000"/>
                      <w:szCs w:val="21"/>
                    </w:rPr>
                  </w:pPr>
                  <w:r>
                    <w:rPr>
                      <w:color w:val="000000"/>
                      <w:szCs w:val="21"/>
                    </w:rPr>
                    <w:t>不达标</w:t>
                  </w:r>
                </w:p>
              </w:tc>
            </w:tr>
            <w:tr w14:paraId="61A431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2" w:type="pct"/>
                  <w:tcBorders>
                    <w:top w:val="single" w:color="auto" w:sz="4" w:space="0"/>
                    <w:left w:val="single" w:color="auto" w:sz="4" w:space="0"/>
                    <w:bottom w:val="single" w:color="auto" w:sz="4" w:space="0"/>
                    <w:right w:val="single" w:color="auto" w:sz="4" w:space="0"/>
                  </w:tcBorders>
                  <w:noWrap/>
                  <w:vAlign w:val="center"/>
                </w:tcPr>
                <w:p w14:paraId="22EE0837">
                  <w:pPr>
                    <w:jc w:val="center"/>
                    <w:rPr>
                      <w:color w:val="000000"/>
                      <w:szCs w:val="21"/>
                    </w:rPr>
                  </w:pPr>
                  <w:r>
                    <w:rPr>
                      <w:color w:val="000000"/>
                      <w:szCs w:val="21"/>
                    </w:rPr>
                    <w:t>CO</w:t>
                  </w:r>
                </w:p>
              </w:tc>
              <w:tc>
                <w:tcPr>
                  <w:tcW w:w="1752" w:type="pct"/>
                  <w:tcBorders>
                    <w:top w:val="single" w:color="auto" w:sz="4" w:space="0"/>
                    <w:left w:val="single" w:color="auto" w:sz="4" w:space="0"/>
                    <w:bottom w:val="single" w:color="auto" w:sz="4" w:space="0"/>
                    <w:right w:val="single" w:color="auto" w:sz="4" w:space="0"/>
                  </w:tcBorders>
                  <w:noWrap/>
                  <w:vAlign w:val="center"/>
                </w:tcPr>
                <w:p w14:paraId="20BDE6A5">
                  <w:pPr>
                    <w:jc w:val="center"/>
                    <w:rPr>
                      <w:color w:val="000000"/>
                      <w:szCs w:val="21"/>
                    </w:rPr>
                  </w:pPr>
                  <w:r>
                    <w:rPr>
                      <w:color w:val="000000"/>
                      <w:szCs w:val="21"/>
                    </w:rPr>
                    <w:t>日平均第95百分位数</w:t>
                  </w:r>
                </w:p>
              </w:tc>
              <w:tc>
                <w:tcPr>
                  <w:tcW w:w="653" w:type="pct"/>
                  <w:tcBorders>
                    <w:top w:val="single" w:color="auto" w:sz="4" w:space="0"/>
                    <w:left w:val="single" w:color="auto" w:sz="4" w:space="0"/>
                    <w:bottom w:val="single" w:color="auto" w:sz="4" w:space="0"/>
                    <w:right w:val="single" w:color="auto" w:sz="4" w:space="0"/>
                  </w:tcBorders>
                  <w:noWrap/>
                  <w:vAlign w:val="center"/>
                </w:tcPr>
                <w:p w14:paraId="3046186A">
                  <w:pPr>
                    <w:jc w:val="center"/>
                    <w:rPr>
                      <w:color w:val="000000"/>
                      <w:szCs w:val="21"/>
                    </w:rPr>
                  </w:pPr>
                  <w:r>
                    <w:rPr>
                      <w:color w:val="000000"/>
                      <w:szCs w:val="21"/>
                    </w:rPr>
                    <w:t>4000</w:t>
                  </w:r>
                </w:p>
              </w:tc>
              <w:tc>
                <w:tcPr>
                  <w:tcW w:w="663" w:type="pct"/>
                  <w:tcBorders>
                    <w:top w:val="single" w:color="auto" w:sz="4" w:space="0"/>
                    <w:left w:val="single" w:color="auto" w:sz="4" w:space="0"/>
                    <w:bottom w:val="single" w:color="auto" w:sz="4" w:space="0"/>
                    <w:right w:val="single" w:color="auto" w:sz="4" w:space="0"/>
                  </w:tcBorders>
                  <w:noWrap/>
                  <w:vAlign w:val="center"/>
                </w:tcPr>
                <w:p w14:paraId="0C23777F">
                  <w:pPr>
                    <w:jc w:val="center"/>
                    <w:rPr>
                      <w:color w:val="000000"/>
                      <w:szCs w:val="21"/>
                    </w:rPr>
                  </w:pPr>
                  <w:r>
                    <w:rPr>
                      <w:color w:val="000000"/>
                      <w:szCs w:val="21"/>
                    </w:rPr>
                    <w:t>800</w:t>
                  </w:r>
                </w:p>
              </w:tc>
              <w:tc>
                <w:tcPr>
                  <w:tcW w:w="675" w:type="pct"/>
                  <w:tcBorders>
                    <w:top w:val="single" w:color="auto" w:sz="4" w:space="0"/>
                    <w:left w:val="single" w:color="auto" w:sz="4" w:space="0"/>
                    <w:bottom w:val="single" w:color="auto" w:sz="4" w:space="0"/>
                    <w:right w:val="single" w:color="auto" w:sz="4" w:space="0"/>
                  </w:tcBorders>
                  <w:noWrap/>
                  <w:vAlign w:val="center"/>
                </w:tcPr>
                <w:p w14:paraId="47AC0692">
                  <w:pPr>
                    <w:jc w:val="center"/>
                    <w:rPr>
                      <w:color w:val="000000"/>
                      <w:szCs w:val="21"/>
                    </w:rPr>
                  </w:pPr>
                  <w:r>
                    <w:rPr>
                      <w:color w:val="000000"/>
                      <w:szCs w:val="21"/>
                    </w:rPr>
                    <w:t>20</w:t>
                  </w:r>
                </w:p>
              </w:tc>
              <w:tc>
                <w:tcPr>
                  <w:tcW w:w="785" w:type="pct"/>
                  <w:tcBorders>
                    <w:top w:val="single" w:color="auto" w:sz="4" w:space="0"/>
                    <w:left w:val="single" w:color="auto" w:sz="4" w:space="0"/>
                    <w:bottom w:val="single" w:color="auto" w:sz="4" w:space="0"/>
                    <w:right w:val="single" w:color="auto" w:sz="4" w:space="0"/>
                  </w:tcBorders>
                  <w:noWrap/>
                  <w:vAlign w:val="center"/>
                </w:tcPr>
                <w:p w14:paraId="2D84FB29">
                  <w:pPr>
                    <w:jc w:val="center"/>
                    <w:rPr>
                      <w:color w:val="000000"/>
                      <w:szCs w:val="21"/>
                    </w:rPr>
                  </w:pPr>
                  <w:r>
                    <w:rPr>
                      <w:color w:val="000000"/>
                      <w:szCs w:val="21"/>
                    </w:rPr>
                    <w:t>达标</w:t>
                  </w:r>
                </w:p>
              </w:tc>
            </w:tr>
            <w:tr w14:paraId="20E318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2" w:type="pct"/>
                  <w:tcBorders>
                    <w:top w:val="single" w:color="auto" w:sz="4" w:space="0"/>
                    <w:left w:val="single" w:color="auto" w:sz="4" w:space="0"/>
                    <w:bottom w:val="single" w:color="auto" w:sz="4" w:space="0"/>
                    <w:right w:val="single" w:color="auto" w:sz="4" w:space="0"/>
                  </w:tcBorders>
                  <w:noWrap/>
                  <w:vAlign w:val="center"/>
                </w:tcPr>
                <w:p w14:paraId="73196FDA">
                  <w:pPr>
                    <w:jc w:val="center"/>
                    <w:rPr>
                      <w:color w:val="000000"/>
                      <w:szCs w:val="21"/>
                    </w:rPr>
                  </w:pPr>
                  <w:r>
                    <w:rPr>
                      <w:color w:val="000000"/>
                      <w:szCs w:val="21"/>
                    </w:rPr>
                    <w:t>O</w:t>
                  </w:r>
                  <w:r>
                    <w:rPr>
                      <w:color w:val="000000"/>
                      <w:szCs w:val="21"/>
                      <w:vertAlign w:val="subscript"/>
                    </w:rPr>
                    <w:t>3</w:t>
                  </w:r>
                </w:p>
              </w:tc>
              <w:tc>
                <w:tcPr>
                  <w:tcW w:w="1752" w:type="pct"/>
                  <w:tcBorders>
                    <w:top w:val="single" w:color="auto" w:sz="4" w:space="0"/>
                    <w:left w:val="single" w:color="auto" w:sz="4" w:space="0"/>
                    <w:bottom w:val="single" w:color="auto" w:sz="4" w:space="0"/>
                    <w:right w:val="single" w:color="auto" w:sz="4" w:space="0"/>
                  </w:tcBorders>
                  <w:noWrap/>
                  <w:vAlign w:val="center"/>
                </w:tcPr>
                <w:p w14:paraId="31E50179">
                  <w:pPr>
                    <w:jc w:val="center"/>
                    <w:rPr>
                      <w:color w:val="000000"/>
                      <w:szCs w:val="21"/>
                    </w:rPr>
                  </w:pPr>
                  <w:r>
                    <w:rPr>
                      <w:color w:val="000000"/>
                      <w:szCs w:val="21"/>
                    </w:rPr>
                    <w:t>日最大8小时平均第90百分位数</w:t>
                  </w:r>
                </w:p>
              </w:tc>
              <w:tc>
                <w:tcPr>
                  <w:tcW w:w="653" w:type="pct"/>
                  <w:tcBorders>
                    <w:top w:val="single" w:color="auto" w:sz="4" w:space="0"/>
                    <w:left w:val="single" w:color="auto" w:sz="4" w:space="0"/>
                    <w:bottom w:val="single" w:color="auto" w:sz="4" w:space="0"/>
                    <w:right w:val="single" w:color="auto" w:sz="4" w:space="0"/>
                  </w:tcBorders>
                  <w:noWrap/>
                  <w:vAlign w:val="center"/>
                </w:tcPr>
                <w:p w14:paraId="39763B6D">
                  <w:pPr>
                    <w:jc w:val="center"/>
                    <w:rPr>
                      <w:color w:val="000000"/>
                      <w:szCs w:val="21"/>
                    </w:rPr>
                  </w:pPr>
                  <w:r>
                    <w:rPr>
                      <w:color w:val="000000"/>
                      <w:szCs w:val="21"/>
                    </w:rPr>
                    <w:t>160</w:t>
                  </w:r>
                </w:p>
              </w:tc>
              <w:tc>
                <w:tcPr>
                  <w:tcW w:w="663" w:type="pct"/>
                  <w:tcBorders>
                    <w:top w:val="single" w:color="auto" w:sz="4" w:space="0"/>
                    <w:left w:val="single" w:color="auto" w:sz="4" w:space="0"/>
                    <w:bottom w:val="single" w:color="auto" w:sz="4" w:space="0"/>
                    <w:right w:val="single" w:color="auto" w:sz="4" w:space="0"/>
                  </w:tcBorders>
                  <w:noWrap/>
                  <w:vAlign w:val="center"/>
                </w:tcPr>
                <w:p w14:paraId="07D28E7B">
                  <w:pPr>
                    <w:jc w:val="center"/>
                    <w:rPr>
                      <w:color w:val="000000"/>
                      <w:szCs w:val="21"/>
                    </w:rPr>
                  </w:pPr>
                  <w:r>
                    <w:rPr>
                      <w:color w:val="000000"/>
                      <w:szCs w:val="21"/>
                    </w:rPr>
                    <w:t>1</w:t>
                  </w:r>
                  <w:r>
                    <w:rPr>
                      <w:rFonts w:hint="eastAsia"/>
                      <w:color w:val="000000"/>
                      <w:szCs w:val="21"/>
                    </w:rPr>
                    <w:t>59</w:t>
                  </w:r>
                </w:p>
              </w:tc>
              <w:tc>
                <w:tcPr>
                  <w:tcW w:w="675" w:type="pct"/>
                  <w:tcBorders>
                    <w:top w:val="single" w:color="auto" w:sz="4" w:space="0"/>
                    <w:left w:val="single" w:color="auto" w:sz="4" w:space="0"/>
                    <w:bottom w:val="single" w:color="auto" w:sz="4" w:space="0"/>
                    <w:right w:val="single" w:color="auto" w:sz="4" w:space="0"/>
                  </w:tcBorders>
                  <w:noWrap/>
                  <w:vAlign w:val="center"/>
                </w:tcPr>
                <w:p w14:paraId="33B0BBE8">
                  <w:pPr>
                    <w:jc w:val="center"/>
                    <w:rPr>
                      <w:color w:val="000000"/>
                      <w:szCs w:val="21"/>
                    </w:rPr>
                  </w:pPr>
                  <w:r>
                    <w:rPr>
                      <w:color w:val="000000"/>
                      <w:szCs w:val="21"/>
                    </w:rPr>
                    <w:t>101.25</w:t>
                  </w:r>
                </w:p>
              </w:tc>
              <w:tc>
                <w:tcPr>
                  <w:tcW w:w="785" w:type="pct"/>
                  <w:tcBorders>
                    <w:top w:val="single" w:color="auto" w:sz="4" w:space="0"/>
                    <w:left w:val="single" w:color="auto" w:sz="4" w:space="0"/>
                    <w:bottom w:val="single" w:color="auto" w:sz="4" w:space="0"/>
                    <w:right w:val="single" w:color="auto" w:sz="4" w:space="0"/>
                  </w:tcBorders>
                  <w:noWrap/>
                  <w:vAlign w:val="center"/>
                </w:tcPr>
                <w:p w14:paraId="1E25881A">
                  <w:pPr>
                    <w:jc w:val="center"/>
                    <w:rPr>
                      <w:color w:val="000000"/>
                      <w:szCs w:val="21"/>
                    </w:rPr>
                  </w:pPr>
                  <w:r>
                    <w:rPr>
                      <w:color w:val="000000"/>
                      <w:szCs w:val="21"/>
                    </w:rPr>
                    <w:t>达标</w:t>
                  </w:r>
                </w:p>
              </w:tc>
            </w:tr>
          </w:tbl>
          <w:p w14:paraId="4333868A">
            <w:pPr>
              <w:spacing w:line="500" w:lineRule="atLeast"/>
              <w:ind w:firstLine="480" w:firstLineChars="200"/>
              <w:rPr>
                <w:color w:val="000000"/>
                <w:sz w:val="24"/>
              </w:rPr>
            </w:pPr>
            <w:r>
              <w:rPr>
                <w:bCs/>
                <w:color w:val="000000"/>
                <w:sz w:val="24"/>
              </w:rPr>
              <w:t>环境空气质量模型技术支持服务系统公布的蚌埠市2022年环境空气质量状况</w:t>
            </w:r>
            <w:r>
              <w:rPr>
                <w:color w:val="000000"/>
                <w:sz w:val="24"/>
              </w:rPr>
              <w:t>显示，基本污染物SO</w:t>
            </w:r>
            <w:r>
              <w:rPr>
                <w:color w:val="000000"/>
                <w:sz w:val="24"/>
                <w:vertAlign w:val="subscript"/>
              </w:rPr>
              <w:t>2</w:t>
            </w:r>
            <w:r>
              <w:rPr>
                <w:color w:val="000000"/>
                <w:sz w:val="24"/>
              </w:rPr>
              <w:t>、NO</w:t>
            </w:r>
            <w:r>
              <w:rPr>
                <w:color w:val="000000"/>
                <w:sz w:val="24"/>
                <w:vertAlign w:val="subscript"/>
              </w:rPr>
              <w:t>2</w:t>
            </w:r>
            <w:r>
              <w:rPr>
                <w:color w:val="000000"/>
                <w:sz w:val="24"/>
              </w:rPr>
              <w:t>、CO、PM</w:t>
            </w:r>
            <w:r>
              <w:rPr>
                <w:color w:val="000000"/>
                <w:sz w:val="24"/>
                <w:vertAlign w:val="subscript"/>
              </w:rPr>
              <w:t>10</w:t>
            </w:r>
            <w:r>
              <w:rPr>
                <w:color w:val="000000"/>
                <w:sz w:val="24"/>
              </w:rPr>
              <w:t>年平均质量浓度均未出现超标，PM</w:t>
            </w:r>
            <w:r>
              <w:rPr>
                <w:color w:val="000000"/>
                <w:sz w:val="24"/>
                <w:vertAlign w:val="subscript"/>
              </w:rPr>
              <w:t>2.5</w:t>
            </w:r>
            <w:r>
              <w:rPr>
                <w:color w:val="000000"/>
                <w:sz w:val="24"/>
              </w:rPr>
              <w:t>超标，项目所在地为大气环境空气质量不达标区。</w:t>
            </w:r>
            <w:r>
              <w:rPr>
                <w:rFonts w:hint="eastAsia"/>
                <w:color w:val="000000"/>
                <w:sz w:val="24"/>
              </w:rPr>
              <w:t>《蚌埠市环境空气质量达标规划（2019-2030年）》中提出</w:t>
            </w:r>
            <w:r>
              <w:rPr>
                <w:color w:val="000000"/>
                <w:sz w:val="24"/>
              </w:rPr>
              <w:t>改善区域大气环境质量的措施：1.</w:t>
            </w:r>
            <w:r>
              <w:rPr>
                <w:rFonts w:hint="eastAsia"/>
                <w:color w:val="000000"/>
                <w:sz w:val="24"/>
              </w:rPr>
              <w:t>优化能源结构，加强能源清洁化利用；</w:t>
            </w:r>
            <w:r>
              <w:rPr>
                <w:color w:val="000000"/>
                <w:sz w:val="24"/>
              </w:rPr>
              <w:t xml:space="preserve">2. </w:t>
            </w:r>
            <w:r>
              <w:rPr>
                <w:rFonts w:hint="eastAsia"/>
                <w:color w:val="000000"/>
                <w:sz w:val="24"/>
              </w:rPr>
              <w:t>优化产业结构和布局，统筹区域环境资源；3</w:t>
            </w:r>
            <w:r>
              <w:rPr>
                <w:color w:val="000000"/>
                <w:sz w:val="24"/>
              </w:rPr>
              <w:t>.</w:t>
            </w:r>
            <w:r>
              <w:rPr>
                <w:rFonts w:hint="eastAsia"/>
                <w:color w:val="000000"/>
                <w:sz w:val="24"/>
              </w:rPr>
              <w:t xml:space="preserve"> 优化调整运输结构，加快车船非道尾气治理；4</w:t>
            </w:r>
            <w:r>
              <w:rPr>
                <w:color w:val="000000"/>
                <w:sz w:val="24"/>
              </w:rPr>
              <w:t>.</w:t>
            </w:r>
            <w:r>
              <w:rPr>
                <w:rFonts w:hint="eastAsia"/>
                <w:color w:val="000000"/>
                <w:sz w:val="24"/>
              </w:rPr>
              <w:t xml:space="preserve"> 优化调整用地结构，强化治理扬尘污染；5</w:t>
            </w:r>
            <w:r>
              <w:rPr>
                <w:color w:val="000000"/>
                <w:sz w:val="24"/>
              </w:rPr>
              <w:t>.</w:t>
            </w:r>
            <w:r>
              <w:rPr>
                <w:rFonts w:hint="eastAsia"/>
                <w:color w:val="000000"/>
                <w:sz w:val="24"/>
              </w:rPr>
              <w:t xml:space="preserve"> 强化工业企业达标管理，削减工业排放本底；6</w:t>
            </w:r>
            <w:r>
              <w:rPr>
                <w:color w:val="000000"/>
                <w:sz w:val="24"/>
              </w:rPr>
              <w:t>. 大力推进VOCs综合整治，降低大气氧化性</w:t>
            </w:r>
            <w:r>
              <w:rPr>
                <w:rFonts w:hint="eastAsia"/>
                <w:color w:val="000000"/>
                <w:sz w:val="24"/>
              </w:rPr>
              <w:t>；7</w:t>
            </w:r>
            <w:r>
              <w:rPr>
                <w:color w:val="000000"/>
                <w:sz w:val="24"/>
              </w:rPr>
              <w:t>.</w:t>
            </w:r>
            <w:r>
              <w:rPr>
                <w:rFonts w:hint="eastAsia"/>
                <w:color w:val="000000"/>
                <w:sz w:val="24"/>
              </w:rPr>
              <w:t xml:space="preserve"> 控制农业源排放，大幅降低NH</w:t>
            </w:r>
            <w:r>
              <w:rPr>
                <w:rFonts w:hint="eastAsia"/>
                <w:color w:val="000000"/>
                <w:sz w:val="24"/>
                <w:vertAlign w:val="subscript"/>
              </w:rPr>
              <w:t>3</w:t>
            </w:r>
            <w:r>
              <w:rPr>
                <w:rFonts w:hint="eastAsia"/>
                <w:color w:val="000000"/>
                <w:sz w:val="24"/>
              </w:rPr>
              <w:t>排放水平；8</w:t>
            </w:r>
            <w:r>
              <w:rPr>
                <w:color w:val="000000"/>
                <w:sz w:val="24"/>
              </w:rPr>
              <w:t>.</w:t>
            </w:r>
            <w:r>
              <w:rPr>
                <w:rFonts w:hint="eastAsia"/>
                <w:color w:val="000000"/>
                <w:sz w:val="24"/>
              </w:rPr>
              <w:t xml:space="preserve"> 加强面源污染控制，降低无组织排放；9</w:t>
            </w:r>
            <w:r>
              <w:rPr>
                <w:color w:val="000000"/>
                <w:sz w:val="24"/>
              </w:rPr>
              <w:t>.</w:t>
            </w:r>
            <w:r>
              <w:rPr>
                <w:rFonts w:hint="eastAsia"/>
                <w:color w:val="000000"/>
                <w:sz w:val="24"/>
              </w:rPr>
              <w:t xml:space="preserve"> 实施季节性污染调控，有效实现污染削峰；1</w:t>
            </w:r>
            <w:r>
              <w:rPr>
                <w:color w:val="000000"/>
                <w:sz w:val="24"/>
              </w:rPr>
              <w:t>0.</w:t>
            </w:r>
            <w:r>
              <w:rPr>
                <w:rFonts w:hint="eastAsia"/>
                <w:color w:val="000000"/>
                <w:sz w:val="24"/>
              </w:rPr>
              <w:t xml:space="preserve"> 完善监控能力建设，强化环境质量和污染源监管。</w:t>
            </w:r>
            <w:r>
              <w:rPr>
                <w:color w:val="000000"/>
                <w:sz w:val="24"/>
              </w:rPr>
              <w:t>严格执行以上措施将有效改善区域大气环境质量。</w:t>
            </w:r>
          </w:p>
          <w:p w14:paraId="2ABD379F">
            <w:pPr>
              <w:spacing w:line="52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特征污染物非甲烷总烃委托监测公司对北岸华府小区监测，监测日期2024年12月</w:t>
            </w:r>
            <w:r>
              <w:rPr>
                <w:rFonts w:hint="eastAsia" w:ascii="宋体" w:hAnsi="宋体" w:cs="宋体"/>
                <w:color w:val="000000" w:themeColor="text1"/>
                <w:sz w:val="24"/>
                <w:lang w:val="en-US" w:eastAsia="zh-CN"/>
                <w14:textFill>
                  <w14:solidFill>
                    <w14:schemeClr w14:val="tx1"/>
                  </w14:solidFill>
                </w14:textFill>
              </w:rPr>
              <w:t>17</w:t>
            </w:r>
            <w:r>
              <w:rPr>
                <w:rFonts w:hint="eastAsia" w:ascii="宋体" w:hAnsi="宋体" w:cs="宋体"/>
                <w:color w:val="000000" w:themeColor="text1"/>
                <w:sz w:val="24"/>
                <w14:textFill>
                  <w14:solidFill>
                    <w14:schemeClr w14:val="tx1"/>
                  </w14:solidFill>
                </w14:textFill>
              </w:rPr>
              <w:t>日-2024年12月</w:t>
            </w:r>
            <w:r>
              <w:rPr>
                <w:rFonts w:hint="eastAsia" w:ascii="宋体" w:hAnsi="宋体" w:cs="宋体"/>
                <w:color w:val="000000" w:themeColor="text1"/>
                <w:sz w:val="24"/>
                <w:lang w:val="en-US" w:eastAsia="zh-CN"/>
                <w14:textFill>
                  <w14:solidFill>
                    <w14:schemeClr w14:val="tx1"/>
                  </w14:solidFill>
                </w14:textFill>
              </w:rPr>
              <w:t>19</w:t>
            </w:r>
            <w:r>
              <w:rPr>
                <w:rFonts w:hint="eastAsia" w:ascii="宋体" w:hAnsi="宋体" w:cs="宋体"/>
                <w:color w:val="000000" w:themeColor="text1"/>
                <w:sz w:val="24"/>
                <w14:textFill>
                  <w14:solidFill>
                    <w14:schemeClr w14:val="tx1"/>
                  </w14:solidFill>
                </w14:textFill>
              </w:rPr>
              <w:t>日，监测结果如下：</w:t>
            </w:r>
          </w:p>
          <w:p w14:paraId="380BA049">
            <w:pPr>
              <w:spacing w:line="500" w:lineRule="atLeast"/>
              <w:ind w:right="105" w:rightChars="50" w:firstLine="482" w:firstLineChars="200"/>
              <w:jc w:val="center"/>
              <w:rPr>
                <w:rFonts w:ascii="宋体" w:hAnsi="宋体" w:cs="宋体"/>
                <w:color w:val="000000" w:themeColor="text1"/>
                <w:sz w:val="24"/>
                <w14:textFill>
                  <w14:solidFill>
                    <w14:schemeClr w14:val="tx1"/>
                  </w14:solidFill>
                </w14:textFill>
              </w:rPr>
            </w:pPr>
            <w:r>
              <w:rPr>
                <w:b/>
                <w:color w:val="000000"/>
                <w:sz w:val="24"/>
              </w:rPr>
              <w:t>表3-</w:t>
            </w:r>
            <w:r>
              <w:rPr>
                <w:rFonts w:hint="eastAsia"/>
                <w:b/>
                <w:color w:val="000000"/>
                <w:sz w:val="24"/>
              </w:rPr>
              <w:t>2</w:t>
            </w:r>
            <w:r>
              <w:rPr>
                <w:b/>
                <w:color w:val="000000"/>
                <w:sz w:val="24"/>
              </w:rPr>
              <w:t xml:space="preserve">  </w:t>
            </w:r>
            <w:r>
              <w:rPr>
                <w:rFonts w:hint="eastAsia"/>
                <w:b/>
                <w:color w:val="000000"/>
                <w:sz w:val="24"/>
              </w:rPr>
              <w:t>非甲烷总烃监测结果</w:t>
            </w:r>
          </w:p>
          <w:tbl>
            <w:tblPr>
              <w:tblStyle w:val="28"/>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70"/>
              <w:gridCol w:w="2333"/>
              <w:gridCol w:w="1660"/>
              <w:gridCol w:w="893"/>
              <w:gridCol w:w="766"/>
              <w:gridCol w:w="893"/>
              <w:gridCol w:w="785"/>
            </w:tblGrid>
            <w:tr w14:paraId="6ED3B5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6" w:hRule="atLeast"/>
                <w:jc w:val="center"/>
              </w:trPr>
              <w:tc>
                <w:tcPr>
                  <w:tcW w:w="5000" w:type="pct"/>
                  <w:gridSpan w:val="7"/>
                  <w:vAlign w:val="center"/>
                </w:tcPr>
                <w:p w14:paraId="3110DBF9">
                  <w:pPr>
                    <w:jc w:val="center"/>
                    <w:rPr>
                      <w:szCs w:val="21"/>
                    </w:rPr>
                  </w:pPr>
                  <w:r>
                    <w:rPr>
                      <w:rFonts w:hint="eastAsia" w:ascii="宋体" w:hAnsi="宋体" w:cs="宋体"/>
                      <w:snapToGrid w:val="0"/>
                      <w:kern w:val="21"/>
                      <w:szCs w:val="21"/>
                    </w:rPr>
                    <w:t>北岸华府小区</w:t>
                  </w:r>
                  <w:r>
                    <w:rPr>
                      <w:szCs w:val="21"/>
                    </w:rPr>
                    <w:t>检测结果</w:t>
                  </w:r>
                </w:p>
              </w:tc>
            </w:tr>
            <w:tr w14:paraId="7A84407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6" w:hRule="atLeast"/>
                <w:jc w:val="center"/>
              </w:trPr>
              <w:tc>
                <w:tcPr>
                  <w:tcW w:w="788" w:type="pct"/>
                  <w:tcBorders>
                    <w:right w:val="single" w:color="auto" w:sz="4" w:space="0"/>
                  </w:tcBorders>
                  <w:vAlign w:val="center"/>
                </w:tcPr>
                <w:p w14:paraId="4AF7101A">
                  <w:pPr>
                    <w:spacing w:line="0" w:lineRule="atLeast"/>
                    <w:jc w:val="center"/>
                    <w:rPr>
                      <w:szCs w:val="21"/>
                    </w:rPr>
                  </w:pPr>
                  <w:r>
                    <w:rPr>
                      <w:szCs w:val="21"/>
                    </w:rPr>
                    <w:t>检测点位</w:t>
                  </w:r>
                </w:p>
              </w:tc>
              <w:tc>
                <w:tcPr>
                  <w:tcW w:w="1341" w:type="pct"/>
                  <w:tcBorders>
                    <w:top w:val="single" w:color="auto" w:sz="4" w:space="0"/>
                    <w:right w:val="single" w:color="000000" w:sz="4" w:space="0"/>
                  </w:tcBorders>
                  <w:vAlign w:val="center"/>
                </w:tcPr>
                <w:p w14:paraId="0331888B">
                  <w:pPr>
                    <w:jc w:val="center"/>
                    <w:rPr>
                      <w:szCs w:val="21"/>
                    </w:rPr>
                  </w:pPr>
                  <w:r>
                    <w:rPr>
                      <w:szCs w:val="21"/>
                    </w:rPr>
                    <w:t>样品编号</w:t>
                  </w:r>
                </w:p>
              </w:tc>
              <w:tc>
                <w:tcPr>
                  <w:tcW w:w="954" w:type="pct"/>
                  <w:tcBorders>
                    <w:top w:val="single" w:color="000000" w:sz="4" w:space="0"/>
                    <w:left w:val="single" w:color="000000" w:sz="4" w:space="0"/>
                    <w:bottom w:val="single" w:color="000000" w:sz="4" w:space="0"/>
                    <w:right w:val="single" w:color="000000" w:sz="4" w:space="0"/>
                  </w:tcBorders>
                  <w:vAlign w:val="center"/>
                </w:tcPr>
                <w:p w14:paraId="1E5000D5">
                  <w:pPr>
                    <w:jc w:val="center"/>
                    <w:rPr>
                      <w:szCs w:val="21"/>
                    </w:rPr>
                  </w:pPr>
                  <w:r>
                    <w:rPr>
                      <w:szCs w:val="21"/>
                    </w:rPr>
                    <w:t>检测日期</w:t>
                  </w:r>
                </w:p>
              </w:tc>
              <w:tc>
                <w:tcPr>
                  <w:tcW w:w="513" w:type="pct"/>
                  <w:tcBorders>
                    <w:top w:val="single" w:color="000000" w:sz="4" w:space="0"/>
                    <w:left w:val="single" w:color="000000" w:sz="4" w:space="0"/>
                    <w:bottom w:val="single" w:color="000000" w:sz="4" w:space="0"/>
                    <w:right w:val="single" w:color="000000" w:sz="4" w:space="0"/>
                  </w:tcBorders>
                  <w:vAlign w:val="center"/>
                </w:tcPr>
                <w:p w14:paraId="7E3CB808">
                  <w:pPr>
                    <w:jc w:val="center"/>
                    <w:rPr>
                      <w:szCs w:val="21"/>
                    </w:rPr>
                  </w:pPr>
                  <w:r>
                    <w:rPr>
                      <w:szCs w:val="21"/>
                    </w:rPr>
                    <w:t>02:00</w:t>
                  </w:r>
                </w:p>
              </w:tc>
              <w:tc>
                <w:tcPr>
                  <w:tcW w:w="440" w:type="pct"/>
                  <w:tcBorders>
                    <w:top w:val="single" w:color="000000" w:sz="4" w:space="0"/>
                    <w:left w:val="single" w:color="000000" w:sz="4" w:space="0"/>
                    <w:bottom w:val="single" w:color="000000" w:sz="4" w:space="0"/>
                    <w:right w:val="single" w:color="000000" w:sz="4" w:space="0"/>
                  </w:tcBorders>
                  <w:vAlign w:val="center"/>
                </w:tcPr>
                <w:p w14:paraId="7A6CF4C7">
                  <w:pPr>
                    <w:jc w:val="center"/>
                    <w:rPr>
                      <w:szCs w:val="21"/>
                    </w:rPr>
                  </w:pPr>
                  <w:r>
                    <w:rPr>
                      <w:szCs w:val="21"/>
                    </w:rPr>
                    <w:t>08:00</w:t>
                  </w:r>
                </w:p>
              </w:tc>
              <w:tc>
                <w:tcPr>
                  <w:tcW w:w="513" w:type="pct"/>
                  <w:tcBorders>
                    <w:top w:val="single" w:color="000000" w:sz="4" w:space="0"/>
                    <w:left w:val="single" w:color="000000" w:sz="4" w:space="0"/>
                    <w:bottom w:val="single" w:color="000000" w:sz="4" w:space="0"/>
                    <w:right w:val="single" w:color="000000" w:sz="4" w:space="0"/>
                  </w:tcBorders>
                  <w:vAlign w:val="center"/>
                </w:tcPr>
                <w:p w14:paraId="40F76975">
                  <w:pPr>
                    <w:jc w:val="center"/>
                    <w:rPr>
                      <w:szCs w:val="21"/>
                    </w:rPr>
                  </w:pPr>
                  <w:r>
                    <w:rPr>
                      <w:szCs w:val="21"/>
                    </w:rPr>
                    <w:t>14:00</w:t>
                  </w:r>
                </w:p>
              </w:tc>
              <w:tc>
                <w:tcPr>
                  <w:tcW w:w="448" w:type="pct"/>
                  <w:tcBorders>
                    <w:top w:val="single" w:color="000000" w:sz="4" w:space="0"/>
                    <w:left w:val="single" w:color="000000" w:sz="4" w:space="0"/>
                    <w:bottom w:val="single" w:color="000000" w:sz="4" w:space="0"/>
                    <w:right w:val="single" w:color="000000" w:sz="4" w:space="0"/>
                  </w:tcBorders>
                  <w:vAlign w:val="center"/>
                </w:tcPr>
                <w:p w14:paraId="6E958E62">
                  <w:pPr>
                    <w:jc w:val="center"/>
                    <w:rPr>
                      <w:szCs w:val="21"/>
                    </w:rPr>
                  </w:pPr>
                  <w:r>
                    <w:rPr>
                      <w:szCs w:val="21"/>
                    </w:rPr>
                    <w:t>20:00</w:t>
                  </w:r>
                </w:p>
              </w:tc>
            </w:tr>
            <w:tr w14:paraId="1BA071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6" w:hRule="atLeast"/>
                <w:jc w:val="center"/>
              </w:trPr>
              <w:tc>
                <w:tcPr>
                  <w:tcW w:w="788" w:type="pct"/>
                  <w:vMerge w:val="restart"/>
                  <w:tcBorders>
                    <w:right w:val="single" w:color="auto" w:sz="4" w:space="0"/>
                  </w:tcBorders>
                  <w:vAlign w:val="center"/>
                </w:tcPr>
                <w:p w14:paraId="3EAAAAB1">
                  <w:pPr>
                    <w:jc w:val="center"/>
                    <w:rPr>
                      <w:szCs w:val="21"/>
                    </w:rPr>
                  </w:pPr>
                  <w:r>
                    <w:rPr>
                      <w:szCs w:val="21"/>
                    </w:rPr>
                    <w:t>非甲烷总烃</w:t>
                  </w:r>
                </w:p>
                <w:p w14:paraId="34631374">
                  <w:pPr>
                    <w:jc w:val="center"/>
                    <w:rPr>
                      <w:szCs w:val="21"/>
                    </w:rPr>
                  </w:pPr>
                  <w:r>
                    <w:rPr>
                      <w:szCs w:val="21"/>
                    </w:rPr>
                    <w:t>（mg/m</w:t>
                  </w:r>
                  <w:r>
                    <w:rPr>
                      <w:szCs w:val="21"/>
                      <w:vertAlign w:val="superscript"/>
                    </w:rPr>
                    <w:t>3</w:t>
                  </w:r>
                  <w:r>
                    <w:rPr>
                      <w:szCs w:val="21"/>
                    </w:rPr>
                    <w:t>）</w:t>
                  </w:r>
                </w:p>
              </w:tc>
              <w:tc>
                <w:tcPr>
                  <w:tcW w:w="1341" w:type="pct"/>
                  <w:tcBorders>
                    <w:top w:val="single" w:color="auto" w:sz="4" w:space="0"/>
                    <w:right w:val="single" w:color="auto" w:sz="4" w:space="0"/>
                  </w:tcBorders>
                  <w:vAlign w:val="center"/>
                </w:tcPr>
                <w:p w14:paraId="57EE2A19">
                  <w:pPr>
                    <w:jc w:val="center"/>
                    <w:rPr>
                      <w:szCs w:val="21"/>
                    </w:rPr>
                  </w:pPr>
                  <w:r>
                    <w:rPr>
                      <w:szCs w:val="21"/>
                    </w:rPr>
                    <w:t>XH24</w:t>
                  </w:r>
                  <w:r>
                    <w:rPr>
                      <w:rFonts w:hint="eastAsia"/>
                      <w:szCs w:val="21"/>
                    </w:rPr>
                    <w:t>L649</w:t>
                  </w:r>
                  <w:r>
                    <w:rPr>
                      <w:szCs w:val="21"/>
                    </w:rPr>
                    <w:t>Q01101~04</w:t>
                  </w:r>
                </w:p>
              </w:tc>
              <w:tc>
                <w:tcPr>
                  <w:tcW w:w="954" w:type="pct"/>
                  <w:tcBorders>
                    <w:top w:val="single" w:color="000000" w:sz="4" w:space="0"/>
                    <w:left w:val="single" w:color="auto" w:sz="4" w:space="0"/>
                    <w:right w:val="single" w:color="auto" w:sz="4" w:space="0"/>
                  </w:tcBorders>
                  <w:vAlign w:val="center"/>
                </w:tcPr>
                <w:p w14:paraId="66D1DC91">
                  <w:pPr>
                    <w:jc w:val="center"/>
                    <w:rPr>
                      <w:szCs w:val="21"/>
                    </w:rPr>
                  </w:pPr>
                  <w:r>
                    <w:rPr>
                      <w:rFonts w:hint="eastAsia"/>
                      <w:szCs w:val="21"/>
                    </w:rPr>
                    <w:t>2024.12.17</w:t>
                  </w:r>
                </w:p>
              </w:tc>
              <w:tc>
                <w:tcPr>
                  <w:tcW w:w="513" w:type="pct"/>
                  <w:tcBorders>
                    <w:top w:val="single" w:color="000000" w:sz="4" w:space="0"/>
                    <w:left w:val="single" w:color="auto" w:sz="4" w:space="0"/>
                    <w:right w:val="single" w:color="auto" w:sz="4" w:space="0"/>
                  </w:tcBorders>
                  <w:vAlign w:val="center"/>
                </w:tcPr>
                <w:p w14:paraId="1C079E90">
                  <w:pPr>
                    <w:jc w:val="center"/>
                    <w:rPr>
                      <w:szCs w:val="21"/>
                    </w:rPr>
                  </w:pPr>
                  <w:r>
                    <w:rPr>
                      <w:szCs w:val="21"/>
                    </w:rPr>
                    <w:t>0.</w:t>
                  </w:r>
                  <w:r>
                    <w:rPr>
                      <w:rFonts w:hint="eastAsia"/>
                      <w:szCs w:val="21"/>
                    </w:rPr>
                    <w:t>16</w:t>
                  </w:r>
                </w:p>
              </w:tc>
              <w:tc>
                <w:tcPr>
                  <w:tcW w:w="440" w:type="pct"/>
                  <w:tcBorders>
                    <w:top w:val="single" w:color="000000" w:sz="4" w:space="0"/>
                    <w:left w:val="single" w:color="auto" w:sz="4" w:space="0"/>
                    <w:right w:val="single" w:color="auto" w:sz="4" w:space="0"/>
                  </w:tcBorders>
                  <w:vAlign w:val="center"/>
                </w:tcPr>
                <w:p w14:paraId="6B5AC5C3">
                  <w:pPr>
                    <w:jc w:val="center"/>
                    <w:rPr>
                      <w:szCs w:val="21"/>
                    </w:rPr>
                  </w:pPr>
                  <w:r>
                    <w:rPr>
                      <w:szCs w:val="21"/>
                    </w:rPr>
                    <w:t>0.2</w:t>
                  </w:r>
                  <w:r>
                    <w:rPr>
                      <w:rFonts w:hint="eastAsia"/>
                      <w:szCs w:val="21"/>
                    </w:rPr>
                    <w:t>5</w:t>
                  </w:r>
                </w:p>
              </w:tc>
              <w:tc>
                <w:tcPr>
                  <w:tcW w:w="513" w:type="pct"/>
                  <w:tcBorders>
                    <w:top w:val="single" w:color="000000" w:sz="4" w:space="0"/>
                    <w:left w:val="single" w:color="auto" w:sz="4" w:space="0"/>
                  </w:tcBorders>
                  <w:vAlign w:val="center"/>
                </w:tcPr>
                <w:p w14:paraId="1461C6AC">
                  <w:pPr>
                    <w:jc w:val="center"/>
                    <w:rPr>
                      <w:szCs w:val="21"/>
                    </w:rPr>
                  </w:pPr>
                  <w:r>
                    <w:rPr>
                      <w:szCs w:val="21"/>
                    </w:rPr>
                    <w:t>0.</w:t>
                  </w:r>
                  <w:r>
                    <w:rPr>
                      <w:rFonts w:hint="eastAsia"/>
                      <w:szCs w:val="21"/>
                    </w:rPr>
                    <w:t>34</w:t>
                  </w:r>
                </w:p>
              </w:tc>
              <w:tc>
                <w:tcPr>
                  <w:tcW w:w="448" w:type="pct"/>
                  <w:tcBorders>
                    <w:top w:val="single" w:color="000000" w:sz="4" w:space="0"/>
                  </w:tcBorders>
                  <w:vAlign w:val="center"/>
                </w:tcPr>
                <w:p w14:paraId="060F7FA4">
                  <w:pPr>
                    <w:jc w:val="center"/>
                    <w:rPr>
                      <w:szCs w:val="21"/>
                    </w:rPr>
                  </w:pPr>
                  <w:r>
                    <w:rPr>
                      <w:szCs w:val="21"/>
                    </w:rPr>
                    <w:t>0.2</w:t>
                  </w:r>
                  <w:r>
                    <w:rPr>
                      <w:rFonts w:hint="eastAsia"/>
                      <w:szCs w:val="21"/>
                    </w:rPr>
                    <w:t>2</w:t>
                  </w:r>
                </w:p>
              </w:tc>
            </w:tr>
            <w:tr w14:paraId="49592E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6" w:hRule="atLeast"/>
                <w:jc w:val="center"/>
              </w:trPr>
              <w:tc>
                <w:tcPr>
                  <w:tcW w:w="788" w:type="pct"/>
                  <w:vMerge w:val="continue"/>
                  <w:tcBorders>
                    <w:right w:val="single" w:color="auto" w:sz="4" w:space="0"/>
                  </w:tcBorders>
                  <w:vAlign w:val="center"/>
                </w:tcPr>
                <w:p w14:paraId="75228078">
                  <w:pPr>
                    <w:jc w:val="center"/>
                    <w:rPr>
                      <w:szCs w:val="21"/>
                    </w:rPr>
                  </w:pPr>
                </w:p>
              </w:tc>
              <w:tc>
                <w:tcPr>
                  <w:tcW w:w="1341" w:type="pct"/>
                  <w:tcBorders>
                    <w:top w:val="single" w:color="auto" w:sz="4" w:space="0"/>
                    <w:right w:val="single" w:color="auto" w:sz="4" w:space="0"/>
                  </w:tcBorders>
                  <w:vAlign w:val="center"/>
                </w:tcPr>
                <w:p w14:paraId="47A7737B">
                  <w:pPr>
                    <w:jc w:val="center"/>
                    <w:rPr>
                      <w:szCs w:val="21"/>
                    </w:rPr>
                  </w:pPr>
                  <w:r>
                    <w:rPr>
                      <w:szCs w:val="21"/>
                    </w:rPr>
                    <w:t>XH24</w:t>
                  </w:r>
                  <w:r>
                    <w:rPr>
                      <w:rFonts w:hint="eastAsia"/>
                      <w:szCs w:val="21"/>
                    </w:rPr>
                    <w:t>L649</w:t>
                  </w:r>
                  <w:r>
                    <w:rPr>
                      <w:szCs w:val="21"/>
                    </w:rPr>
                    <w:t>Q01</w:t>
                  </w:r>
                  <w:r>
                    <w:rPr>
                      <w:rFonts w:hint="eastAsia"/>
                      <w:szCs w:val="21"/>
                    </w:rPr>
                    <w:t>2</w:t>
                  </w:r>
                  <w:r>
                    <w:rPr>
                      <w:szCs w:val="21"/>
                    </w:rPr>
                    <w:t>01~04</w:t>
                  </w:r>
                </w:p>
              </w:tc>
              <w:tc>
                <w:tcPr>
                  <w:tcW w:w="954" w:type="pct"/>
                  <w:tcBorders>
                    <w:left w:val="single" w:color="auto" w:sz="4" w:space="0"/>
                    <w:right w:val="single" w:color="auto" w:sz="4" w:space="0"/>
                  </w:tcBorders>
                  <w:vAlign w:val="center"/>
                </w:tcPr>
                <w:p w14:paraId="7E060122">
                  <w:pPr>
                    <w:jc w:val="center"/>
                    <w:rPr>
                      <w:szCs w:val="21"/>
                    </w:rPr>
                  </w:pPr>
                  <w:r>
                    <w:rPr>
                      <w:rFonts w:hint="eastAsia"/>
                      <w:szCs w:val="21"/>
                    </w:rPr>
                    <w:t>2024.12.18</w:t>
                  </w:r>
                </w:p>
              </w:tc>
              <w:tc>
                <w:tcPr>
                  <w:tcW w:w="513" w:type="pct"/>
                  <w:tcBorders>
                    <w:top w:val="single" w:color="auto" w:sz="4" w:space="0"/>
                    <w:left w:val="single" w:color="auto" w:sz="4" w:space="0"/>
                    <w:right w:val="single" w:color="auto" w:sz="4" w:space="0"/>
                  </w:tcBorders>
                  <w:vAlign w:val="center"/>
                </w:tcPr>
                <w:p w14:paraId="4766722F">
                  <w:pPr>
                    <w:jc w:val="center"/>
                    <w:rPr>
                      <w:szCs w:val="21"/>
                    </w:rPr>
                  </w:pPr>
                  <w:r>
                    <w:rPr>
                      <w:szCs w:val="21"/>
                    </w:rPr>
                    <w:t>0.</w:t>
                  </w:r>
                  <w:r>
                    <w:rPr>
                      <w:rFonts w:hint="eastAsia"/>
                      <w:szCs w:val="21"/>
                    </w:rPr>
                    <w:t>17</w:t>
                  </w:r>
                </w:p>
              </w:tc>
              <w:tc>
                <w:tcPr>
                  <w:tcW w:w="440" w:type="pct"/>
                  <w:tcBorders>
                    <w:top w:val="single" w:color="auto" w:sz="4" w:space="0"/>
                    <w:left w:val="single" w:color="auto" w:sz="4" w:space="0"/>
                    <w:right w:val="single" w:color="auto" w:sz="4" w:space="0"/>
                  </w:tcBorders>
                  <w:vAlign w:val="center"/>
                </w:tcPr>
                <w:p w14:paraId="4037403A">
                  <w:pPr>
                    <w:jc w:val="center"/>
                    <w:rPr>
                      <w:szCs w:val="21"/>
                    </w:rPr>
                  </w:pPr>
                  <w:r>
                    <w:rPr>
                      <w:szCs w:val="21"/>
                    </w:rPr>
                    <w:t>0.2</w:t>
                  </w:r>
                  <w:r>
                    <w:rPr>
                      <w:rFonts w:hint="eastAsia"/>
                      <w:szCs w:val="21"/>
                    </w:rPr>
                    <w:t>4</w:t>
                  </w:r>
                </w:p>
              </w:tc>
              <w:tc>
                <w:tcPr>
                  <w:tcW w:w="513" w:type="pct"/>
                  <w:tcBorders>
                    <w:top w:val="single" w:color="auto" w:sz="4" w:space="0"/>
                    <w:left w:val="single" w:color="auto" w:sz="4" w:space="0"/>
                  </w:tcBorders>
                  <w:vAlign w:val="center"/>
                </w:tcPr>
                <w:p w14:paraId="22A7D208">
                  <w:pPr>
                    <w:jc w:val="center"/>
                    <w:rPr>
                      <w:szCs w:val="21"/>
                    </w:rPr>
                  </w:pPr>
                  <w:r>
                    <w:rPr>
                      <w:szCs w:val="21"/>
                    </w:rPr>
                    <w:t>0.2</w:t>
                  </w:r>
                  <w:r>
                    <w:rPr>
                      <w:rFonts w:hint="eastAsia"/>
                      <w:szCs w:val="21"/>
                    </w:rPr>
                    <w:t>8</w:t>
                  </w:r>
                </w:p>
              </w:tc>
              <w:tc>
                <w:tcPr>
                  <w:tcW w:w="448" w:type="pct"/>
                  <w:vAlign w:val="center"/>
                </w:tcPr>
                <w:p w14:paraId="1B313208">
                  <w:pPr>
                    <w:jc w:val="center"/>
                    <w:rPr>
                      <w:szCs w:val="21"/>
                    </w:rPr>
                  </w:pPr>
                  <w:r>
                    <w:rPr>
                      <w:szCs w:val="21"/>
                    </w:rPr>
                    <w:t>0.</w:t>
                  </w:r>
                  <w:r>
                    <w:rPr>
                      <w:rFonts w:hint="eastAsia"/>
                      <w:szCs w:val="21"/>
                    </w:rPr>
                    <w:t>23</w:t>
                  </w:r>
                </w:p>
              </w:tc>
            </w:tr>
            <w:tr w14:paraId="7F433C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6" w:hRule="atLeast"/>
                <w:jc w:val="center"/>
              </w:trPr>
              <w:tc>
                <w:tcPr>
                  <w:tcW w:w="788" w:type="pct"/>
                  <w:vMerge w:val="continue"/>
                  <w:tcBorders>
                    <w:right w:val="single" w:color="auto" w:sz="4" w:space="0"/>
                  </w:tcBorders>
                  <w:vAlign w:val="center"/>
                </w:tcPr>
                <w:p w14:paraId="7D56FD69">
                  <w:pPr>
                    <w:jc w:val="center"/>
                    <w:rPr>
                      <w:szCs w:val="21"/>
                    </w:rPr>
                  </w:pPr>
                </w:p>
              </w:tc>
              <w:tc>
                <w:tcPr>
                  <w:tcW w:w="1341" w:type="pct"/>
                  <w:tcBorders>
                    <w:top w:val="single" w:color="auto" w:sz="4" w:space="0"/>
                    <w:right w:val="single" w:color="auto" w:sz="4" w:space="0"/>
                  </w:tcBorders>
                  <w:vAlign w:val="center"/>
                </w:tcPr>
                <w:p w14:paraId="0D44A1FA">
                  <w:pPr>
                    <w:jc w:val="center"/>
                    <w:rPr>
                      <w:szCs w:val="21"/>
                    </w:rPr>
                  </w:pPr>
                  <w:r>
                    <w:rPr>
                      <w:szCs w:val="21"/>
                    </w:rPr>
                    <w:t>XH24</w:t>
                  </w:r>
                  <w:r>
                    <w:rPr>
                      <w:rFonts w:hint="eastAsia"/>
                      <w:szCs w:val="21"/>
                    </w:rPr>
                    <w:t>L649</w:t>
                  </w:r>
                  <w:r>
                    <w:rPr>
                      <w:szCs w:val="21"/>
                    </w:rPr>
                    <w:t>Q01</w:t>
                  </w:r>
                  <w:r>
                    <w:rPr>
                      <w:rFonts w:hint="eastAsia"/>
                      <w:szCs w:val="21"/>
                    </w:rPr>
                    <w:t>3</w:t>
                  </w:r>
                  <w:r>
                    <w:rPr>
                      <w:szCs w:val="21"/>
                    </w:rPr>
                    <w:t>01~04</w:t>
                  </w:r>
                </w:p>
              </w:tc>
              <w:tc>
                <w:tcPr>
                  <w:tcW w:w="954" w:type="pct"/>
                  <w:tcBorders>
                    <w:left w:val="single" w:color="auto" w:sz="4" w:space="0"/>
                    <w:right w:val="single" w:color="auto" w:sz="4" w:space="0"/>
                  </w:tcBorders>
                  <w:vAlign w:val="center"/>
                </w:tcPr>
                <w:p w14:paraId="1D06BEFA">
                  <w:pPr>
                    <w:jc w:val="center"/>
                    <w:rPr>
                      <w:szCs w:val="21"/>
                    </w:rPr>
                  </w:pPr>
                  <w:r>
                    <w:rPr>
                      <w:rFonts w:hint="eastAsia"/>
                      <w:szCs w:val="21"/>
                    </w:rPr>
                    <w:t>2024.12.19</w:t>
                  </w:r>
                </w:p>
              </w:tc>
              <w:tc>
                <w:tcPr>
                  <w:tcW w:w="513" w:type="pct"/>
                  <w:tcBorders>
                    <w:top w:val="single" w:color="auto" w:sz="4" w:space="0"/>
                    <w:left w:val="single" w:color="auto" w:sz="4" w:space="0"/>
                    <w:right w:val="single" w:color="auto" w:sz="4" w:space="0"/>
                  </w:tcBorders>
                  <w:vAlign w:val="center"/>
                </w:tcPr>
                <w:p w14:paraId="26D9376B">
                  <w:pPr>
                    <w:jc w:val="center"/>
                    <w:rPr>
                      <w:szCs w:val="21"/>
                    </w:rPr>
                  </w:pPr>
                  <w:r>
                    <w:rPr>
                      <w:rFonts w:hint="eastAsia"/>
                      <w:szCs w:val="21"/>
                    </w:rPr>
                    <w:t>0.20</w:t>
                  </w:r>
                </w:p>
              </w:tc>
              <w:tc>
                <w:tcPr>
                  <w:tcW w:w="440" w:type="pct"/>
                  <w:tcBorders>
                    <w:top w:val="single" w:color="auto" w:sz="4" w:space="0"/>
                    <w:left w:val="single" w:color="auto" w:sz="4" w:space="0"/>
                    <w:right w:val="single" w:color="auto" w:sz="4" w:space="0"/>
                  </w:tcBorders>
                  <w:vAlign w:val="center"/>
                </w:tcPr>
                <w:p w14:paraId="762FB8FE">
                  <w:pPr>
                    <w:jc w:val="center"/>
                    <w:rPr>
                      <w:szCs w:val="21"/>
                    </w:rPr>
                  </w:pPr>
                  <w:r>
                    <w:rPr>
                      <w:rFonts w:hint="eastAsia"/>
                      <w:szCs w:val="21"/>
                    </w:rPr>
                    <w:t>0.27</w:t>
                  </w:r>
                </w:p>
              </w:tc>
              <w:tc>
                <w:tcPr>
                  <w:tcW w:w="513" w:type="pct"/>
                  <w:tcBorders>
                    <w:top w:val="single" w:color="auto" w:sz="4" w:space="0"/>
                    <w:left w:val="single" w:color="auto" w:sz="4" w:space="0"/>
                  </w:tcBorders>
                  <w:vAlign w:val="center"/>
                </w:tcPr>
                <w:p w14:paraId="1FD8E029">
                  <w:pPr>
                    <w:jc w:val="center"/>
                    <w:rPr>
                      <w:szCs w:val="21"/>
                    </w:rPr>
                  </w:pPr>
                  <w:r>
                    <w:rPr>
                      <w:rFonts w:hint="eastAsia"/>
                      <w:szCs w:val="21"/>
                    </w:rPr>
                    <w:t>0.32</w:t>
                  </w:r>
                </w:p>
              </w:tc>
              <w:tc>
                <w:tcPr>
                  <w:tcW w:w="448" w:type="pct"/>
                  <w:vAlign w:val="center"/>
                </w:tcPr>
                <w:p w14:paraId="5E1C5059">
                  <w:pPr>
                    <w:jc w:val="center"/>
                    <w:rPr>
                      <w:szCs w:val="21"/>
                    </w:rPr>
                  </w:pPr>
                  <w:r>
                    <w:rPr>
                      <w:rFonts w:hint="eastAsia"/>
                      <w:szCs w:val="21"/>
                    </w:rPr>
                    <w:t>0.26</w:t>
                  </w:r>
                </w:p>
              </w:tc>
            </w:tr>
            <w:tr w14:paraId="3C7CA3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2" w:hRule="atLeast"/>
                <w:jc w:val="center"/>
              </w:trPr>
              <w:tc>
                <w:tcPr>
                  <w:tcW w:w="788" w:type="pct"/>
                  <w:tcBorders>
                    <w:right w:val="single" w:color="auto" w:sz="4" w:space="0"/>
                  </w:tcBorders>
                  <w:vAlign w:val="center"/>
                </w:tcPr>
                <w:p w14:paraId="51804F7A">
                  <w:pPr>
                    <w:jc w:val="center"/>
                    <w:rPr>
                      <w:szCs w:val="21"/>
                    </w:rPr>
                  </w:pPr>
                  <w:r>
                    <w:rPr>
                      <w:szCs w:val="21"/>
                    </w:rPr>
                    <w:t>备注</w:t>
                  </w:r>
                </w:p>
              </w:tc>
              <w:tc>
                <w:tcPr>
                  <w:tcW w:w="4211" w:type="pct"/>
                  <w:gridSpan w:val="6"/>
                  <w:tcBorders>
                    <w:top w:val="single" w:color="auto" w:sz="4" w:space="0"/>
                  </w:tcBorders>
                  <w:vAlign w:val="center"/>
                </w:tcPr>
                <w:p w14:paraId="4275CE6A">
                  <w:pPr>
                    <w:jc w:val="center"/>
                    <w:rPr>
                      <w:szCs w:val="21"/>
                    </w:rPr>
                  </w:pPr>
                </w:p>
              </w:tc>
            </w:tr>
          </w:tbl>
          <w:p w14:paraId="148DF4E9">
            <w:pPr>
              <w:spacing w:line="520" w:lineRule="exact"/>
              <w:ind w:firstLine="420" w:firstLineChars="200"/>
              <w:rPr>
                <w:rFonts w:ascii="宋体" w:hAnsi="宋体" w:cs="宋体"/>
                <w:color w:val="000000" w:themeColor="text1"/>
                <w:sz w:val="24"/>
                <w14:textFill>
                  <w14:solidFill>
                    <w14:schemeClr w14:val="tx1"/>
                  </w14:solidFill>
                </w14:textFill>
              </w:rPr>
            </w:pPr>
            <w:r>
              <w:drawing>
                <wp:anchor distT="0" distB="0" distL="114300" distR="114300" simplePos="0" relativeHeight="251689984" behindDoc="0" locked="0" layoutInCell="1" allowOverlap="1">
                  <wp:simplePos x="0" y="0"/>
                  <wp:positionH relativeFrom="column">
                    <wp:posOffset>961390</wp:posOffset>
                  </wp:positionH>
                  <wp:positionV relativeFrom="paragraph">
                    <wp:posOffset>326390</wp:posOffset>
                  </wp:positionV>
                  <wp:extent cx="3740150" cy="2746375"/>
                  <wp:effectExtent l="0" t="0" r="8890" b="1206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3740150" cy="2746375"/>
                          </a:xfrm>
                          <a:prstGeom prst="rect">
                            <a:avLst/>
                          </a:prstGeom>
                          <a:noFill/>
                          <a:ln>
                            <a:noFill/>
                          </a:ln>
                        </pic:spPr>
                      </pic:pic>
                    </a:graphicData>
                  </a:graphic>
                </wp:anchor>
              </w:drawing>
            </w:r>
            <w:r>
              <w:rPr>
                <w:rFonts w:hint="eastAsia" w:ascii="宋体" w:hAnsi="宋体" w:cs="宋体"/>
                <w:color w:val="000000" w:themeColor="text1"/>
                <w:sz w:val="24"/>
                <w14:textFill>
                  <w14:solidFill>
                    <w14:schemeClr w14:val="tx1"/>
                  </w14:solidFill>
                </w14:textFill>
              </w:rPr>
              <w:t>监测布点图如下：</w:t>
            </w:r>
          </w:p>
          <w:p w14:paraId="24F93B27">
            <w:pPr>
              <w:spacing w:line="520" w:lineRule="exact"/>
              <w:ind w:firstLine="480" w:firstLineChars="200"/>
              <w:rPr>
                <w:rFonts w:ascii="宋体" w:hAnsi="宋体" w:cs="宋体"/>
                <w:color w:val="000000" w:themeColor="text1"/>
                <w:sz w:val="24"/>
                <w14:textFill>
                  <w14:solidFill>
                    <w14:schemeClr w14:val="tx1"/>
                  </w14:solidFill>
                </w14:textFill>
              </w:rPr>
            </w:pPr>
          </w:p>
          <w:p w14:paraId="085F1CF7">
            <w:pPr>
              <w:spacing w:line="520" w:lineRule="exact"/>
              <w:ind w:firstLine="480" w:firstLineChars="200"/>
              <w:rPr>
                <w:rFonts w:ascii="宋体" w:hAnsi="宋体" w:cs="宋体"/>
                <w:color w:val="000000" w:themeColor="text1"/>
                <w:sz w:val="24"/>
                <w14:textFill>
                  <w14:solidFill>
                    <w14:schemeClr w14:val="tx1"/>
                  </w14:solidFill>
                </w14:textFill>
              </w:rPr>
            </w:pPr>
          </w:p>
          <w:p w14:paraId="43E6E262">
            <w:pPr>
              <w:spacing w:line="520" w:lineRule="exact"/>
              <w:ind w:firstLine="480" w:firstLineChars="200"/>
              <w:rPr>
                <w:rFonts w:ascii="宋体" w:hAnsi="宋体" w:cs="宋体"/>
                <w:color w:val="000000" w:themeColor="text1"/>
                <w:sz w:val="24"/>
                <w14:textFill>
                  <w14:solidFill>
                    <w14:schemeClr w14:val="tx1"/>
                  </w14:solidFill>
                </w14:textFill>
              </w:rPr>
            </w:pPr>
          </w:p>
          <w:p w14:paraId="0B879B5A">
            <w:pPr>
              <w:spacing w:line="520" w:lineRule="exact"/>
              <w:ind w:firstLine="480" w:firstLineChars="200"/>
              <w:rPr>
                <w:rFonts w:ascii="宋体" w:hAnsi="宋体" w:cs="宋体"/>
                <w:color w:val="000000" w:themeColor="text1"/>
                <w:sz w:val="24"/>
                <w14:textFill>
                  <w14:solidFill>
                    <w14:schemeClr w14:val="tx1"/>
                  </w14:solidFill>
                </w14:textFill>
              </w:rPr>
            </w:pPr>
          </w:p>
          <w:p w14:paraId="6C5F85B0">
            <w:pPr>
              <w:spacing w:line="520" w:lineRule="exact"/>
              <w:ind w:firstLine="480" w:firstLineChars="200"/>
              <w:rPr>
                <w:rFonts w:ascii="宋体" w:hAnsi="宋体" w:cs="宋体"/>
                <w:color w:val="000000" w:themeColor="text1"/>
                <w:sz w:val="24"/>
                <w14:textFill>
                  <w14:solidFill>
                    <w14:schemeClr w14:val="tx1"/>
                  </w14:solidFill>
                </w14:textFill>
              </w:rPr>
            </w:pPr>
          </w:p>
          <w:p w14:paraId="2798A168">
            <w:pPr>
              <w:spacing w:line="520" w:lineRule="exact"/>
              <w:ind w:firstLine="480" w:firstLineChars="200"/>
              <w:rPr>
                <w:rFonts w:ascii="宋体" w:hAnsi="宋体" w:cs="宋体"/>
                <w:color w:val="000000" w:themeColor="text1"/>
                <w:sz w:val="24"/>
                <w14:textFill>
                  <w14:solidFill>
                    <w14:schemeClr w14:val="tx1"/>
                  </w14:solidFill>
                </w14:textFill>
              </w:rPr>
            </w:pPr>
          </w:p>
          <w:p w14:paraId="2574DEFC">
            <w:pPr>
              <w:spacing w:line="520" w:lineRule="exact"/>
              <w:ind w:firstLine="480" w:firstLineChars="200"/>
              <w:rPr>
                <w:rFonts w:ascii="宋体" w:hAnsi="宋体" w:cs="宋体"/>
                <w:color w:val="000000" w:themeColor="text1"/>
                <w:sz w:val="24"/>
                <w14:textFill>
                  <w14:solidFill>
                    <w14:schemeClr w14:val="tx1"/>
                  </w14:solidFill>
                </w14:textFill>
              </w:rPr>
            </w:pPr>
          </w:p>
          <w:p w14:paraId="0F9B38F9">
            <w:pPr>
              <w:spacing w:line="520" w:lineRule="exact"/>
              <w:ind w:firstLine="480" w:firstLineChars="200"/>
              <w:rPr>
                <w:rFonts w:ascii="宋体" w:hAnsi="宋体" w:cs="宋体"/>
                <w:color w:val="000000" w:themeColor="text1"/>
                <w:sz w:val="24"/>
                <w14:textFill>
                  <w14:solidFill>
                    <w14:schemeClr w14:val="tx1"/>
                  </w14:solidFill>
                </w14:textFill>
              </w:rPr>
            </w:pPr>
          </w:p>
          <w:p w14:paraId="50E5709D">
            <w:pPr>
              <w:spacing w:line="520" w:lineRule="exact"/>
              <w:ind w:firstLine="482" w:firstLineChars="200"/>
              <w:jc w:val="center"/>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图3-1 特征污染物监测点位图</w:t>
            </w:r>
          </w:p>
          <w:p w14:paraId="0D1E0DCE">
            <w:pPr>
              <w:spacing w:line="520" w:lineRule="exact"/>
              <w:ind w:firstLine="480" w:firstLineChars="20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w:t>
            </w:r>
            <w:r>
              <w:rPr>
                <w:rFonts w:ascii="宋体" w:hAnsi="宋体" w:cs="宋体"/>
                <w:sz w:val="24"/>
              </w:rPr>
              <w:t>项目</w:t>
            </w:r>
            <w:r>
              <w:rPr>
                <w:rFonts w:hint="eastAsia" w:ascii="宋体" w:hAnsi="宋体" w:cs="宋体"/>
                <w:color w:val="000000" w:themeColor="text1"/>
                <w:sz w:val="24"/>
                <w14:textFill>
                  <w14:solidFill>
                    <w14:schemeClr w14:val="tx1"/>
                  </w14:solidFill>
                </w14:textFill>
              </w:rPr>
              <w:t>监测数据结果显示非甲烷总烃1h浓度范围0.16-0.34mg/m³，非甲烷总烃能够满足《大气污染物综合排放标准详解》浓度限值要求。</w:t>
            </w:r>
          </w:p>
          <w:p w14:paraId="55045859">
            <w:pPr>
              <w:spacing w:line="50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二</w:t>
            </w:r>
            <w:r>
              <w:rPr>
                <w:rFonts w:hint="eastAsia" w:ascii="宋体" w:hAnsi="宋体" w:cs="宋体"/>
                <w:b/>
                <w:color w:val="000000" w:themeColor="text1"/>
                <w:sz w:val="24"/>
                <w14:textFill>
                  <w14:solidFill>
                    <w14:schemeClr w14:val="tx1"/>
                  </w14:solidFill>
                </w14:textFill>
              </w:rPr>
              <w:t>、</w:t>
            </w:r>
            <w:r>
              <w:rPr>
                <w:rFonts w:ascii="宋体" w:hAnsi="宋体" w:cs="宋体"/>
                <w:b/>
                <w:color w:val="000000" w:themeColor="text1"/>
                <w:sz w:val="24"/>
                <w14:textFill>
                  <w14:solidFill>
                    <w14:schemeClr w14:val="tx1"/>
                  </w14:solidFill>
                </w14:textFill>
              </w:rPr>
              <w:t>地表水环境质量</w:t>
            </w:r>
          </w:p>
          <w:p w14:paraId="22BE373C">
            <w:pPr>
              <w:pStyle w:val="22"/>
              <w:widowControl/>
              <w:spacing w:line="520" w:lineRule="exact"/>
              <w:ind w:left="105" w:leftChars="50" w:right="105" w:rightChars="50" w:firstLine="470" w:firstLineChars="196"/>
              <w:rPr>
                <w:snapToGrid w:val="0"/>
                <w:sz w:val="24"/>
              </w:rPr>
            </w:pPr>
            <w:r>
              <w:rPr>
                <w:rFonts w:hint="eastAsia"/>
                <w:snapToGrid w:val="0"/>
                <w:sz w:val="24"/>
              </w:rPr>
              <w:t>本次评价采用蚌埠市人民政府网站发布的《2023年蚌埠市生态环境质量概况》进行地表水评价，主要内容如下：淮河蚌埠段支流：北淝河入淮河口断面水质类别符合Ⅳ类标准，水质状况轻度污染，同比有所好转；怀洪新河五河、浍河蚌埠固镇、沱河关咀、茨淮新河上桥闸上、涡河怀远三桥5个断面水质类别均符合Ⅲ类标准，水质状况良好，同比均无明显变化。综上，浍河、怀洪新河水质满足《地表水环境质量标准》（GB3838-2002）中Ⅲ类水质标准要求，北淝河水质指标满足《地表水环境质量标准》（GB3838-2002）中Ⅳ类水质标准要求。</w:t>
            </w:r>
          </w:p>
          <w:p w14:paraId="7659B7A9">
            <w:pPr>
              <w:spacing w:line="50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三</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声环境质量</w:t>
            </w:r>
          </w:p>
          <w:p w14:paraId="6AE7B771">
            <w:pPr>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委托监测公司对厂界四周及曹庄新村保障房小区5个点位进行噪声现状监测，监测日期2024年12月17日-2024年12月18日，监测结果如下：</w:t>
            </w:r>
          </w:p>
          <w:p w14:paraId="56755D5D">
            <w:pPr>
              <w:pStyle w:val="22"/>
              <w:widowControl/>
              <w:spacing w:line="520" w:lineRule="exact"/>
              <w:ind w:left="105" w:leftChars="50" w:right="105" w:rightChars="50" w:firstLine="472" w:firstLineChars="196"/>
              <w:jc w:val="center"/>
              <w:rPr>
                <w:b/>
                <w:bCs/>
                <w:snapToGrid w:val="0"/>
                <w:sz w:val="24"/>
              </w:rPr>
            </w:pPr>
            <w:r>
              <w:rPr>
                <w:rFonts w:hint="eastAsia"/>
                <w:b/>
                <w:bCs/>
                <w:snapToGrid w:val="0"/>
                <w:sz w:val="24"/>
              </w:rPr>
              <w:t>表3-5    噪声监测结果汇总表</w:t>
            </w:r>
          </w:p>
          <w:tbl>
            <w:tblPr>
              <w:tblStyle w:val="9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00"/>
              <w:gridCol w:w="1573"/>
              <w:gridCol w:w="1575"/>
              <w:gridCol w:w="1573"/>
              <w:gridCol w:w="1576"/>
            </w:tblGrid>
            <w:tr w14:paraId="03D19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80" w:type="pct"/>
                  <w:vMerge w:val="restart"/>
                  <w:vAlign w:val="center"/>
                </w:tcPr>
                <w:p w14:paraId="6F8BA79A">
                  <w:pPr>
                    <w:pStyle w:val="48"/>
                    <w:spacing w:before="1" w:line="278" w:lineRule="auto"/>
                    <w:ind w:left="110" w:right="76"/>
                    <w:jc w:val="center"/>
                    <w:rPr>
                      <w:rFonts w:hAnsiTheme="minorEastAsia" w:eastAsiaTheme="minorEastAsia"/>
                      <w:spacing w:val="-3"/>
                      <w:sz w:val="21"/>
                      <w:szCs w:val="21"/>
                    </w:rPr>
                  </w:pPr>
                  <w:r>
                    <w:rPr>
                      <w:rFonts w:hint="eastAsia" w:hAnsiTheme="minorEastAsia" w:eastAsiaTheme="minorEastAsia"/>
                      <w:spacing w:val="-3"/>
                      <w:sz w:val="21"/>
                      <w:szCs w:val="21"/>
                    </w:rPr>
                    <w:t>测量点位</w:t>
                  </w:r>
                </w:p>
              </w:tc>
              <w:tc>
                <w:tcPr>
                  <w:tcW w:w="1809" w:type="pct"/>
                  <w:gridSpan w:val="2"/>
                  <w:vAlign w:val="center"/>
                </w:tcPr>
                <w:p w14:paraId="5BA9B196">
                  <w:pPr>
                    <w:pStyle w:val="48"/>
                    <w:spacing w:before="1" w:line="278" w:lineRule="auto"/>
                    <w:ind w:left="110" w:right="76"/>
                    <w:jc w:val="center"/>
                    <w:rPr>
                      <w:rFonts w:hAnsiTheme="minorEastAsia" w:eastAsiaTheme="minorEastAsia"/>
                      <w:spacing w:val="-3"/>
                      <w:sz w:val="21"/>
                      <w:szCs w:val="21"/>
                    </w:rPr>
                  </w:pPr>
                  <w:r>
                    <w:rPr>
                      <w:rFonts w:hint="eastAsia" w:hAnsiTheme="minorEastAsia" w:eastAsiaTheme="minorEastAsia"/>
                      <w:spacing w:val="-3"/>
                      <w:sz w:val="21"/>
                      <w:szCs w:val="21"/>
                    </w:rPr>
                    <w:t>2024.12.17检测结果</w:t>
                  </w:r>
                  <w:r>
                    <w:rPr>
                      <w:rFonts w:hAnsiTheme="minorEastAsia" w:eastAsiaTheme="minorEastAsia"/>
                      <w:spacing w:val="-3"/>
                      <w:sz w:val="21"/>
                      <w:szCs w:val="21"/>
                    </w:rPr>
                    <w:t>[Leq(A)]</w:t>
                  </w:r>
                </w:p>
              </w:tc>
              <w:tc>
                <w:tcPr>
                  <w:tcW w:w="1809" w:type="pct"/>
                  <w:gridSpan w:val="2"/>
                  <w:vAlign w:val="center"/>
                </w:tcPr>
                <w:p w14:paraId="180E9E0A">
                  <w:pPr>
                    <w:pStyle w:val="48"/>
                    <w:spacing w:before="1" w:line="278" w:lineRule="auto"/>
                    <w:ind w:left="110" w:right="76"/>
                    <w:jc w:val="center"/>
                    <w:rPr>
                      <w:rFonts w:hAnsiTheme="minorEastAsia" w:eastAsiaTheme="minorEastAsia"/>
                      <w:spacing w:val="-3"/>
                      <w:sz w:val="21"/>
                      <w:szCs w:val="21"/>
                    </w:rPr>
                  </w:pPr>
                  <w:r>
                    <w:rPr>
                      <w:rFonts w:hint="eastAsia" w:hAnsiTheme="minorEastAsia" w:eastAsiaTheme="minorEastAsia"/>
                      <w:spacing w:val="-3"/>
                      <w:sz w:val="21"/>
                      <w:szCs w:val="21"/>
                    </w:rPr>
                    <w:t>2024.12.18检测结果</w:t>
                  </w:r>
                  <w:r>
                    <w:rPr>
                      <w:rFonts w:hAnsiTheme="minorEastAsia" w:eastAsiaTheme="minorEastAsia"/>
                      <w:spacing w:val="-3"/>
                      <w:sz w:val="21"/>
                      <w:szCs w:val="21"/>
                    </w:rPr>
                    <w:t>[Leq(A)]</w:t>
                  </w:r>
                </w:p>
              </w:tc>
            </w:tr>
            <w:tr w14:paraId="37BAE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80" w:type="pct"/>
                  <w:vMerge w:val="continue"/>
                  <w:tcBorders>
                    <w:top w:val="nil"/>
                  </w:tcBorders>
                  <w:vAlign w:val="center"/>
                </w:tcPr>
                <w:p w14:paraId="19BDC66D">
                  <w:pPr>
                    <w:pStyle w:val="48"/>
                    <w:spacing w:before="1" w:line="278" w:lineRule="auto"/>
                    <w:ind w:left="110" w:right="76"/>
                    <w:jc w:val="center"/>
                    <w:rPr>
                      <w:rFonts w:hAnsiTheme="minorEastAsia" w:eastAsiaTheme="minorEastAsia"/>
                      <w:spacing w:val="-3"/>
                      <w:sz w:val="21"/>
                      <w:szCs w:val="21"/>
                    </w:rPr>
                  </w:pPr>
                </w:p>
              </w:tc>
              <w:tc>
                <w:tcPr>
                  <w:tcW w:w="904" w:type="pct"/>
                  <w:tcBorders>
                    <w:right w:val="single" w:color="auto" w:sz="4" w:space="0"/>
                  </w:tcBorders>
                  <w:vAlign w:val="center"/>
                </w:tcPr>
                <w:p w14:paraId="20720157">
                  <w:pPr>
                    <w:pStyle w:val="48"/>
                    <w:spacing w:before="1" w:line="278" w:lineRule="auto"/>
                    <w:ind w:left="110" w:right="76"/>
                    <w:jc w:val="center"/>
                    <w:rPr>
                      <w:rFonts w:hAnsiTheme="minorEastAsia" w:eastAsiaTheme="minorEastAsia"/>
                      <w:spacing w:val="-3"/>
                      <w:sz w:val="21"/>
                      <w:szCs w:val="21"/>
                    </w:rPr>
                  </w:pPr>
                  <w:r>
                    <w:rPr>
                      <w:rFonts w:hint="eastAsia" w:hAnsiTheme="minorEastAsia" w:eastAsiaTheme="minorEastAsia"/>
                      <w:spacing w:val="-3"/>
                      <w:sz w:val="21"/>
                      <w:szCs w:val="21"/>
                    </w:rPr>
                    <w:t xml:space="preserve">昼间 </w:t>
                  </w:r>
                  <w:r>
                    <w:rPr>
                      <w:rFonts w:hAnsiTheme="minorEastAsia" w:eastAsiaTheme="minorEastAsia"/>
                      <w:spacing w:val="-3"/>
                      <w:sz w:val="21"/>
                      <w:szCs w:val="21"/>
                    </w:rPr>
                    <w:t>dB(A)</w:t>
                  </w:r>
                </w:p>
              </w:tc>
              <w:tc>
                <w:tcPr>
                  <w:tcW w:w="904" w:type="pct"/>
                  <w:tcBorders>
                    <w:right w:val="single" w:color="auto" w:sz="4" w:space="0"/>
                  </w:tcBorders>
                  <w:vAlign w:val="center"/>
                </w:tcPr>
                <w:p w14:paraId="50AA33DB">
                  <w:pPr>
                    <w:pStyle w:val="48"/>
                    <w:spacing w:before="1" w:line="278" w:lineRule="auto"/>
                    <w:ind w:left="110" w:right="76"/>
                    <w:jc w:val="center"/>
                    <w:rPr>
                      <w:rFonts w:hAnsiTheme="minorEastAsia" w:eastAsiaTheme="minorEastAsia"/>
                      <w:spacing w:val="-3"/>
                      <w:sz w:val="21"/>
                      <w:szCs w:val="21"/>
                    </w:rPr>
                  </w:pPr>
                  <w:r>
                    <w:rPr>
                      <w:rFonts w:hint="eastAsia" w:hAnsiTheme="minorEastAsia" w:eastAsiaTheme="minorEastAsia"/>
                      <w:spacing w:val="-3"/>
                      <w:sz w:val="21"/>
                      <w:szCs w:val="21"/>
                    </w:rPr>
                    <w:t xml:space="preserve">夜间 </w:t>
                  </w:r>
                  <w:r>
                    <w:rPr>
                      <w:rFonts w:hAnsiTheme="minorEastAsia" w:eastAsiaTheme="minorEastAsia"/>
                      <w:spacing w:val="-3"/>
                      <w:sz w:val="21"/>
                      <w:szCs w:val="21"/>
                    </w:rPr>
                    <w:t>dB(A)</w:t>
                  </w:r>
                </w:p>
              </w:tc>
              <w:tc>
                <w:tcPr>
                  <w:tcW w:w="904" w:type="pct"/>
                  <w:tcBorders>
                    <w:left w:val="single" w:color="auto" w:sz="4" w:space="0"/>
                    <w:right w:val="single" w:color="auto" w:sz="4" w:space="0"/>
                  </w:tcBorders>
                  <w:vAlign w:val="center"/>
                </w:tcPr>
                <w:p w14:paraId="2C943CD0">
                  <w:pPr>
                    <w:pStyle w:val="48"/>
                    <w:spacing w:before="1" w:line="278" w:lineRule="auto"/>
                    <w:ind w:left="110" w:right="76"/>
                    <w:jc w:val="center"/>
                    <w:rPr>
                      <w:rFonts w:hAnsiTheme="minorEastAsia" w:eastAsiaTheme="minorEastAsia"/>
                      <w:spacing w:val="-3"/>
                      <w:sz w:val="21"/>
                      <w:szCs w:val="21"/>
                    </w:rPr>
                  </w:pPr>
                  <w:r>
                    <w:rPr>
                      <w:rFonts w:hint="eastAsia" w:hAnsiTheme="minorEastAsia" w:eastAsiaTheme="minorEastAsia"/>
                      <w:spacing w:val="-3"/>
                      <w:sz w:val="21"/>
                      <w:szCs w:val="21"/>
                    </w:rPr>
                    <w:t xml:space="preserve">昼间 </w:t>
                  </w:r>
                  <w:r>
                    <w:rPr>
                      <w:rFonts w:hAnsiTheme="minorEastAsia" w:eastAsiaTheme="minorEastAsia"/>
                      <w:spacing w:val="-3"/>
                      <w:sz w:val="21"/>
                      <w:szCs w:val="21"/>
                    </w:rPr>
                    <w:t>dB(A)</w:t>
                  </w:r>
                </w:p>
              </w:tc>
              <w:tc>
                <w:tcPr>
                  <w:tcW w:w="904" w:type="pct"/>
                  <w:tcBorders>
                    <w:left w:val="single" w:color="auto" w:sz="4" w:space="0"/>
                  </w:tcBorders>
                  <w:vAlign w:val="center"/>
                </w:tcPr>
                <w:p w14:paraId="4DEDD2C0">
                  <w:pPr>
                    <w:pStyle w:val="48"/>
                    <w:spacing w:before="1" w:line="278" w:lineRule="auto"/>
                    <w:ind w:left="110" w:right="76"/>
                    <w:jc w:val="center"/>
                    <w:rPr>
                      <w:rFonts w:hAnsiTheme="minorEastAsia" w:eastAsiaTheme="minorEastAsia"/>
                      <w:spacing w:val="-3"/>
                      <w:sz w:val="21"/>
                      <w:szCs w:val="21"/>
                    </w:rPr>
                  </w:pPr>
                  <w:r>
                    <w:rPr>
                      <w:rFonts w:hint="eastAsia" w:hAnsiTheme="minorEastAsia" w:eastAsiaTheme="minorEastAsia"/>
                      <w:spacing w:val="-3"/>
                      <w:sz w:val="21"/>
                      <w:szCs w:val="21"/>
                    </w:rPr>
                    <w:t xml:space="preserve">夜间 </w:t>
                  </w:r>
                  <w:r>
                    <w:rPr>
                      <w:rFonts w:hAnsiTheme="minorEastAsia" w:eastAsiaTheme="minorEastAsia"/>
                      <w:spacing w:val="-3"/>
                      <w:sz w:val="21"/>
                      <w:szCs w:val="21"/>
                    </w:rPr>
                    <w:t>dB(A)</w:t>
                  </w:r>
                </w:p>
              </w:tc>
            </w:tr>
            <w:tr w14:paraId="1BAB4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80" w:type="pct"/>
                  <w:vAlign w:val="center"/>
                </w:tcPr>
                <w:p w14:paraId="18F373C8">
                  <w:pPr>
                    <w:pStyle w:val="48"/>
                    <w:spacing w:before="1" w:line="278" w:lineRule="auto"/>
                    <w:ind w:left="110" w:right="76"/>
                    <w:jc w:val="center"/>
                    <w:rPr>
                      <w:rFonts w:ascii="Times New Roman" w:cs="Times New Roman" w:hAnsiTheme="minorEastAsia" w:eastAsiaTheme="minorEastAsia"/>
                      <w:spacing w:val="-3"/>
                      <w:sz w:val="21"/>
                      <w:szCs w:val="21"/>
                    </w:rPr>
                  </w:pPr>
                  <w:r>
                    <w:rPr>
                      <w:rFonts w:hint="eastAsia" w:ascii="Times New Roman" w:cs="Times New Roman" w:hAnsiTheme="minorEastAsia" w:eastAsiaTheme="minorEastAsia"/>
                      <w:spacing w:val="-3"/>
                      <w:sz w:val="21"/>
                      <w:szCs w:val="21"/>
                    </w:rPr>
                    <w:t>厂界东 1#</w:t>
                  </w:r>
                </w:p>
              </w:tc>
              <w:tc>
                <w:tcPr>
                  <w:tcW w:w="904" w:type="pct"/>
                  <w:tcBorders>
                    <w:right w:val="single" w:color="auto" w:sz="4" w:space="0"/>
                  </w:tcBorders>
                  <w:vAlign w:val="center"/>
                </w:tcPr>
                <w:p w14:paraId="4EAD6E43">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54.3</w:t>
                  </w:r>
                </w:p>
              </w:tc>
              <w:tc>
                <w:tcPr>
                  <w:tcW w:w="904" w:type="pct"/>
                  <w:tcBorders>
                    <w:right w:val="single" w:color="auto" w:sz="4" w:space="0"/>
                  </w:tcBorders>
                  <w:vAlign w:val="center"/>
                </w:tcPr>
                <w:p w14:paraId="6E6BD96D">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43.6</w:t>
                  </w:r>
                </w:p>
              </w:tc>
              <w:tc>
                <w:tcPr>
                  <w:tcW w:w="904" w:type="pct"/>
                  <w:tcBorders>
                    <w:left w:val="single" w:color="auto" w:sz="4" w:space="0"/>
                    <w:right w:val="single" w:color="auto" w:sz="4" w:space="0"/>
                  </w:tcBorders>
                  <w:vAlign w:val="center"/>
                </w:tcPr>
                <w:p w14:paraId="3A8129AD">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53.9</w:t>
                  </w:r>
                </w:p>
              </w:tc>
              <w:tc>
                <w:tcPr>
                  <w:tcW w:w="904" w:type="pct"/>
                  <w:tcBorders>
                    <w:left w:val="single" w:color="auto" w:sz="4" w:space="0"/>
                  </w:tcBorders>
                  <w:vAlign w:val="center"/>
                </w:tcPr>
                <w:p w14:paraId="0828AE17">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42.6</w:t>
                  </w:r>
                </w:p>
              </w:tc>
            </w:tr>
            <w:tr w14:paraId="6A7D9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80" w:type="pct"/>
                  <w:vAlign w:val="center"/>
                </w:tcPr>
                <w:p w14:paraId="15A18691">
                  <w:pPr>
                    <w:pStyle w:val="48"/>
                    <w:spacing w:before="1" w:line="278" w:lineRule="auto"/>
                    <w:ind w:left="110" w:right="76"/>
                    <w:jc w:val="center"/>
                    <w:rPr>
                      <w:rFonts w:ascii="Times New Roman" w:cs="Times New Roman" w:hAnsiTheme="minorEastAsia" w:eastAsiaTheme="minorEastAsia"/>
                      <w:spacing w:val="-3"/>
                      <w:sz w:val="21"/>
                      <w:szCs w:val="21"/>
                    </w:rPr>
                  </w:pPr>
                  <w:r>
                    <w:rPr>
                      <w:rFonts w:hint="eastAsia" w:ascii="Times New Roman" w:cs="Times New Roman" w:hAnsiTheme="minorEastAsia" w:eastAsiaTheme="minorEastAsia"/>
                      <w:spacing w:val="-3"/>
                      <w:sz w:val="21"/>
                      <w:szCs w:val="21"/>
                    </w:rPr>
                    <w:t>厂界南 2#</w:t>
                  </w:r>
                </w:p>
              </w:tc>
              <w:tc>
                <w:tcPr>
                  <w:tcW w:w="904" w:type="pct"/>
                  <w:tcBorders>
                    <w:right w:val="single" w:color="auto" w:sz="4" w:space="0"/>
                  </w:tcBorders>
                  <w:vAlign w:val="center"/>
                </w:tcPr>
                <w:p w14:paraId="70B41C86">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52.6</w:t>
                  </w:r>
                </w:p>
              </w:tc>
              <w:tc>
                <w:tcPr>
                  <w:tcW w:w="904" w:type="pct"/>
                  <w:tcBorders>
                    <w:right w:val="single" w:color="auto" w:sz="4" w:space="0"/>
                  </w:tcBorders>
                  <w:vAlign w:val="center"/>
                </w:tcPr>
                <w:p w14:paraId="48B73531">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42.6</w:t>
                  </w:r>
                </w:p>
              </w:tc>
              <w:tc>
                <w:tcPr>
                  <w:tcW w:w="904" w:type="pct"/>
                  <w:tcBorders>
                    <w:left w:val="single" w:color="auto" w:sz="4" w:space="0"/>
                    <w:right w:val="single" w:color="auto" w:sz="4" w:space="0"/>
                  </w:tcBorders>
                  <w:vAlign w:val="center"/>
                </w:tcPr>
                <w:p w14:paraId="37808406">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51.7</w:t>
                  </w:r>
                </w:p>
              </w:tc>
              <w:tc>
                <w:tcPr>
                  <w:tcW w:w="904" w:type="pct"/>
                  <w:tcBorders>
                    <w:left w:val="single" w:color="auto" w:sz="4" w:space="0"/>
                  </w:tcBorders>
                  <w:vAlign w:val="center"/>
                </w:tcPr>
                <w:p w14:paraId="5855B13F">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44.2</w:t>
                  </w:r>
                </w:p>
              </w:tc>
            </w:tr>
            <w:tr w14:paraId="050DC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80" w:type="pct"/>
                  <w:vAlign w:val="center"/>
                </w:tcPr>
                <w:p w14:paraId="6F9447D8">
                  <w:pPr>
                    <w:pStyle w:val="48"/>
                    <w:spacing w:before="1" w:line="278" w:lineRule="auto"/>
                    <w:ind w:left="110" w:right="76"/>
                    <w:jc w:val="center"/>
                    <w:rPr>
                      <w:rFonts w:ascii="Times New Roman" w:cs="Times New Roman" w:hAnsiTheme="minorEastAsia" w:eastAsiaTheme="minorEastAsia"/>
                      <w:spacing w:val="-3"/>
                      <w:sz w:val="21"/>
                      <w:szCs w:val="21"/>
                    </w:rPr>
                  </w:pPr>
                  <w:r>
                    <w:rPr>
                      <w:rFonts w:hint="eastAsia" w:ascii="Times New Roman" w:cs="Times New Roman" w:hAnsiTheme="minorEastAsia" w:eastAsiaTheme="minorEastAsia"/>
                      <w:spacing w:val="-3"/>
                      <w:sz w:val="21"/>
                      <w:szCs w:val="21"/>
                    </w:rPr>
                    <w:t>厂界西 3#</w:t>
                  </w:r>
                </w:p>
              </w:tc>
              <w:tc>
                <w:tcPr>
                  <w:tcW w:w="904" w:type="pct"/>
                  <w:tcBorders>
                    <w:right w:val="single" w:color="auto" w:sz="4" w:space="0"/>
                  </w:tcBorders>
                  <w:vAlign w:val="center"/>
                </w:tcPr>
                <w:p w14:paraId="26951033">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53.8</w:t>
                  </w:r>
                </w:p>
              </w:tc>
              <w:tc>
                <w:tcPr>
                  <w:tcW w:w="904" w:type="pct"/>
                  <w:tcBorders>
                    <w:right w:val="single" w:color="auto" w:sz="4" w:space="0"/>
                  </w:tcBorders>
                  <w:vAlign w:val="center"/>
                </w:tcPr>
                <w:p w14:paraId="3F9B2934">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43.2</w:t>
                  </w:r>
                </w:p>
              </w:tc>
              <w:tc>
                <w:tcPr>
                  <w:tcW w:w="904" w:type="pct"/>
                  <w:tcBorders>
                    <w:left w:val="single" w:color="auto" w:sz="4" w:space="0"/>
                    <w:right w:val="single" w:color="auto" w:sz="4" w:space="0"/>
                  </w:tcBorders>
                  <w:vAlign w:val="center"/>
                </w:tcPr>
                <w:p w14:paraId="3E887DF7">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52.7</w:t>
                  </w:r>
                </w:p>
              </w:tc>
              <w:tc>
                <w:tcPr>
                  <w:tcW w:w="904" w:type="pct"/>
                  <w:tcBorders>
                    <w:left w:val="single" w:color="auto" w:sz="4" w:space="0"/>
                  </w:tcBorders>
                  <w:vAlign w:val="center"/>
                </w:tcPr>
                <w:p w14:paraId="155550EA">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43.7</w:t>
                  </w:r>
                </w:p>
              </w:tc>
            </w:tr>
            <w:tr w14:paraId="12C1D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80" w:type="pct"/>
                  <w:vAlign w:val="center"/>
                </w:tcPr>
                <w:p w14:paraId="7DC5D46A">
                  <w:pPr>
                    <w:pStyle w:val="48"/>
                    <w:spacing w:before="1" w:line="278" w:lineRule="auto"/>
                    <w:ind w:left="110" w:right="76"/>
                    <w:jc w:val="center"/>
                    <w:rPr>
                      <w:rFonts w:ascii="Times New Roman" w:cs="Times New Roman" w:hAnsiTheme="minorEastAsia" w:eastAsiaTheme="minorEastAsia"/>
                      <w:spacing w:val="-3"/>
                      <w:sz w:val="21"/>
                      <w:szCs w:val="21"/>
                    </w:rPr>
                  </w:pPr>
                  <w:r>
                    <w:rPr>
                      <w:rFonts w:hint="eastAsia" w:ascii="Times New Roman" w:cs="Times New Roman" w:hAnsiTheme="minorEastAsia" w:eastAsiaTheme="minorEastAsia"/>
                      <w:spacing w:val="-3"/>
                      <w:sz w:val="21"/>
                      <w:szCs w:val="21"/>
                    </w:rPr>
                    <w:t>厂界北 4#</w:t>
                  </w:r>
                </w:p>
              </w:tc>
              <w:tc>
                <w:tcPr>
                  <w:tcW w:w="904" w:type="pct"/>
                  <w:tcBorders>
                    <w:right w:val="single" w:color="auto" w:sz="4" w:space="0"/>
                  </w:tcBorders>
                  <w:vAlign w:val="center"/>
                </w:tcPr>
                <w:p w14:paraId="2972E86F">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54.2</w:t>
                  </w:r>
                </w:p>
              </w:tc>
              <w:tc>
                <w:tcPr>
                  <w:tcW w:w="904" w:type="pct"/>
                  <w:tcBorders>
                    <w:right w:val="single" w:color="auto" w:sz="4" w:space="0"/>
                  </w:tcBorders>
                  <w:vAlign w:val="center"/>
                </w:tcPr>
                <w:p w14:paraId="384BC2F7">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41.6</w:t>
                  </w:r>
                </w:p>
              </w:tc>
              <w:tc>
                <w:tcPr>
                  <w:tcW w:w="904" w:type="pct"/>
                  <w:tcBorders>
                    <w:left w:val="single" w:color="auto" w:sz="4" w:space="0"/>
                    <w:right w:val="single" w:color="auto" w:sz="4" w:space="0"/>
                  </w:tcBorders>
                  <w:vAlign w:val="center"/>
                </w:tcPr>
                <w:p w14:paraId="4D835300">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52.4</w:t>
                  </w:r>
                </w:p>
              </w:tc>
              <w:tc>
                <w:tcPr>
                  <w:tcW w:w="904" w:type="pct"/>
                  <w:tcBorders>
                    <w:left w:val="single" w:color="auto" w:sz="4" w:space="0"/>
                  </w:tcBorders>
                  <w:vAlign w:val="center"/>
                </w:tcPr>
                <w:p w14:paraId="4213F59A">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43.2</w:t>
                  </w:r>
                </w:p>
              </w:tc>
            </w:tr>
            <w:tr w14:paraId="51274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80" w:type="pct"/>
                  <w:vAlign w:val="center"/>
                </w:tcPr>
                <w:p w14:paraId="324EE516">
                  <w:pPr>
                    <w:pStyle w:val="48"/>
                    <w:spacing w:before="1" w:line="278" w:lineRule="auto"/>
                    <w:ind w:left="110" w:right="76"/>
                    <w:jc w:val="center"/>
                    <w:rPr>
                      <w:rFonts w:ascii="Times New Roman" w:cs="Times New Roman" w:hAnsiTheme="minorEastAsia" w:eastAsiaTheme="minorEastAsia"/>
                      <w:spacing w:val="-3"/>
                      <w:sz w:val="21"/>
                      <w:szCs w:val="21"/>
                      <w:lang w:val="en-US"/>
                    </w:rPr>
                  </w:pPr>
                  <w:r>
                    <w:rPr>
                      <w:rFonts w:hint="eastAsia" w:ascii="Times New Roman" w:cs="Times New Roman" w:hAnsiTheme="minorEastAsia" w:eastAsiaTheme="minorEastAsia"/>
                      <w:spacing w:val="-3"/>
                      <w:sz w:val="21"/>
                      <w:szCs w:val="21"/>
                      <w:lang w:val="en-US"/>
                    </w:rPr>
                    <w:t>曹庄新村保障房小区5#</w:t>
                  </w:r>
                </w:p>
              </w:tc>
              <w:tc>
                <w:tcPr>
                  <w:tcW w:w="904" w:type="pct"/>
                  <w:tcBorders>
                    <w:right w:val="single" w:color="auto" w:sz="4" w:space="0"/>
                  </w:tcBorders>
                  <w:vAlign w:val="center"/>
                </w:tcPr>
                <w:p w14:paraId="17B73963">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50.4</w:t>
                  </w:r>
                </w:p>
              </w:tc>
              <w:tc>
                <w:tcPr>
                  <w:tcW w:w="904" w:type="pct"/>
                  <w:tcBorders>
                    <w:right w:val="single" w:color="auto" w:sz="4" w:space="0"/>
                  </w:tcBorders>
                  <w:vAlign w:val="center"/>
                </w:tcPr>
                <w:p w14:paraId="6B214DE0">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41.1</w:t>
                  </w:r>
                </w:p>
              </w:tc>
              <w:tc>
                <w:tcPr>
                  <w:tcW w:w="904" w:type="pct"/>
                  <w:tcBorders>
                    <w:left w:val="single" w:color="auto" w:sz="4" w:space="0"/>
                    <w:right w:val="single" w:color="auto" w:sz="4" w:space="0"/>
                  </w:tcBorders>
                  <w:vAlign w:val="center"/>
                </w:tcPr>
                <w:p w14:paraId="77B56C14">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51.3</w:t>
                  </w:r>
                </w:p>
              </w:tc>
              <w:tc>
                <w:tcPr>
                  <w:tcW w:w="904" w:type="pct"/>
                  <w:tcBorders>
                    <w:left w:val="single" w:color="auto" w:sz="4" w:space="0"/>
                  </w:tcBorders>
                  <w:vAlign w:val="center"/>
                </w:tcPr>
                <w:p w14:paraId="06003614">
                  <w:pPr>
                    <w:pStyle w:val="48"/>
                    <w:spacing w:before="1" w:line="278" w:lineRule="auto"/>
                    <w:ind w:left="110" w:right="76"/>
                    <w:jc w:val="center"/>
                    <w:rPr>
                      <w:rFonts w:hAnsiTheme="minorEastAsia" w:eastAsiaTheme="minorEastAsia"/>
                      <w:spacing w:val="-3"/>
                      <w:sz w:val="21"/>
                      <w:szCs w:val="21"/>
                      <w:lang w:val="en-US"/>
                    </w:rPr>
                  </w:pPr>
                  <w:r>
                    <w:rPr>
                      <w:rFonts w:hint="eastAsia" w:hAnsiTheme="minorEastAsia" w:eastAsiaTheme="minorEastAsia"/>
                      <w:spacing w:val="-3"/>
                      <w:sz w:val="21"/>
                      <w:szCs w:val="21"/>
                      <w:lang w:val="en-US"/>
                    </w:rPr>
                    <w:t>40.7</w:t>
                  </w:r>
                </w:p>
              </w:tc>
            </w:tr>
            <w:tr w14:paraId="2F81E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1380" w:type="pct"/>
                  <w:vAlign w:val="center"/>
                </w:tcPr>
                <w:p w14:paraId="6AA7EDD5">
                  <w:pPr>
                    <w:pStyle w:val="48"/>
                    <w:spacing w:before="1" w:line="278" w:lineRule="auto"/>
                    <w:ind w:left="110" w:right="76"/>
                    <w:jc w:val="center"/>
                    <w:rPr>
                      <w:rFonts w:ascii="Times New Roman" w:cs="Times New Roman" w:hAnsiTheme="minorEastAsia" w:eastAsiaTheme="minorEastAsia"/>
                      <w:spacing w:val="-3"/>
                      <w:sz w:val="21"/>
                      <w:szCs w:val="21"/>
                    </w:rPr>
                  </w:pPr>
                  <w:r>
                    <w:rPr>
                      <w:rFonts w:hint="eastAsia" w:ascii="Times New Roman" w:cs="Times New Roman" w:hAnsiTheme="minorEastAsia" w:eastAsiaTheme="minorEastAsia"/>
                      <w:spacing w:val="-3"/>
                      <w:sz w:val="21"/>
                      <w:szCs w:val="21"/>
                    </w:rPr>
                    <w:t>备注</w:t>
                  </w:r>
                </w:p>
              </w:tc>
              <w:tc>
                <w:tcPr>
                  <w:tcW w:w="3619" w:type="pct"/>
                  <w:gridSpan w:val="4"/>
                  <w:vAlign w:val="center"/>
                </w:tcPr>
                <w:p w14:paraId="475C003C">
                  <w:pPr>
                    <w:pStyle w:val="48"/>
                    <w:ind w:left="91" w:right="82"/>
                    <w:rPr>
                      <w:sz w:val="21"/>
                      <w:szCs w:val="21"/>
                    </w:rPr>
                  </w:pPr>
                </w:p>
              </w:tc>
            </w:tr>
          </w:tbl>
          <w:p w14:paraId="24AD2935">
            <w:pPr>
              <w:spacing w:line="500" w:lineRule="exact"/>
              <w:ind w:firstLine="480" w:firstLineChars="200"/>
              <w:rPr>
                <w:color w:val="000000" w:themeColor="text1"/>
                <w:sz w:val="24"/>
                <w14:textFill>
                  <w14:solidFill>
                    <w14:schemeClr w14:val="tx1"/>
                  </w14:solidFill>
                </w14:textFill>
              </w:rPr>
            </w:pPr>
            <w:r>
              <w:rPr>
                <w:rFonts w:hint="eastAsia"/>
                <w:sz w:val="24"/>
              </w:rPr>
              <w:t>根据监测结果表明</w:t>
            </w:r>
            <w:r>
              <w:rPr>
                <w:sz w:val="24"/>
              </w:rPr>
              <w:t>区域声环境</w:t>
            </w:r>
            <w:r>
              <w:rPr>
                <w:rFonts w:hint="eastAsia"/>
                <w:sz w:val="24"/>
                <w:lang w:val="en-US" w:eastAsia="zh-CN"/>
              </w:rPr>
              <w:t>符合</w:t>
            </w:r>
            <w:r>
              <w:rPr>
                <w:sz w:val="24"/>
              </w:rPr>
              <w:t>《声环境质量标准》（GB3096-2008）中</w:t>
            </w:r>
            <w:r>
              <w:rPr>
                <w:rFonts w:hint="eastAsia"/>
                <w:sz w:val="24"/>
              </w:rPr>
              <w:t>2</w:t>
            </w:r>
            <w:r>
              <w:rPr>
                <w:sz w:val="24"/>
              </w:rPr>
              <w:t>类</w:t>
            </w:r>
            <w:r>
              <w:rPr>
                <w:rFonts w:hint="eastAsia"/>
                <w:sz w:val="24"/>
              </w:rPr>
              <w:t>、4a类</w:t>
            </w:r>
            <w:r>
              <w:rPr>
                <w:sz w:val="24"/>
              </w:rPr>
              <w:t>标准。</w:t>
            </w:r>
          </w:p>
        </w:tc>
      </w:tr>
      <w:tr w14:paraId="35746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1" w:type="dxa"/>
            <w:gridSpan w:val="2"/>
            <w:vAlign w:val="center"/>
          </w:tcPr>
          <w:p w14:paraId="3CFB33F1">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环境保护目标</w:t>
            </w:r>
          </w:p>
        </w:tc>
        <w:tc>
          <w:tcPr>
            <w:tcW w:w="8868" w:type="dxa"/>
            <w:vAlign w:val="center"/>
          </w:tcPr>
          <w:p w14:paraId="0C047660">
            <w:pPr>
              <w:spacing w:line="500" w:lineRule="atLeas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w:t>
            </w:r>
            <w:r>
              <w:rPr>
                <w:color w:val="000000" w:themeColor="text1"/>
                <w:sz w:val="24"/>
                <w14:textFill>
                  <w14:solidFill>
                    <w14:schemeClr w14:val="tx1"/>
                  </w14:solidFill>
                </w14:textFill>
              </w:rPr>
              <w:t>蚌埠市</w:t>
            </w:r>
            <w:r>
              <w:rPr>
                <w:rFonts w:hint="eastAsia"/>
                <w:color w:val="000000" w:themeColor="text1"/>
                <w:sz w:val="24"/>
                <w14:textFill>
                  <w14:solidFill>
                    <w14:schemeClr w14:val="tx1"/>
                  </w14:solidFill>
                </w14:textFill>
              </w:rPr>
              <w:t>固镇</w:t>
            </w:r>
            <w:r>
              <w:rPr>
                <w:color w:val="000000" w:themeColor="text1"/>
                <w:sz w:val="24"/>
                <w14:textFill>
                  <w14:solidFill>
                    <w14:schemeClr w14:val="tx1"/>
                  </w14:solidFill>
                </w14:textFill>
              </w:rPr>
              <w:t>县</w:t>
            </w:r>
            <w:r>
              <w:rPr>
                <w:rFonts w:hint="eastAsia"/>
                <w:color w:val="000000" w:themeColor="text1"/>
                <w:sz w:val="24"/>
                <w14:textFill>
                  <w14:solidFill>
                    <w14:schemeClr w14:val="tx1"/>
                  </w14:solidFill>
                </w14:textFill>
              </w:rPr>
              <w:t>101省道固镇城北现有加油站内</w:t>
            </w:r>
            <w:r>
              <w:rPr>
                <w:color w:val="000000" w:themeColor="text1"/>
                <w:sz w:val="24"/>
                <w14:textFill>
                  <w14:solidFill>
                    <w14:schemeClr w14:val="tx1"/>
                  </w14:solidFill>
                </w14:textFill>
              </w:rPr>
              <w:t>。根据现场踏勘，项目评价范围内无自然保护区、风景名胜区、饮用水源保护区和文物古迹等需要特殊保护的环境敏感对象。保护目标为区域大气、水、声环境质量及敏感目标，具体环境保护目标如下：</w:t>
            </w:r>
          </w:p>
          <w:p w14:paraId="223E01D7">
            <w:pPr>
              <w:spacing w:line="500" w:lineRule="atLeast"/>
              <w:ind w:firstLine="480" w:firstLineChars="200"/>
              <w:rPr>
                <w:color w:val="000000" w:themeColor="text1"/>
                <w:kern w:val="24"/>
                <w:sz w:val="24"/>
                <w14:textFill>
                  <w14:solidFill>
                    <w14:schemeClr w14:val="tx1"/>
                  </w14:solidFill>
                </w14:textFill>
              </w:rPr>
            </w:pPr>
            <w:r>
              <w:rPr>
                <w:color w:val="000000" w:themeColor="text1"/>
                <w:sz w:val="24"/>
                <w14:textFill>
                  <w14:solidFill>
                    <w14:schemeClr w14:val="tx1"/>
                  </w14:solidFill>
                </w14:textFill>
              </w:rPr>
              <w:t>坐标系以</w:t>
            </w:r>
            <w:r>
              <w:rPr>
                <w:rFonts w:hint="eastAsia"/>
                <w:color w:val="000000" w:themeColor="text1"/>
                <w:sz w:val="24"/>
                <w14:textFill>
                  <w14:solidFill>
                    <w14:schemeClr w14:val="tx1"/>
                  </w14:solidFill>
                </w14:textFill>
              </w:rPr>
              <w:t>站区</w:t>
            </w:r>
            <w:r>
              <w:rPr>
                <w:color w:val="000000" w:themeColor="text1"/>
                <w:sz w:val="24"/>
                <w14:textFill>
                  <w14:solidFill>
                    <w14:schemeClr w14:val="tx1"/>
                  </w14:solidFill>
                </w14:textFill>
              </w:rPr>
              <w:t>的西南角为中心原点，正东向为x轴，正北向为y轴。</w:t>
            </w:r>
          </w:p>
          <w:p w14:paraId="3FD95B17">
            <w:pPr>
              <w:spacing w:line="500" w:lineRule="exact"/>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表3-</w:t>
            </w:r>
            <w:r>
              <w:rPr>
                <w:rFonts w:hint="eastAsia"/>
                <w:b/>
                <w:color w:val="000000" w:themeColor="text1"/>
                <w:sz w:val="24"/>
                <w14:textFill>
                  <w14:solidFill>
                    <w14:schemeClr w14:val="tx1"/>
                  </w14:solidFill>
                </w14:textFill>
              </w:rPr>
              <w:t>7</w:t>
            </w:r>
            <w:r>
              <w:rPr>
                <w:b/>
                <w:color w:val="000000" w:themeColor="text1"/>
                <w:sz w:val="24"/>
                <w14:textFill>
                  <w14:solidFill>
                    <w14:schemeClr w14:val="tx1"/>
                  </w14:solidFill>
                </w14:textFill>
              </w:rPr>
              <w:t xml:space="preserve">  主要环境保护目标</w:t>
            </w:r>
          </w:p>
          <w:tbl>
            <w:tblPr>
              <w:tblStyle w:val="27"/>
              <w:tblW w:w="8705" w:type="dxa"/>
              <w:tblInd w:w="0" w:type="dxa"/>
              <w:tblLayout w:type="fixed"/>
              <w:tblCellMar>
                <w:top w:w="0" w:type="dxa"/>
                <w:left w:w="108" w:type="dxa"/>
                <w:bottom w:w="0" w:type="dxa"/>
                <w:right w:w="108" w:type="dxa"/>
              </w:tblCellMar>
            </w:tblPr>
            <w:tblGrid>
              <w:gridCol w:w="632"/>
              <w:gridCol w:w="730"/>
              <w:gridCol w:w="566"/>
              <w:gridCol w:w="1539"/>
              <w:gridCol w:w="1539"/>
              <w:gridCol w:w="1938"/>
              <w:gridCol w:w="778"/>
              <w:gridCol w:w="983"/>
            </w:tblGrid>
            <w:tr w14:paraId="328886DB">
              <w:tblPrEx>
                <w:tblCellMar>
                  <w:top w:w="0" w:type="dxa"/>
                  <w:left w:w="108" w:type="dxa"/>
                  <w:bottom w:w="0" w:type="dxa"/>
                  <w:right w:w="108" w:type="dxa"/>
                </w:tblCellMar>
              </w:tblPrEx>
              <w:trPr>
                <w:trHeight w:val="20" w:hRule="atLeast"/>
              </w:trPr>
              <w:tc>
                <w:tcPr>
                  <w:tcW w:w="63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0884DD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p w14:paraId="581FB5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要素</w:t>
                  </w:r>
                </w:p>
              </w:tc>
              <w:tc>
                <w:tcPr>
                  <w:tcW w:w="1296" w:type="dxa"/>
                  <w:gridSpan w:val="2"/>
                  <w:tcBorders>
                    <w:top w:val="single" w:color="auto" w:sz="4" w:space="0"/>
                    <w:left w:val="nil"/>
                    <w:bottom w:val="single" w:color="auto" w:sz="4" w:space="0"/>
                    <w:right w:val="single" w:color="auto" w:sz="4" w:space="0"/>
                  </w:tcBorders>
                  <w:shd w:val="clear" w:color="auto" w:fill="auto"/>
                  <w:noWrap/>
                  <w:vAlign w:val="center"/>
                </w:tcPr>
                <w:p w14:paraId="5390709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坐标</w:t>
                  </w:r>
                </w:p>
              </w:tc>
              <w:tc>
                <w:tcPr>
                  <w:tcW w:w="153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73C4F7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保护对象</w:t>
                  </w:r>
                </w:p>
              </w:tc>
              <w:tc>
                <w:tcPr>
                  <w:tcW w:w="153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C220D7">
                  <w:pPr>
                    <w:ind w:left="-107" w:leftChars="-51" w:right="-97" w:rightChars="-46"/>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保护内容及规模</w:t>
                  </w:r>
                </w:p>
              </w:tc>
              <w:tc>
                <w:tcPr>
                  <w:tcW w:w="19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57294F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环境功能区</w:t>
                  </w:r>
                </w:p>
              </w:tc>
              <w:tc>
                <w:tcPr>
                  <w:tcW w:w="77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7C8F4A3">
                  <w:pPr>
                    <w:ind w:left="-107" w:leftChars="-51" w:right="-80" w:rightChars="-3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相对厂址位置</w:t>
                  </w:r>
                </w:p>
              </w:tc>
              <w:tc>
                <w:tcPr>
                  <w:tcW w:w="98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35DDA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相对厂界距离(m)</w:t>
                  </w:r>
                </w:p>
              </w:tc>
            </w:tr>
            <w:tr w14:paraId="3275C346">
              <w:tblPrEx>
                <w:tblCellMar>
                  <w:top w:w="0" w:type="dxa"/>
                  <w:left w:w="108" w:type="dxa"/>
                  <w:bottom w:w="0" w:type="dxa"/>
                  <w:right w:w="108" w:type="dxa"/>
                </w:tblCellMar>
              </w:tblPrEx>
              <w:trPr>
                <w:trHeight w:val="20"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14:paraId="3AAA5F78">
                  <w:pPr>
                    <w:jc w:val="center"/>
                    <w:rPr>
                      <w:color w:val="000000" w:themeColor="text1"/>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noWrap/>
                  <w:vAlign w:val="center"/>
                </w:tcPr>
                <w:p w14:paraId="351D454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X</w:t>
                  </w:r>
                </w:p>
              </w:tc>
              <w:tc>
                <w:tcPr>
                  <w:tcW w:w="566" w:type="dxa"/>
                  <w:tcBorders>
                    <w:top w:val="nil"/>
                    <w:left w:val="nil"/>
                    <w:bottom w:val="single" w:color="auto" w:sz="4" w:space="0"/>
                    <w:right w:val="single" w:color="auto" w:sz="4" w:space="0"/>
                  </w:tcBorders>
                  <w:shd w:val="clear" w:color="auto" w:fill="auto"/>
                  <w:noWrap/>
                  <w:vAlign w:val="center"/>
                </w:tcPr>
                <w:p w14:paraId="3EF68D1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Y</w:t>
                  </w:r>
                </w:p>
              </w:tc>
              <w:tc>
                <w:tcPr>
                  <w:tcW w:w="1539" w:type="dxa"/>
                  <w:vMerge w:val="continue"/>
                  <w:tcBorders>
                    <w:top w:val="single" w:color="auto" w:sz="4" w:space="0"/>
                    <w:left w:val="single" w:color="auto" w:sz="4" w:space="0"/>
                    <w:bottom w:val="single" w:color="auto" w:sz="4" w:space="0"/>
                    <w:right w:val="single" w:color="auto" w:sz="4" w:space="0"/>
                  </w:tcBorders>
                  <w:vAlign w:val="center"/>
                </w:tcPr>
                <w:p w14:paraId="13900B05">
                  <w:pPr>
                    <w:jc w:val="center"/>
                    <w:rPr>
                      <w:color w:val="000000" w:themeColor="text1"/>
                      <w:szCs w:val="21"/>
                      <w14:textFill>
                        <w14:solidFill>
                          <w14:schemeClr w14:val="tx1"/>
                        </w14:solidFill>
                      </w14:textFill>
                    </w:rPr>
                  </w:pPr>
                </w:p>
              </w:tc>
              <w:tc>
                <w:tcPr>
                  <w:tcW w:w="1539" w:type="dxa"/>
                  <w:vMerge w:val="continue"/>
                  <w:tcBorders>
                    <w:top w:val="single" w:color="auto" w:sz="4" w:space="0"/>
                    <w:left w:val="single" w:color="auto" w:sz="4" w:space="0"/>
                    <w:bottom w:val="single" w:color="auto" w:sz="4" w:space="0"/>
                    <w:right w:val="single" w:color="auto" w:sz="4" w:space="0"/>
                  </w:tcBorders>
                  <w:vAlign w:val="center"/>
                </w:tcPr>
                <w:p w14:paraId="180379DD">
                  <w:pPr>
                    <w:jc w:val="center"/>
                    <w:rPr>
                      <w:color w:val="000000" w:themeColor="text1"/>
                      <w:szCs w:val="21"/>
                      <w14:textFill>
                        <w14:solidFill>
                          <w14:schemeClr w14:val="tx1"/>
                        </w14:solidFill>
                      </w14:textFill>
                    </w:rPr>
                  </w:pPr>
                </w:p>
              </w:tc>
              <w:tc>
                <w:tcPr>
                  <w:tcW w:w="1938" w:type="dxa"/>
                  <w:vMerge w:val="continue"/>
                  <w:tcBorders>
                    <w:top w:val="single" w:color="auto" w:sz="4" w:space="0"/>
                    <w:left w:val="single" w:color="auto" w:sz="4" w:space="0"/>
                    <w:bottom w:val="single" w:color="auto" w:sz="4" w:space="0"/>
                    <w:right w:val="single" w:color="auto" w:sz="4" w:space="0"/>
                  </w:tcBorders>
                  <w:vAlign w:val="center"/>
                </w:tcPr>
                <w:p w14:paraId="5866CBDB">
                  <w:pPr>
                    <w:jc w:val="center"/>
                    <w:rPr>
                      <w:color w:val="000000" w:themeColor="text1"/>
                      <w:szCs w:val="21"/>
                      <w14:textFill>
                        <w14:solidFill>
                          <w14:schemeClr w14:val="tx1"/>
                        </w14:solidFill>
                      </w14:textFill>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14:paraId="7AA76FB7">
                  <w:pPr>
                    <w:jc w:val="center"/>
                    <w:rPr>
                      <w:color w:val="000000" w:themeColor="text1"/>
                      <w:szCs w:val="21"/>
                      <w14:textFill>
                        <w14:solidFill>
                          <w14:schemeClr w14:val="tx1"/>
                        </w14:solidFill>
                      </w14:textFill>
                    </w:rPr>
                  </w:pPr>
                </w:p>
              </w:tc>
              <w:tc>
                <w:tcPr>
                  <w:tcW w:w="983" w:type="dxa"/>
                  <w:vMerge w:val="continue"/>
                  <w:tcBorders>
                    <w:top w:val="single" w:color="auto" w:sz="4" w:space="0"/>
                    <w:left w:val="single" w:color="auto" w:sz="4" w:space="0"/>
                    <w:bottom w:val="single" w:color="auto" w:sz="4" w:space="0"/>
                    <w:right w:val="single" w:color="auto" w:sz="4" w:space="0"/>
                  </w:tcBorders>
                  <w:vAlign w:val="center"/>
                </w:tcPr>
                <w:p w14:paraId="0475B38C">
                  <w:pPr>
                    <w:jc w:val="center"/>
                    <w:rPr>
                      <w:color w:val="000000" w:themeColor="text1"/>
                      <w:szCs w:val="21"/>
                      <w14:textFill>
                        <w14:solidFill>
                          <w14:schemeClr w14:val="tx1"/>
                        </w14:solidFill>
                      </w14:textFill>
                    </w:rPr>
                  </w:pPr>
                </w:p>
              </w:tc>
            </w:tr>
            <w:tr w14:paraId="308E657B">
              <w:tblPrEx>
                <w:tblCellMar>
                  <w:top w:w="0" w:type="dxa"/>
                  <w:left w:w="108" w:type="dxa"/>
                  <w:bottom w:w="0" w:type="dxa"/>
                  <w:right w:w="108" w:type="dxa"/>
                </w:tblCellMar>
              </w:tblPrEx>
              <w:trPr>
                <w:trHeight w:val="212" w:hRule="atLeast"/>
              </w:trPr>
              <w:tc>
                <w:tcPr>
                  <w:tcW w:w="632" w:type="dxa"/>
                  <w:vMerge w:val="restart"/>
                  <w:tcBorders>
                    <w:top w:val="nil"/>
                    <w:left w:val="single" w:color="auto" w:sz="4" w:space="0"/>
                    <w:right w:val="single" w:color="auto" w:sz="4" w:space="0"/>
                  </w:tcBorders>
                  <w:shd w:val="clear" w:color="auto" w:fill="auto"/>
                  <w:noWrap/>
                  <w:vAlign w:val="center"/>
                </w:tcPr>
                <w:p w14:paraId="6AD11D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w:t>
                  </w:r>
                </w:p>
                <w:p w14:paraId="73735B0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tc>
              <w:tc>
                <w:tcPr>
                  <w:tcW w:w="7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793C1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-111.6</w:t>
                  </w:r>
                </w:p>
              </w:tc>
              <w:tc>
                <w:tcPr>
                  <w:tcW w:w="5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024E7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15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89E3F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北岸华府</w:t>
                  </w:r>
                </w:p>
              </w:tc>
              <w:tc>
                <w:tcPr>
                  <w:tcW w:w="15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FBF47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居民，5000人</w:t>
                  </w:r>
                </w:p>
              </w:tc>
              <w:tc>
                <w:tcPr>
                  <w:tcW w:w="1938" w:type="dxa"/>
                  <w:vMerge w:val="restart"/>
                  <w:tcBorders>
                    <w:top w:val="single" w:color="auto" w:sz="4" w:space="0"/>
                    <w:left w:val="single" w:color="auto" w:sz="4" w:space="0"/>
                    <w:right w:val="single" w:color="auto" w:sz="4" w:space="0"/>
                  </w:tcBorders>
                  <w:shd w:val="clear" w:color="auto" w:fill="auto"/>
                  <w:noWrap/>
                  <w:vAlign w:val="center"/>
                </w:tcPr>
                <w:p w14:paraId="54DE62B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《环境空气质量标准》（GB3095-2012）中二级标准</w:t>
                  </w:r>
                </w:p>
              </w:tc>
              <w:tc>
                <w:tcPr>
                  <w:tcW w:w="7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7E702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NW</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A2832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62</w:t>
                  </w:r>
                </w:p>
              </w:tc>
            </w:tr>
            <w:tr w14:paraId="64B46909">
              <w:tblPrEx>
                <w:tblCellMar>
                  <w:top w:w="0" w:type="dxa"/>
                  <w:left w:w="108" w:type="dxa"/>
                  <w:bottom w:w="0" w:type="dxa"/>
                  <w:right w:w="108" w:type="dxa"/>
                </w:tblCellMar>
              </w:tblPrEx>
              <w:trPr>
                <w:trHeight w:val="212" w:hRule="atLeast"/>
              </w:trPr>
              <w:tc>
                <w:tcPr>
                  <w:tcW w:w="632" w:type="dxa"/>
                  <w:vMerge w:val="continue"/>
                  <w:tcBorders>
                    <w:left w:val="single" w:color="auto" w:sz="4" w:space="0"/>
                    <w:right w:val="single" w:color="auto" w:sz="4" w:space="0"/>
                  </w:tcBorders>
                  <w:shd w:val="clear" w:color="auto" w:fill="auto"/>
                  <w:noWrap/>
                  <w:vAlign w:val="center"/>
                </w:tcPr>
                <w:p w14:paraId="61D7F254">
                  <w:pPr>
                    <w:jc w:val="center"/>
                  </w:pPr>
                </w:p>
              </w:tc>
              <w:tc>
                <w:tcPr>
                  <w:tcW w:w="7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7867C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5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31AF9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w:t>
                  </w:r>
                </w:p>
              </w:tc>
              <w:tc>
                <w:tcPr>
                  <w:tcW w:w="15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29B7C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曹庄新村保障房</w:t>
                  </w:r>
                </w:p>
              </w:tc>
              <w:tc>
                <w:tcPr>
                  <w:tcW w:w="15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7B2BA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居民，2500人</w:t>
                  </w:r>
                </w:p>
              </w:tc>
              <w:tc>
                <w:tcPr>
                  <w:tcW w:w="1938" w:type="dxa"/>
                  <w:vMerge w:val="continue"/>
                  <w:tcBorders>
                    <w:left w:val="single" w:color="auto" w:sz="4" w:space="0"/>
                    <w:right w:val="single" w:color="auto" w:sz="4" w:space="0"/>
                  </w:tcBorders>
                  <w:shd w:val="clear" w:color="auto" w:fill="auto"/>
                  <w:noWrap/>
                  <w:vAlign w:val="center"/>
                </w:tcPr>
                <w:p w14:paraId="0647470B">
                  <w:pPr>
                    <w:jc w:val="center"/>
                    <w:rPr>
                      <w:color w:val="000000" w:themeColor="text1"/>
                      <w:szCs w:val="21"/>
                      <w14:textFill>
                        <w14:solidFill>
                          <w14:schemeClr w14:val="tx1"/>
                        </w14:solidFill>
                      </w14:textFill>
                    </w:rPr>
                  </w:pPr>
                </w:p>
              </w:tc>
              <w:tc>
                <w:tcPr>
                  <w:tcW w:w="7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7D37A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CCE68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w:t>
                  </w:r>
                </w:p>
              </w:tc>
            </w:tr>
            <w:tr w14:paraId="4B0B01F2">
              <w:tblPrEx>
                <w:tblCellMar>
                  <w:top w:w="0" w:type="dxa"/>
                  <w:left w:w="108" w:type="dxa"/>
                  <w:bottom w:w="0" w:type="dxa"/>
                  <w:right w:w="108" w:type="dxa"/>
                </w:tblCellMar>
              </w:tblPrEx>
              <w:trPr>
                <w:trHeight w:val="212" w:hRule="atLeast"/>
              </w:trPr>
              <w:tc>
                <w:tcPr>
                  <w:tcW w:w="632" w:type="dxa"/>
                  <w:vMerge w:val="continue"/>
                  <w:tcBorders>
                    <w:left w:val="single" w:color="auto" w:sz="4" w:space="0"/>
                    <w:right w:val="single" w:color="auto" w:sz="4" w:space="0"/>
                  </w:tcBorders>
                  <w:shd w:val="clear" w:color="auto" w:fill="auto"/>
                  <w:noWrap/>
                  <w:vAlign w:val="center"/>
                </w:tcPr>
                <w:p w14:paraId="782E6D9C">
                  <w:pPr>
                    <w:jc w:val="center"/>
                    <w:rPr>
                      <w:color w:val="000000" w:themeColor="text1"/>
                      <w:szCs w:val="21"/>
                      <w14:textFill>
                        <w14:solidFill>
                          <w14:schemeClr w14:val="tx1"/>
                        </w14:solidFill>
                      </w14:textFill>
                    </w:rPr>
                  </w:pPr>
                </w:p>
              </w:tc>
              <w:tc>
                <w:tcPr>
                  <w:tcW w:w="7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2FF6B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-121</w:t>
                  </w:r>
                </w:p>
              </w:tc>
              <w:tc>
                <w:tcPr>
                  <w:tcW w:w="5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191D8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5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8F9E3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东风家园</w:t>
                  </w:r>
                </w:p>
              </w:tc>
              <w:tc>
                <w:tcPr>
                  <w:tcW w:w="15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B55E5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居民，8000人</w:t>
                  </w:r>
                </w:p>
              </w:tc>
              <w:tc>
                <w:tcPr>
                  <w:tcW w:w="1938" w:type="dxa"/>
                  <w:vMerge w:val="continue"/>
                  <w:tcBorders>
                    <w:left w:val="single" w:color="auto" w:sz="4" w:space="0"/>
                    <w:right w:val="single" w:color="auto" w:sz="4" w:space="0"/>
                  </w:tcBorders>
                  <w:shd w:val="clear" w:color="auto" w:fill="auto"/>
                  <w:noWrap/>
                  <w:vAlign w:val="center"/>
                </w:tcPr>
                <w:p w14:paraId="55F16947">
                  <w:pPr>
                    <w:jc w:val="center"/>
                    <w:rPr>
                      <w:color w:val="000000" w:themeColor="text1"/>
                      <w:szCs w:val="21"/>
                      <w14:textFill>
                        <w14:solidFill>
                          <w14:schemeClr w14:val="tx1"/>
                        </w14:solidFill>
                      </w14:textFill>
                    </w:rPr>
                  </w:pPr>
                </w:p>
              </w:tc>
              <w:tc>
                <w:tcPr>
                  <w:tcW w:w="7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60A6D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ECEB4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121</w:t>
                  </w:r>
                </w:p>
              </w:tc>
            </w:tr>
            <w:tr w14:paraId="413E9BB1">
              <w:tblPrEx>
                <w:tblCellMar>
                  <w:top w:w="0" w:type="dxa"/>
                  <w:left w:w="108" w:type="dxa"/>
                  <w:bottom w:w="0" w:type="dxa"/>
                  <w:right w:w="108" w:type="dxa"/>
                </w:tblCellMar>
              </w:tblPrEx>
              <w:trPr>
                <w:trHeight w:val="212" w:hRule="atLeast"/>
              </w:trPr>
              <w:tc>
                <w:tcPr>
                  <w:tcW w:w="632" w:type="dxa"/>
                  <w:vMerge w:val="continue"/>
                  <w:tcBorders>
                    <w:left w:val="single" w:color="auto" w:sz="4" w:space="0"/>
                    <w:right w:val="single" w:color="auto" w:sz="4" w:space="0"/>
                  </w:tcBorders>
                  <w:shd w:val="clear" w:color="auto" w:fill="auto"/>
                  <w:noWrap/>
                  <w:vAlign w:val="center"/>
                </w:tcPr>
                <w:p w14:paraId="00568433">
                  <w:pPr>
                    <w:jc w:val="center"/>
                    <w:rPr>
                      <w:color w:val="000000" w:themeColor="text1"/>
                      <w:szCs w:val="21"/>
                      <w14:textFill>
                        <w14:solidFill>
                          <w14:schemeClr w14:val="tx1"/>
                        </w14:solidFill>
                      </w14:textFill>
                    </w:rPr>
                  </w:pPr>
                </w:p>
              </w:tc>
              <w:tc>
                <w:tcPr>
                  <w:tcW w:w="7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1A3F7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5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0289A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320</w:t>
                  </w:r>
                </w:p>
              </w:tc>
              <w:tc>
                <w:tcPr>
                  <w:tcW w:w="15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66F14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名邦学府</w:t>
                  </w:r>
                </w:p>
              </w:tc>
              <w:tc>
                <w:tcPr>
                  <w:tcW w:w="15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435CF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居民，6500人</w:t>
                  </w:r>
                </w:p>
              </w:tc>
              <w:tc>
                <w:tcPr>
                  <w:tcW w:w="1938" w:type="dxa"/>
                  <w:vMerge w:val="continue"/>
                  <w:tcBorders>
                    <w:left w:val="single" w:color="auto" w:sz="4" w:space="0"/>
                    <w:right w:val="single" w:color="auto" w:sz="4" w:space="0"/>
                  </w:tcBorders>
                  <w:shd w:val="clear" w:color="auto" w:fill="auto"/>
                  <w:noWrap/>
                  <w:vAlign w:val="center"/>
                </w:tcPr>
                <w:p w14:paraId="5B521472">
                  <w:pPr>
                    <w:jc w:val="center"/>
                    <w:rPr>
                      <w:color w:val="000000" w:themeColor="text1"/>
                      <w:szCs w:val="21"/>
                      <w14:textFill>
                        <w14:solidFill>
                          <w14:schemeClr w14:val="tx1"/>
                        </w14:solidFill>
                      </w14:textFill>
                    </w:rPr>
                  </w:pPr>
                </w:p>
              </w:tc>
              <w:tc>
                <w:tcPr>
                  <w:tcW w:w="7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E7336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ABD60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320</w:t>
                  </w:r>
                </w:p>
              </w:tc>
            </w:tr>
            <w:tr w14:paraId="276C2162">
              <w:tblPrEx>
                <w:tblCellMar>
                  <w:top w:w="0" w:type="dxa"/>
                  <w:left w:w="108" w:type="dxa"/>
                  <w:bottom w:w="0" w:type="dxa"/>
                  <w:right w:w="108" w:type="dxa"/>
                </w:tblCellMar>
              </w:tblPrEx>
              <w:trPr>
                <w:trHeight w:val="212" w:hRule="atLeast"/>
              </w:trPr>
              <w:tc>
                <w:tcPr>
                  <w:tcW w:w="632" w:type="dxa"/>
                  <w:vMerge w:val="continue"/>
                  <w:tcBorders>
                    <w:left w:val="single" w:color="auto" w:sz="4" w:space="0"/>
                    <w:right w:val="single" w:color="auto" w:sz="4" w:space="0"/>
                  </w:tcBorders>
                  <w:shd w:val="clear" w:color="auto" w:fill="auto"/>
                  <w:noWrap/>
                  <w:vAlign w:val="center"/>
                </w:tcPr>
                <w:p w14:paraId="19E7A447">
                  <w:pPr>
                    <w:jc w:val="center"/>
                    <w:rPr>
                      <w:color w:val="000000" w:themeColor="text1"/>
                      <w:szCs w:val="21"/>
                      <w14:textFill>
                        <w14:solidFill>
                          <w14:schemeClr w14:val="tx1"/>
                        </w14:solidFill>
                      </w14:textFill>
                    </w:rPr>
                  </w:pPr>
                </w:p>
              </w:tc>
              <w:tc>
                <w:tcPr>
                  <w:tcW w:w="7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95FC8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5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04A9F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411</w:t>
                  </w:r>
                </w:p>
              </w:tc>
              <w:tc>
                <w:tcPr>
                  <w:tcW w:w="15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FA59E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固镇县人民医院</w:t>
                  </w:r>
                </w:p>
              </w:tc>
              <w:tc>
                <w:tcPr>
                  <w:tcW w:w="15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57CA9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医护及病人，500人</w:t>
                  </w:r>
                </w:p>
              </w:tc>
              <w:tc>
                <w:tcPr>
                  <w:tcW w:w="1938" w:type="dxa"/>
                  <w:vMerge w:val="continue"/>
                  <w:tcBorders>
                    <w:left w:val="single" w:color="auto" w:sz="4" w:space="0"/>
                    <w:right w:val="single" w:color="auto" w:sz="4" w:space="0"/>
                  </w:tcBorders>
                  <w:shd w:val="clear" w:color="auto" w:fill="auto"/>
                  <w:noWrap/>
                  <w:vAlign w:val="center"/>
                </w:tcPr>
                <w:p w14:paraId="2A03A3E7">
                  <w:pPr>
                    <w:jc w:val="center"/>
                    <w:rPr>
                      <w:color w:val="000000" w:themeColor="text1"/>
                      <w:szCs w:val="21"/>
                      <w14:textFill>
                        <w14:solidFill>
                          <w14:schemeClr w14:val="tx1"/>
                        </w14:solidFill>
                      </w14:textFill>
                    </w:rPr>
                  </w:pPr>
                </w:p>
              </w:tc>
              <w:tc>
                <w:tcPr>
                  <w:tcW w:w="7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B38C5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NW</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1CB58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411</w:t>
                  </w:r>
                </w:p>
              </w:tc>
            </w:tr>
            <w:tr w14:paraId="5926E90A">
              <w:tblPrEx>
                <w:tblCellMar>
                  <w:top w:w="0" w:type="dxa"/>
                  <w:left w:w="108" w:type="dxa"/>
                  <w:bottom w:w="0" w:type="dxa"/>
                  <w:right w:w="108" w:type="dxa"/>
                </w:tblCellMar>
              </w:tblPrEx>
              <w:trPr>
                <w:trHeight w:val="212" w:hRule="atLeast"/>
              </w:trPr>
              <w:tc>
                <w:tcPr>
                  <w:tcW w:w="632" w:type="dxa"/>
                  <w:vMerge w:val="continue"/>
                  <w:tcBorders>
                    <w:left w:val="single" w:color="auto" w:sz="4" w:space="0"/>
                    <w:right w:val="single" w:color="auto" w:sz="4" w:space="0"/>
                  </w:tcBorders>
                  <w:shd w:val="clear" w:color="auto" w:fill="auto"/>
                  <w:noWrap/>
                  <w:vAlign w:val="center"/>
                </w:tcPr>
                <w:p w14:paraId="7A496851">
                  <w:pPr>
                    <w:jc w:val="center"/>
                    <w:rPr>
                      <w:color w:val="000000" w:themeColor="text1"/>
                      <w:szCs w:val="21"/>
                      <w14:textFill>
                        <w14:solidFill>
                          <w14:schemeClr w14:val="tx1"/>
                        </w14:solidFill>
                      </w14:textFill>
                    </w:rPr>
                  </w:pPr>
                </w:p>
              </w:tc>
              <w:tc>
                <w:tcPr>
                  <w:tcW w:w="7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33E2B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5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8D408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15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F2325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中通御景嘉园</w:t>
                  </w:r>
                </w:p>
              </w:tc>
              <w:tc>
                <w:tcPr>
                  <w:tcW w:w="15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83359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居民，5000人</w:t>
                  </w:r>
                </w:p>
              </w:tc>
              <w:tc>
                <w:tcPr>
                  <w:tcW w:w="1938" w:type="dxa"/>
                  <w:vMerge w:val="continue"/>
                  <w:tcBorders>
                    <w:left w:val="single" w:color="auto" w:sz="4" w:space="0"/>
                    <w:bottom w:val="single" w:color="auto" w:sz="4" w:space="0"/>
                    <w:right w:val="single" w:color="auto" w:sz="4" w:space="0"/>
                  </w:tcBorders>
                  <w:shd w:val="clear" w:color="auto" w:fill="auto"/>
                  <w:noWrap/>
                  <w:vAlign w:val="center"/>
                </w:tcPr>
                <w:p w14:paraId="61AAA0FD">
                  <w:pPr>
                    <w:jc w:val="center"/>
                    <w:rPr>
                      <w:color w:val="000000" w:themeColor="text1"/>
                      <w:szCs w:val="21"/>
                      <w14:textFill>
                        <w14:solidFill>
                          <w14:schemeClr w14:val="tx1"/>
                        </w14:solidFill>
                      </w14:textFill>
                    </w:rPr>
                  </w:pPr>
                </w:p>
              </w:tc>
              <w:tc>
                <w:tcPr>
                  <w:tcW w:w="7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EEF54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SE</w:t>
                  </w:r>
                </w:p>
              </w:tc>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44B02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r>
            <w:tr w14:paraId="736EF8E0">
              <w:tblPrEx>
                <w:tblCellMar>
                  <w:top w:w="0" w:type="dxa"/>
                  <w:left w:w="108" w:type="dxa"/>
                  <w:bottom w:w="0" w:type="dxa"/>
                  <w:right w:w="108" w:type="dxa"/>
                </w:tblCellMar>
              </w:tblPrEx>
              <w:trPr>
                <w:trHeight w:val="20" w:hRule="atLeast"/>
              </w:trPr>
              <w:tc>
                <w:tcPr>
                  <w:tcW w:w="6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C6FDCC">
                  <w:pPr>
                    <w:ind w:left="-111" w:leftChars="-53" w:right="-120" w:rightChars="-57"/>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730" w:type="dxa"/>
                  <w:tcBorders>
                    <w:top w:val="single" w:color="auto" w:sz="4" w:space="0"/>
                    <w:left w:val="nil"/>
                    <w:bottom w:val="single" w:color="auto" w:sz="4" w:space="0"/>
                    <w:right w:val="single" w:color="auto" w:sz="4" w:space="0"/>
                  </w:tcBorders>
                  <w:shd w:val="clear" w:color="auto" w:fill="auto"/>
                  <w:noWrap/>
                  <w:vAlign w:val="center"/>
                </w:tcPr>
                <w:p w14:paraId="21035AC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566" w:type="dxa"/>
                  <w:tcBorders>
                    <w:top w:val="single" w:color="auto" w:sz="4" w:space="0"/>
                    <w:left w:val="nil"/>
                    <w:bottom w:val="single" w:color="auto" w:sz="4" w:space="0"/>
                    <w:right w:val="single" w:color="auto" w:sz="4" w:space="0"/>
                  </w:tcBorders>
                  <w:shd w:val="clear" w:color="auto" w:fill="auto"/>
                  <w:noWrap/>
                  <w:vAlign w:val="center"/>
                </w:tcPr>
                <w:p w14:paraId="6E9DBAD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w:t>
                  </w:r>
                </w:p>
              </w:tc>
              <w:tc>
                <w:tcPr>
                  <w:tcW w:w="1539" w:type="dxa"/>
                  <w:tcBorders>
                    <w:top w:val="single" w:color="auto" w:sz="4" w:space="0"/>
                    <w:left w:val="nil"/>
                    <w:bottom w:val="single" w:color="auto" w:sz="4" w:space="0"/>
                    <w:right w:val="single" w:color="auto" w:sz="4" w:space="0"/>
                  </w:tcBorders>
                  <w:shd w:val="clear" w:color="auto" w:fill="auto"/>
                  <w:noWrap/>
                  <w:vAlign w:val="center"/>
                </w:tcPr>
                <w:p w14:paraId="76BDEB1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曹庄新村保障房</w:t>
                  </w:r>
                </w:p>
              </w:tc>
              <w:tc>
                <w:tcPr>
                  <w:tcW w:w="1539" w:type="dxa"/>
                  <w:tcBorders>
                    <w:top w:val="single" w:color="auto" w:sz="4" w:space="0"/>
                    <w:left w:val="nil"/>
                    <w:bottom w:val="single" w:color="auto" w:sz="4" w:space="0"/>
                    <w:right w:val="single" w:color="auto" w:sz="4" w:space="0"/>
                  </w:tcBorders>
                  <w:shd w:val="clear" w:color="auto" w:fill="auto"/>
                  <w:noWrap/>
                  <w:vAlign w:val="center"/>
                </w:tcPr>
                <w:p w14:paraId="283E884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居民，2500人</w:t>
                  </w:r>
                </w:p>
              </w:tc>
              <w:tc>
                <w:tcPr>
                  <w:tcW w:w="1938" w:type="dxa"/>
                  <w:tcBorders>
                    <w:top w:val="single" w:color="auto" w:sz="4" w:space="0"/>
                    <w:left w:val="nil"/>
                    <w:bottom w:val="single" w:color="auto" w:sz="4" w:space="0"/>
                    <w:right w:val="single" w:color="auto" w:sz="4" w:space="0"/>
                  </w:tcBorders>
                  <w:shd w:val="clear" w:color="auto" w:fill="auto"/>
                  <w:noWrap/>
                  <w:vAlign w:val="center"/>
                </w:tcPr>
                <w:p w14:paraId="7BA223A8">
                  <w:pPr>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《声环境质量标准》（GB3096-2008）中2类</w:t>
                  </w:r>
                  <w:r>
                    <w:rPr>
                      <w:rFonts w:hint="eastAsia"/>
                      <w:color w:val="000000" w:themeColor="text1"/>
                      <w:szCs w:val="21"/>
                      <w14:textFill>
                        <w14:solidFill>
                          <w14:schemeClr w14:val="tx1"/>
                        </w14:solidFill>
                      </w14:textFill>
                    </w:rPr>
                    <w:t>标准</w:t>
                  </w:r>
                </w:p>
              </w:tc>
              <w:tc>
                <w:tcPr>
                  <w:tcW w:w="778" w:type="dxa"/>
                  <w:tcBorders>
                    <w:top w:val="single" w:color="auto" w:sz="4" w:space="0"/>
                    <w:left w:val="nil"/>
                    <w:bottom w:val="single" w:color="auto" w:sz="4" w:space="0"/>
                    <w:right w:val="single" w:color="auto" w:sz="4" w:space="0"/>
                  </w:tcBorders>
                  <w:shd w:val="clear" w:color="auto" w:fill="auto"/>
                  <w:noWrap/>
                  <w:vAlign w:val="center"/>
                </w:tcPr>
                <w:p w14:paraId="4A7B097A">
                  <w:pPr>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N</w:t>
                  </w:r>
                </w:p>
              </w:tc>
              <w:tc>
                <w:tcPr>
                  <w:tcW w:w="983" w:type="dxa"/>
                  <w:tcBorders>
                    <w:top w:val="single" w:color="auto" w:sz="4" w:space="0"/>
                    <w:left w:val="nil"/>
                    <w:bottom w:val="single" w:color="auto" w:sz="4" w:space="0"/>
                    <w:right w:val="single" w:color="auto" w:sz="4" w:space="0"/>
                  </w:tcBorders>
                  <w:shd w:val="clear" w:color="auto" w:fill="auto"/>
                  <w:noWrap/>
                  <w:vAlign w:val="center"/>
                </w:tcPr>
                <w:p w14:paraId="58AB747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w:t>
                  </w:r>
                </w:p>
              </w:tc>
            </w:tr>
            <w:tr w14:paraId="73273C6B">
              <w:tblPrEx>
                <w:tblCellMar>
                  <w:top w:w="0" w:type="dxa"/>
                  <w:left w:w="108" w:type="dxa"/>
                  <w:bottom w:w="0" w:type="dxa"/>
                  <w:right w:w="108" w:type="dxa"/>
                </w:tblCellMar>
              </w:tblPrEx>
              <w:trPr>
                <w:trHeight w:val="20" w:hRule="atLeast"/>
              </w:trPr>
              <w:tc>
                <w:tcPr>
                  <w:tcW w:w="6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EAEA23">
                  <w:pPr>
                    <w:ind w:left="-111" w:leftChars="-53" w:right="-120" w:rightChars="-57"/>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w:t>
                  </w:r>
                </w:p>
                <w:p w14:paraId="7F252C29">
                  <w:pPr>
                    <w:ind w:left="-111" w:leftChars="-53" w:right="-120" w:rightChars="-57"/>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tc>
              <w:tc>
                <w:tcPr>
                  <w:tcW w:w="4374" w:type="dxa"/>
                  <w:gridSpan w:val="4"/>
                  <w:tcBorders>
                    <w:top w:val="single" w:color="auto" w:sz="4" w:space="0"/>
                    <w:left w:val="nil"/>
                    <w:bottom w:val="single" w:color="auto" w:sz="4" w:space="0"/>
                    <w:right w:val="single" w:color="auto" w:sz="4" w:space="0"/>
                  </w:tcBorders>
                  <w:shd w:val="clear" w:color="auto" w:fill="auto"/>
                  <w:noWrap/>
                  <w:vAlign w:val="center"/>
                </w:tcPr>
                <w:p w14:paraId="501C0D0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浍河</w:t>
                  </w:r>
                </w:p>
              </w:tc>
              <w:tc>
                <w:tcPr>
                  <w:tcW w:w="1938" w:type="dxa"/>
                  <w:tcBorders>
                    <w:top w:val="single" w:color="auto" w:sz="4" w:space="0"/>
                    <w:left w:val="nil"/>
                    <w:bottom w:val="single" w:color="auto" w:sz="4" w:space="0"/>
                    <w:right w:val="single" w:color="auto" w:sz="4" w:space="0"/>
                  </w:tcBorders>
                  <w:shd w:val="clear" w:color="auto" w:fill="auto"/>
                  <w:noWrap/>
                  <w:vAlign w:val="center"/>
                </w:tcPr>
                <w:p w14:paraId="5F2C307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《地表水环境质量标准》﹙GB3838-2002﹚中Ⅲ类标准</w:t>
                  </w:r>
                </w:p>
              </w:tc>
              <w:tc>
                <w:tcPr>
                  <w:tcW w:w="778" w:type="dxa"/>
                  <w:tcBorders>
                    <w:top w:val="single" w:color="auto" w:sz="4" w:space="0"/>
                    <w:left w:val="nil"/>
                    <w:bottom w:val="single" w:color="auto" w:sz="4" w:space="0"/>
                    <w:right w:val="single" w:color="auto" w:sz="4" w:space="0"/>
                  </w:tcBorders>
                  <w:shd w:val="clear" w:color="auto" w:fill="auto"/>
                  <w:noWrap/>
                  <w:vAlign w:val="center"/>
                </w:tcPr>
                <w:p w14:paraId="3D4D03A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p>
              </w:tc>
              <w:tc>
                <w:tcPr>
                  <w:tcW w:w="983" w:type="dxa"/>
                  <w:tcBorders>
                    <w:top w:val="single" w:color="auto" w:sz="4" w:space="0"/>
                    <w:left w:val="nil"/>
                    <w:bottom w:val="single" w:color="auto" w:sz="4" w:space="0"/>
                    <w:right w:val="single" w:color="auto" w:sz="4" w:space="0"/>
                  </w:tcBorders>
                  <w:shd w:val="clear" w:color="auto" w:fill="auto"/>
                  <w:noWrap/>
                  <w:vAlign w:val="center"/>
                </w:tcPr>
                <w:p w14:paraId="4E92DCA3">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2221</w:t>
                  </w:r>
                </w:p>
              </w:tc>
            </w:tr>
            <w:tr w14:paraId="122B0F4B">
              <w:tblPrEx>
                <w:tblCellMar>
                  <w:top w:w="0" w:type="dxa"/>
                  <w:left w:w="108" w:type="dxa"/>
                  <w:bottom w:w="0" w:type="dxa"/>
                  <w:right w:w="108" w:type="dxa"/>
                </w:tblCellMar>
              </w:tblPrEx>
              <w:trPr>
                <w:trHeight w:val="20" w:hRule="atLeast"/>
              </w:trPr>
              <w:tc>
                <w:tcPr>
                  <w:tcW w:w="6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45C198">
                  <w:pPr>
                    <w:ind w:left="-111" w:leftChars="-53" w:right="-120" w:rightChars="-57"/>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地下水环境</w:t>
                  </w:r>
                </w:p>
              </w:tc>
              <w:tc>
                <w:tcPr>
                  <w:tcW w:w="4374" w:type="dxa"/>
                  <w:gridSpan w:val="4"/>
                  <w:tcBorders>
                    <w:top w:val="single" w:color="auto" w:sz="4" w:space="0"/>
                    <w:left w:val="nil"/>
                    <w:bottom w:val="single" w:color="auto" w:sz="4" w:space="0"/>
                    <w:right w:val="single" w:color="auto" w:sz="4" w:space="0"/>
                  </w:tcBorders>
                  <w:shd w:val="clear" w:color="auto" w:fill="auto"/>
                  <w:noWrap/>
                  <w:vAlign w:val="center"/>
                </w:tcPr>
                <w:p w14:paraId="6620AD4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本项目厂界外500米范围内的无地下水集中式饮用水水源和热水、矿泉水、温泉等特殊地下水资源</w:t>
                  </w:r>
                </w:p>
              </w:tc>
              <w:tc>
                <w:tcPr>
                  <w:tcW w:w="1938" w:type="dxa"/>
                  <w:tcBorders>
                    <w:top w:val="single" w:color="auto" w:sz="4" w:space="0"/>
                    <w:left w:val="nil"/>
                    <w:bottom w:val="single" w:color="auto" w:sz="4" w:space="0"/>
                    <w:right w:val="single" w:color="auto" w:sz="4" w:space="0"/>
                  </w:tcBorders>
                  <w:shd w:val="clear" w:color="auto" w:fill="auto"/>
                  <w:noWrap/>
                  <w:vAlign w:val="center"/>
                </w:tcPr>
                <w:p w14:paraId="0EA4341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78" w:type="dxa"/>
                  <w:tcBorders>
                    <w:top w:val="single" w:color="auto" w:sz="4" w:space="0"/>
                    <w:left w:val="nil"/>
                    <w:bottom w:val="single" w:color="auto" w:sz="4" w:space="0"/>
                    <w:right w:val="single" w:color="auto" w:sz="4" w:space="0"/>
                  </w:tcBorders>
                  <w:shd w:val="clear" w:color="auto" w:fill="auto"/>
                  <w:noWrap/>
                  <w:vAlign w:val="center"/>
                </w:tcPr>
                <w:p w14:paraId="4C6F322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83" w:type="dxa"/>
                  <w:tcBorders>
                    <w:top w:val="single" w:color="auto" w:sz="4" w:space="0"/>
                    <w:left w:val="nil"/>
                    <w:bottom w:val="single" w:color="auto" w:sz="4" w:space="0"/>
                    <w:right w:val="single" w:color="auto" w:sz="4" w:space="0"/>
                  </w:tcBorders>
                  <w:shd w:val="clear" w:color="auto" w:fill="auto"/>
                  <w:noWrap/>
                  <w:vAlign w:val="center"/>
                </w:tcPr>
                <w:p w14:paraId="60E37C7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14:paraId="18F661DA">
            <w:pPr>
              <w:spacing w:line="480" w:lineRule="exact"/>
              <w:rPr>
                <w:b/>
                <w:bCs/>
                <w:snapToGrid w:val="0"/>
                <w:color w:val="000000" w:themeColor="text1"/>
                <w:kern w:val="0"/>
                <w:sz w:val="24"/>
                <w14:textFill>
                  <w14:solidFill>
                    <w14:schemeClr w14:val="tx1"/>
                  </w14:solidFill>
                </w14:textFill>
              </w:rPr>
            </w:pPr>
            <w:r>
              <w:rPr>
                <w:rFonts w:hint="eastAsia"/>
                <w:b/>
                <w:bCs/>
                <w:snapToGrid w:val="0"/>
                <w:color w:val="000000" w:themeColor="text1"/>
                <w:kern w:val="0"/>
                <w:sz w:val="24"/>
                <w14:textFill>
                  <w14:solidFill>
                    <w14:schemeClr w14:val="tx1"/>
                  </w14:solidFill>
                </w14:textFill>
              </w:rPr>
              <w:t>保护级别：</w:t>
            </w:r>
          </w:p>
          <w:p w14:paraId="3F14A51D">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、大气环境执行《环境空气质量标准》（</w:t>
            </w:r>
            <w:r>
              <w:rPr>
                <w:color w:val="000000" w:themeColor="text1"/>
                <w:sz w:val="24"/>
                <w14:textFill>
                  <w14:solidFill>
                    <w14:schemeClr w14:val="tx1"/>
                  </w14:solidFill>
                </w14:textFill>
              </w:rPr>
              <w:t>GB3095-2012</w:t>
            </w:r>
            <w:r>
              <w:rPr>
                <w:rFonts w:hint="eastAsia"/>
                <w:color w:val="000000" w:themeColor="text1"/>
                <w:sz w:val="24"/>
                <w14:textFill>
                  <w14:solidFill>
                    <w14:schemeClr w14:val="tx1"/>
                  </w14:solidFill>
                </w14:textFill>
              </w:rPr>
              <w:t>）中二级标准；</w:t>
            </w:r>
          </w:p>
          <w:p w14:paraId="160F16DD">
            <w:pPr>
              <w:numPr>
                <w:ilvl w:val="0"/>
                <w:numId w:val="4"/>
              </w:num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浍河水质执行《地表水环境质量标准》（</w:t>
            </w:r>
            <w:r>
              <w:rPr>
                <w:color w:val="000000" w:themeColor="text1"/>
                <w:sz w:val="24"/>
                <w14:textFill>
                  <w14:solidFill>
                    <w14:schemeClr w14:val="tx1"/>
                  </w14:solidFill>
                </w14:textFill>
              </w:rPr>
              <w:t>GB3838-2002）中</w:t>
            </w:r>
            <w:r>
              <w:rPr>
                <w:color w:val="000000" w:themeColor="text1"/>
                <w:szCs w:val="21"/>
                <w14:textFill>
                  <w14:solidFill>
                    <w14:schemeClr w14:val="tx1"/>
                  </w14:solidFill>
                </w14:textFill>
              </w:rPr>
              <w:t>Ⅲ</w:t>
            </w:r>
            <w:r>
              <w:rPr>
                <w:color w:val="000000" w:themeColor="text1"/>
                <w:sz w:val="24"/>
                <w14:textFill>
                  <w14:solidFill>
                    <w14:schemeClr w14:val="tx1"/>
                  </w14:solidFill>
                </w14:textFill>
              </w:rPr>
              <w:t>类标准；</w:t>
            </w:r>
          </w:p>
          <w:p w14:paraId="5BECE125">
            <w:pPr>
              <w:numPr>
                <w:ilvl w:val="0"/>
                <w:numId w:val="4"/>
              </w:num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项目地声环境质量执行《声环境质量标准》（</w:t>
            </w:r>
            <w:r>
              <w:rPr>
                <w:color w:val="000000" w:themeColor="text1"/>
                <w:sz w:val="24"/>
                <w14:textFill>
                  <w14:solidFill>
                    <w14:schemeClr w14:val="tx1"/>
                  </w14:solidFill>
                </w14:textFill>
              </w:rPr>
              <w:t>GB3096-2008</w:t>
            </w:r>
            <w:r>
              <w:rPr>
                <w:rFonts w:hint="eastAsia"/>
                <w:color w:val="000000" w:themeColor="text1"/>
                <w:sz w:val="24"/>
                <w14:textFill>
                  <w14:solidFill>
                    <w14:schemeClr w14:val="tx1"/>
                  </w14:solidFill>
                </w14:textFill>
              </w:rPr>
              <w:t>）中2</w:t>
            </w:r>
            <w:r>
              <w:rPr>
                <w:color w:val="000000" w:themeColor="text1"/>
                <w:sz w:val="24"/>
                <w14:textFill>
                  <w14:solidFill>
                    <w14:schemeClr w14:val="tx1"/>
                  </w14:solidFill>
                </w14:textFill>
              </w:rPr>
              <w:t>类</w:t>
            </w:r>
            <w:r>
              <w:rPr>
                <w:rFonts w:hint="eastAsia"/>
                <w:color w:val="000000" w:themeColor="text1"/>
                <w:sz w:val="24"/>
                <w14:textFill>
                  <w14:solidFill>
                    <w14:schemeClr w14:val="tx1"/>
                  </w14:solidFill>
                </w14:textFill>
              </w:rPr>
              <w:t>、4a类</w:t>
            </w:r>
            <w:r>
              <w:rPr>
                <w:color w:val="000000" w:themeColor="text1"/>
                <w:sz w:val="24"/>
                <w14:textFill>
                  <w14:solidFill>
                    <w14:schemeClr w14:val="tx1"/>
                  </w14:solidFill>
                </w14:textFill>
              </w:rPr>
              <w:t>标准</w:t>
            </w:r>
            <w:r>
              <w:rPr>
                <w:rFonts w:hint="eastAsia"/>
                <w:color w:val="000000" w:themeColor="text1"/>
                <w:sz w:val="24"/>
                <w14:textFill>
                  <w14:solidFill>
                    <w14:schemeClr w14:val="tx1"/>
                  </w14:solidFill>
                </w14:textFill>
              </w:rPr>
              <w:t>。</w:t>
            </w:r>
          </w:p>
          <w:p w14:paraId="37B233AB">
            <w:pPr>
              <w:spacing w:line="500" w:lineRule="exact"/>
              <w:jc w:val="both"/>
              <w:rPr>
                <w:b/>
                <w:bCs/>
                <w:color w:val="000000" w:themeColor="text1"/>
                <w:sz w:val="24"/>
                <w14:textFill>
                  <w14:solidFill>
                    <w14:schemeClr w14:val="tx1"/>
                  </w14:solidFill>
                </w14:textFill>
              </w:rPr>
            </w:pPr>
          </w:p>
          <w:p w14:paraId="4A74EB4E">
            <w:pPr>
              <w:spacing w:line="500" w:lineRule="exact"/>
              <w:jc w:val="center"/>
              <w:rPr>
                <w:b/>
                <w:bCs/>
                <w:color w:val="000000" w:themeColor="text1"/>
                <w:sz w:val="24"/>
                <w14:textFill>
                  <w14:solidFill>
                    <w14:schemeClr w14:val="tx1"/>
                  </w14:solidFill>
                </w14:textFill>
              </w:rPr>
            </w:pPr>
          </w:p>
          <w:p w14:paraId="0273F46B">
            <w:pPr>
              <w:spacing w:line="500" w:lineRule="exact"/>
              <w:rPr>
                <w:b/>
                <w:bCs/>
                <w:color w:val="000000" w:themeColor="text1"/>
                <w:sz w:val="24"/>
                <w14:textFill>
                  <w14:solidFill>
                    <w14:schemeClr w14:val="tx1"/>
                  </w14:solidFill>
                </w14:textFill>
              </w:rPr>
            </w:pPr>
          </w:p>
        </w:tc>
      </w:tr>
      <w:tr w14:paraId="03F44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63" w:hRule="atLeast"/>
        </w:trPr>
        <w:tc>
          <w:tcPr>
            <w:tcW w:w="1081" w:type="dxa"/>
            <w:gridSpan w:val="2"/>
            <w:tcMar>
              <w:left w:w="28" w:type="dxa"/>
              <w:right w:w="28" w:type="dxa"/>
            </w:tcMar>
            <w:vAlign w:val="center"/>
          </w:tcPr>
          <w:p w14:paraId="4CD1E5CF">
            <w:pPr>
              <w:adjustRightInd w:val="0"/>
              <w:snapToGrid w:val="0"/>
              <w:spacing w:line="240" w:lineRule="atLeas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污染物排放控制标准</w:t>
            </w:r>
          </w:p>
        </w:tc>
        <w:tc>
          <w:tcPr>
            <w:tcW w:w="8868" w:type="dxa"/>
            <w:vAlign w:val="center"/>
          </w:tcPr>
          <w:p w14:paraId="2B6A06E6">
            <w:pPr>
              <w:numPr>
                <w:ilvl w:val="0"/>
                <w:numId w:val="5"/>
              </w:numPr>
              <w:spacing w:line="500" w:lineRule="atLeas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本项目运营期在加油、卸油、储油过程中有少量油蒸气产生，主要为 VOCs（以非甲烷总烃计），加油站周界 VOCs（以非甲烷总烃计）执行《加油站大气污染物排放标准》（GB20952-2020）表3油气浓度无组织排放限值。油气回收系统排放控制执行《加油站大气污染物排放标准》（GB20952-2020）中的相关标准</w:t>
            </w:r>
            <w:r>
              <w:rPr>
                <w:rFonts w:hint="eastAsia" w:ascii="宋体" w:hAnsi="宋体" w:cs="宋体"/>
                <w:color w:val="000000" w:themeColor="text1"/>
                <w:sz w:val="24"/>
                <w14:textFill>
                  <w14:solidFill>
                    <w14:schemeClr w14:val="tx1"/>
                  </w14:solidFill>
                </w14:textFill>
              </w:rPr>
              <w:t>，</w:t>
            </w:r>
            <w:r>
              <w:rPr>
                <w:rFonts w:hint="eastAsia"/>
                <w:color w:val="000000" w:themeColor="text1"/>
                <w:kern w:val="28"/>
                <w:sz w:val="24"/>
                <w14:textFill>
                  <w14:solidFill>
                    <w14:schemeClr w14:val="tx1"/>
                  </w14:solidFill>
                </w14:textFill>
              </w:rPr>
              <w:t>同时需满足</w:t>
            </w:r>
            <w:r>
              <w:rPr>
                <w:color w:val="000000" w:themeColor="text1"/>
                <w:kern w:val="28"/>
                <w:sz w:val="24"/>
                <w14:textFill>
                  <w14:solidFill>
                    <w14:schemeClr w14:val="tx1"/>
                  </w14:solidFill>
                </w14:textFill>
              </w:rPr>
              <w:t>《挥发性有机物无组织排放控制标准》（GB37822-2019）</w:t>
            </w:r>
            <w:r>
              <w:rPr>
                <w:rFonts w:hint="eastAsia"/>
                <w:color w:val="000000" w:themeColor="text1"/>
                <w:kern w:val="28"/>
                <w:sz w:val="24"/>
                <w14:textFill>
                  <w14:solidFill>
                    <w14:schemeClr w14:val="tx1"/>
                  </w14:solidFill>
                </w14:textFill>
              </w:rPr>
              <w:t>相关要求；</w:t>
            </w:r>
          </w:p>
          <w:p w14:paraId="1D977116">
            <w:pPr>
              <w:spacing w:line="500" w:lineRule="atLeas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anchor distT="0" distB="0" distL="114300" distR="114300" simplePos="0" relativeHeight="251661312" behindDoc="0" locked="0" layoutInCell="1" allowOverlap="1">
                  <wp:simplePos x="0" y="0"/>
                  <wp:positionH relativeFrom="column">
                    <wp:posOffset>43180</wp:posOffset>
                  </wp:positionH>
                  <wp:positionV relativeFrom="paragraph">
                    <wp:posOffset>10160</wp:posOffset>
                  </wp:positionV>
                  <wp:extent cx="5422265" cy="2726055"/>
                  <wp:effectExtent l="0" t="0" r="3175" b="1905"/>
                  <wp:wrapNone/>
                  <wp:docPr id="65" name="图片 65" descr="168431120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684311207865"/>
                          <pic:cNvPicPr>
                            <a:picLocks noChangeAspect="1"/>
                          </pic:cNvPicPr>
                        </pic:nvPicPr>
                        <pic:blipFill>
                          <a:blip r:embed="rId16"/>
                          <a:stretch>
                            <a:fillRect/>
                          </a:stretch>
                        </pic:blipFill>
                        <pic:spPr>
                          <a:xfrm>
                            <a:off x="0" y="0"/>
                            <a:ext cx="5422265" cy="2726055"/>
                          </a:xfrm>
                          <a:prstGeom prst="rect">
                            <a:avLst/>
                          </a:prstGeom>
                        </pic:spPr>
                      </pic:pic>
                    </a:graphicData>
                  </a:graphic>
                </wp:anchor>
              </w:drawing>
            </w:r>
          </w:p>
          <w:p w14:paraId="55DA1010">
            <w:pPr>
              <w:autoSpaceDE w:val="0"/>
              <w:autoSpaceDN w:val="0"/>
              <w:adjustRightInd w:val="0"/>
              <w:spacing w:line="360" w:lineRule="auto"/>
              <w:ind w:firstLine="480" w:firstLineChars="200"/>
              <w:rPr>
                <w:color w:val="000000" w:themeColor="text1"/>
                <w:sz w:val="24"/>
                <w14:textFill>
                  <w14:solidFill>
                    <w14:schemeClr w14:val="tx1"/>
                  </w14:solidFill>
                </w14:textFill>
              </w:rPr>
            </w:pPr>
          </w:p>
          <w:p w14:paraId="29A7230F">
            <w:pPr>
              <w:autoSpaceDE w:val="0"/>
              <w:autoSpaceDN w:val="0"/>
              <w:adjustRightInd w:val="0"/>
              <w:spacing w:line="360" w:lineRule="auto"/>
              <w:ind w:firstLine="480" w:firstLineChars="200"/>
              <w:rPr>
                <w:color w:val="000000" w:themeColor="text1"/>
                <w:sz w:val="24"/>
                <w14:textFill>
                  <w14:solidFill>
                    <w14:schemeClr w14:val="tx1"/>
                  </w14:solidFill>
                </w14:textFill>
              </w:rPr>
            </w:pPr>
          </w:p>
          <w:p w14:paraId="0BF8C9D9">
            <w:pPr>
              <w:autoSpaceDE w:val="0"/>
              <w:autoSpaceDN w:val="0"/>
              <w:adjustRightInd w:val="0"/>
              <w:spacing w:line="360" w:lineRule="auto"/>
              <w:ind w:firstLine="480" w:firstLineChars="200"/>
              <w:rPr>
                <w:color w:val="000000" w:themeColor="text1"/>
                <w:sz w:val="24"/>
                <w14:textFill>
                  <w14:solidFill>
                    <w14:schemeClr w14:val="tx1"/>
                  </w14:solidFill>
                </w14:textFill>
              </w:rPr>
            </w:pPr>
          </w:p>
          <w:p w14:paraId="626443AD">
            <w:pPr>
              <w:autoSpaceDE w:val="0"/>
              <w:autoSpaceDN w:val="0"/>
              <w:adjustRightInd w:val="0"/>
              <w:spacing w:line="360" w:lineRule="auto"/>
              <w:ind w:firstLine="480" w:firstLineChars="200"/>
              <w:rPr>
                <w:color w:val="000000" w:themeColor="text1"/>
                <w:sz w:val="24"/>
                <w14:textFill>
                  <w14:solidFill>
                    <w14:schemeClr w14:val="tx1"/>
                  </w14:solidFill>
                </w14:textFill>
              </w:rPr>
            </w:pPr>
          </w:p>
          <w:p w14:paraId="3B852661">
            <w:pPr>
              <w:autoSpaceDE w:val="0"/>
              <w:autoSpaceDN w:val="0"/>
              <w:adjustRightInd w:val="0"/>
              <w:spacing w:line="360" w:lineRule="auto"/>
              <w:ind w:firstLine="480" w:firstLineChars="200"/>
              <w:rPr>
                <w:color w:val="000000" w:themeColor="text1"/>
                <w:sz w:val="24"/>
                <w14:textFill>
                  <w14:solidFill>
                    <w14:schemeClr w14:val="tx1"/>
                  </w14:solidFill>
                </w14:textFill>
              </w:rPr>
            </w:pPr>
          </w:p>
          <w:p w14:paraId="7E1E2B9B">
            <w:pPr>
              <w:autoSpaceDE w:val="0"/>
              <w:autoSpaceDN w:val="0"/>
              <w:adjustRightInd w:val="0"/>
              <w:spacing w:line="360" w:lineRule="auto"/>
              <w:ind w:firstLine="480" w:firstLineChars="200"/>
              <w:rPr>
                <w:color w:val="000000" w:themeColor="text1"/>
                <w:sz w:val="24"/>
                <w14:textFill>
                  <w14:solidFill>
                    <w14:schemeClr w14:val="tx1"/>
                  </w14:solidFill>
                </w14:textFill>
              </w:rPr>
            </w:pPr>
          </w:p>
          <w:p w14:paraId="667BC760">
            <w:pPr>
              <w:autoSpaceDE w:val="0"/>
              <w:autoSpaceDN w:val="0"/>
              <w:adjustRightInd w:val="0"/>
              <w:spacing w:line="360" w:lineRule="auto"/>
              <w:ind w:firstLine="480" w:firstLineChars="200"/>
              <w:rPr>
                <w:color w:val="000000" w:themeColor="text1"/>
                <w:sz w:val="24"/>
                <w14:textFill>
                  <w14:solidFill>
                    <w14:schemeClr w14:val="tx1"/>
                  </w14:solidFill>
                </w14:textFill>
              </w:rPr>
            </w:pPr>
          </w:p>
          <w:p w14:paraId="359CA7A2">
            <w:pPr>
              <w:autoSpaceDE w:val="0"/>
              <w:autoSpaceDN w:val="0"/>
              <w:adjustRightInd w:val="0"/>
              <w:spacing w:line="360" w:lineRule="auto"/>
              <w:ind w:firstLine="480" w:firstLineChars="200"/>
              <w:rPr>
                <w:color w:val="000000" w:themeColor="text1"/>
                <w:sz w:val="24"/>
                <w14:textFill>
                  <w14:solidFill>
                    <w14:schemeClr w14:val="tx1"/>
                  </w14:solidFill>
                </w14:textFill>
              </w:rPr>
            </w:pPr>
          </w:p>
          <w:p w14:paraId="55D7D20F">
            <w:pPr>
              <w:autoSpaceDE w:val="0"/>
              <w:autoSpaceDN w:val="0"/>
              <w:adjustRightInd w:val="0"/>
              <w:spacing w:line="360" w:lineRule="auto"/>
              <w:ind w:firstLine="480" w:firstLineChars="200"/>
              <w:rPr>
                <w:color w:val="000000" w:themeColor="text1"/>
                <w:sz w:val="24"/>
                <w14:textFill>
                  <w14:solidFill>
                    <w14:schemeClr w14:val="tx1"/>
                  </w14:solidFill>
                </w14:textFill>
              </w:rPr>
            </w:pPr>
          </w:p>
          <w:p w14:paraId="1915508E">
            <w:pPr>
              <w:rPr>
                <w:color w:val="000000" w:themeColor="text1"/>
                <w14:textFill>
                  <w14:solidFill>
                    <w14:schemeClr w14:val="tx1"/>
                  </w14:solidFill>
                </w14:textFill>
              </w:rPr>
            </w:pPr>
          </w:p>
          <w:p w14:paraId="61C01F4A">
            <w:pPr>
              <w:jc w:val="center"/>
              <w:rPr>
                <w:b/>
                <w:color w:val="000000" w:themeColor="text1"/>
                <w:sz w:val="24"/>
                <w:szCs w:val="22"/>
                <w14:textFill>
                  <w14:solidFill>
                    <w14:schemeClr w14:val="tx1"/>
                  </w14:solidFill>
                </w14:textFill>
              </w:rPr>
            </w:pPr>
            <w:r>
              <w:rPr>
                <w:b/>
                <w:color w:val="000000" w:themeColor="text1"/>
                <w:sz w:val="24"/>
                <w:szCs w:val="22"/>
                <w14:textFill>
                  <w14:solidFill>
                    <w14:schemeClr w14:val="tx1"/>
                  </w14:solidFill>
                </w14:textFill>
              </w:rPr>
              <w:t>表3-</w:t>
            </w:r>
            <w:r>
              <w:rPr>
                <w:rFonts w:hint="eastAsia"/>
                <w:b/>
                <w:color w:val="000000" w:themeColor="text1"/>
                <w:sz w:val="24"/>
                <w:szCs w:val="22"/>
                <w14:textFill>
                  <w14:solidFill>
                    <w14:schemeClr w14:val="tx1"/>
                  </w14:solidFill>
                </w14:textFill>
              </w:rPr>
              <w:t>9</w:t>
            </w:r>
            <w:r>
              <w:rPr>
                <w:b/>
                <w:color w:val="000000" w:themeColor="text1"/>
                <w:sz w:val="24"/>
                <w:szCs w:val="22"/>
                <w14:textFill>
                  <w14:solidFill>
                    <w14:schemeClr w14:val="tx1"/>
                  </w14:solidFill>
                </w14:textFill>
              </w:rPr>
              <w:tab/>
            </w:r>
            <w:r>
              <w:rPr>
                <w:b/>
                <w:color w:val="000000" w:themeColor="text1"/>
                <w:sz w:val="24"/>
                <w:szCs w:val="22"/>
                <w14:textFill>
                  <w14:solidFill>
                    <w14:schemeClr w14:val="tx1"/>
                  </w14:solidFill>
                </w14:textFill>
              </w:rPr>
              <w:t>《挥发性有机物无组织排放控制标准》排放要求  单位：mg/</w:t>
            </w:r>
            <w:r>
              <w:rPr>
                <w:rFonts w:hint="eastAsia"/>
                <w:b/>
                <w:color w:val="000000" w:themeColor="text1"/>
                <w:sz w:val="24"/>
                <w:szCs w:val="22"/>
                <w14:textFill>
                  <w14:solidFill>
                    <w14:schemeClr w14:val="tx1"/>
                  </w14:solidFill>
                </w14:textFill>
              </w:rPr>
              <w:t>m</w:t>
            </w:r>
            <w:r>
              <w:rPr>
                <w:rFonts w:hint="eastAsia"/>
                <w:b/>
                <w:color w:val="000000" w:themeColor="text1"/>
                <w:sz w:val="24"/>
                <w:szCs w:val="22"/>
                <w:vertAlign w:val="superscript"/>
                <w14:textFill>
                  <w14:solidFill>
                    <w14:schemeClr w14:val="tx1"/>
                  </w14:solidFill>
                </w14:textFill>
              </w:rPr>
              <w:t>3</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1987"/>
              <w:gridCol w:w="2817"/>
              <w:gridCol w:w="2122"/>
            </w:tblGrid>
            <w:tr w14:paraId="5500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pct"/>
                  <w:vAlign w:val="center"/>
                </w:tcPr>
                <w:p w14:paraId="227D5392">
                  <w:pPr>
                    <w:pStyle w:val="86"/>
                    <w:ind w:firstLine="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1142" w:type="pct"/>
                  <w:vAlign w:val="center"/>
                </w:tcPr>
                <w:p w14:paraId="3CFBBAEA">
                  <w:pPr>
                    <w:pStyle w:val="86"/>
                    <w:ind w:firstLine="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特别排放限值</w:t>
                  </w:r>
                </w:p>
              </w:tc>
              <w:tc>
                <w:tcPr>
                  <w:tcW w:w="1619" w:type="pct"/>
                  <w:vAlign w:val="center"/>
                </w:tcPr>
                <w:p w14:paraId="203E89A9">
                  <w:pPr>
                    <w:pStyle w:val="86"/>
                    <w:ind w:firstLine="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限值含义</w:t>
                  </w:r>
                </w:p>
              </w:tc>
              <w:tc>
                <w:tcPr>
                  <w:tcW w:w="1219" w:type="pct"/>
                  <w:vAlign w:val="center"/>
                </w:tcPr>
                <w:p w14:paraId="1A33EC64">
                  <w:pPr>
                    <w:pStyle w:val="86"/>
                    <w:ind w:firstLine="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无组织排放监控位置</w:t>
                  </w:r>
                </w:p>
              </w:tc>
            </w:tr>
            <w:tr w14:paraId="188F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pct"/>
                  <w:vMerge w:val="restart"/>
                  <w:vAlign w:val="center"/>
                </w:tcPr>
                <w:p w14:paraId="0FC3C684">
                  <w:pPr>
                    <w:pStyle w:val="86"/>
                    <w:ind w:firstLine="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NMHC</w:t>
                  </w:r>
                </w:p>
              </w:tc>
              <w:tc>
                <w:tcPr>
                  <w:tcW w:w="1142" w:type="pct"/>
                  <w:vAlign w:val="center"/>
                </w:tcPr>
                <w:p w14:paraId="64A366F4">
                  <w:pPr>
                    <w:pStyle w:val="86"/>
                    <w:ind w:firstLine="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619" w:type="pct"/>
                  <w:vAlign w:val="center"/>
                </w:tcPr>
                <w:p w14:paraId="6BB196E6">
                  <w:pPr>
                    <w:pStyle w:val="86"/>
                    <w:ind w:firstLine="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监控点处1h平均浓度值</w:t>
                  </w:r>
                </w:p>
              </w:tc>
              <w:tc>
                <w:tcPr>
                  <w:tcW w:w="1219" w:type="pct"/>
                  <w:vMerge w:val="restart"/>
                  <w:vAlign w:val="center"/>
                </w:tcPr>
                <w:p w14:paraId="16F6E3DA">
                  <w:pPr>
                    <w:pStyle w:val="86"/>
                    <w:ind w:firstLine="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在厂房外设置监控点</w:t>
                  </w:r>
                </w:p>
              </w:tc>
            </w:tr>
            <w:tr w14:paraId="6F09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pct"/>
                  <w:vMerge w:val="continue"/>
                  <w:vAlign w:val="center"/>
                </w:tcPr>
                <w:p w14:paraId="632CE053">
                  <w:pPr>
                    <w:pStyle w:val="86"/>
                    <w:ind w:firstLine="0"/>
                    <w:jc w:val="center"/>
                    <w:rPr>
                      <w:color w:val="000000" w:themeColor="text1"/>
                      <w:szCs w:val="21"/>
                      <w14:textFill>
                        <w14:solidFill>
                          <w14:schemeClr w14:val="tx1"/>
                        </w14:solidFill>
                      </w14:textFill>
                    </w:rPr>
                  </w:pPr>
                </w:p>
              </w:tc>
              <w:tc>
                <w:tcPr>
                  <w:tcW w:w="1142" w:type="pct"/>
                  <w:vAlign w:val="center"/>
                </w:tcPr>
                <w:p w14:paraId="4BA6B7ED">
                  <w:pPr>
                    <w:pStyle w:val="86"/>
                    <w:ind w:firstLine="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19" w:type="pct"/>
                  <w:vAlign w:val="center"/>
                </w:tcPr>
                <w:p w14:paraId="55EAEEE4">
                  <w:pPr>
                    <w:pStyle w:val="86"/>
                    <w:ind w:firstLine="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监控点处任意一次浓度值</w:t>
                  </w:r>
                </w:p>
              </w:tc>
              <w:tc>
                <w:tcPr>
                  <w:tcW w:w="1219" w:type="pct"/>
                  <w:vMerge w:val="continue"/>
                  <w:vAlign w:val="center"/>
                </w:tcPr>
                <w:p w14:paraId="30DB7AF8">
                  <w:pPr>
                    <w:pStyle w:val="86"/>
                    <w:ind w:firstLine="0"/>
                    <w:jc w:val="center"/>
                    <w:rPr>
                      <w:color w:val="000000" w:themeColor="text1"/>
                      <w:szCs w:val="21"/>
                      <w14:textFill>
                        <w14:solidFill>
                          <w14:schemeClr w14:val="tx1"/>
                        </w14:solidFill>
                      </w14:textFill>
                    </w:rPr>
                  </w:pPr>
                </w:p>
              </w:tc>
            </w:tr>
          </w:tbl>
          <w:p w14:paraId="5166C3B3">
            <w:pPr>
              <w:autoSpaceDE w:val="0"/>
              <w:autoSpaceDN w:val="0"/>
              <w:adjustRightIn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w:t>
            </w:r>
            <w:r>
              <w:rPr>
                <w:rFonts w:hint="eastAsia"/>
                <w:color w:val="000000" w:themeColor="text1"/>
                <w:sz w:val="24"/>
                <w:szCs w:val="20"/>
                <w:lang w:bidi="ar"/>
                <w14:textFill>
                  <w14:solidFill>
                    <w14:schemeClr w14:val="tx1"/>
                  </w14:solidFill>
                </w14:textFill>
              </w:rPr>
              <w:t>生活污水经</w:t>
            </w:r>
            <w:r>
              <w:rPr>
                <w:color w:val="000000" w:themeColor="text1"/>
                <w:sz w:val="24"/>
                <w:szCs w:val="20"/>
                <w:lang w:bidi="ar"/>
                <w14:textFill>
                  <w14:solidFill>
                    <w14:schemeClr w14:val="tx1"/>
                  </w14:solidFill>
                </w14:textFill>
              </w:rPr>
              <w:t>化粪池</w:t>
            </w:r>
            <w:r>
              <w:rPr>
                <w:rFonts w:hint="eastAsia"/>
                <w:color w:val="000000" w:themeColor="text1"/>
                <w:sz w:val="24"/>
                <w:szCs w:val="20"/>
                <w:lang w:bidi="ar"/>
                <w14:textFill>
                  <w14:solidFill>
                    <w14:schemeClr w14:val="tx1"/>
                  </w14:solidFill>
                </w14:textFill>
              </w:rPr>
              <w:t>和隔油池</w:t>
            </w:r>
            <w:r>
              <w:rPr>
                <w:color w:val="000000" w:themeColor="text1"/>
                <w:sz w:val="24"/>
                <w:szCs w:val="20"/>
                <w:lang w:bidi="ar"/>
                <w14:textFill>
                  <w14:solidFill>
                    <w14:schemeClr w14:val="tx1"/>
                  </w14:solidFill>
                </w14:textFill>
              </w:rPr>
              <w:t>预处理后</w:t>
            </w:r>
            <w:r>
              <w:rPr>
                <w:rFonts w:hint="eastAsia"/>
                <w:color w:val="000000" w:themeColor="text1"/>
                <w:sz w:val="24"/>
                <w:szCs w:val="20"/>
                <w:lang w:bidi="ar"/>
                <w14:textFill>
                  <w14:solidFill>
                    <w14:schemeClr w14:val="tx1"/>
                  </w14:solidFill>
                </w14:textFill>
              </w:rPr>
              <w:t>满足固镇县污水处理厂</w:t>
            </w:r>
            <w:r>
              <w:rPr>
                <w:color w:val="000000" w:themeColor="text1"/>
                <w:sz w:val="24"/>
                <w:szCs w:val="20"/>
                <w:lang w:bidi="ar"/>
                <w14:textFill>
                  <w14:solidFill>
                    <w14:schemeClr w14:val="tx1"/>
                  </w14:solidFill>
                </w14:textFill>
              </w:rPr>
              <w:t>接管标准和《污水综合排放标准》（GB8978-1996）表4中三级标准后接管进入</w:t>
            </w:r>
            <w:r>
              <w:rPr>
                <w:rFonts w:hint="eastAsia"/>
                <w:color w:val="000000" w:themeColor="text1"/>
                <w:sz w:val="24"/>
                <w:szCs w:val="20"/>
                <w:lang w:bidi="ar"/>
                <w14:textFill>
                  <w14:solidFill>
                    <w14:schemeClr w14:val="tx1"/>
                  </w14:solidFill>
                </w14:textFill>
              </w:rPr>
              <w:t>固镇县污水处理厂</w:t>
            </w:r>
            <w:r>
              <w:rPr>
                <w:color w:val="000000" w:themeColor="text1"/>
                <w:sz w:val="24"/>
                <w:szCs w:val="20"/>
                <w:lang w:bidi="ar"/>
                <w14:textFill>
                  <w14:solidFill>
                    <w14:schemeClr w14:val="tx1"/>
                  </w14:solidFill>
                </w14:textFill>
              </w:rPr>
              <w:t>集中处理</w:t>
            </w:r>
            <w:r>
              <w:rPr>
                <w:color w:val="000000" w:themeColor="text1"/>
                <w:sz w:val="24"/>
                <w14:textFill>
                  <w14:solidFill>
                    <w14:schemeClr w14:val="tx1"/>
                  </w14:solidFill>
                </w14:textFill>
              </w:rPr>
              <w:t>，达到《城镇污水处理厂污染物排放标准》（GB18918-2002）一级A标准排至</w:t>
            </w:r>
            <w:r>
              <w:rPr>
                <w:rFonts w:hint="eastAsia" w:hAnsi="宋体"/>
                <w:snapToGrid w:val="0"/>
                <w:color w:val="000000" w:themeColor="text1"/>
                <w:kern w:val="24"/>
                <w:sz w:val="24"/>
                <w14:textFill>
                  <w14:solidFill>
                    <w14:schemeClr w14:val="tx1"/>
                  </w14:solidFill>
                </w14:textFill>
              </w:rPr>
              <w:t>浍河</w:t>
            </w:r>
            <w:r>
              <w:rPr>
                <w:rFonts w:hint="eastAsia"/>
                <w:color w:val="000000" w:themeColor="text1"/>
                <w:sz w:val="24"/>
                <w14:textFill>
                  <w14:solidFill>
                    <w14:schemeClr w14:val="tx1"/>
                  </w14:solidFill>
                </w14:textFill>
              </w:rPr>
              <w:t>；</w:t>
            </w:r>
          </w:p>
          <w:p w14:paraId="6E6E79D3">
            <w:pPr>
              <w:jc w:val="center"/>
              <w:rPr>
                <w:b/>
                <w:color w:val="000000" w:themeColor="text1"/>
                <w:sz w:val="24"/>
                <w:szCs w:val="21"/>
                <w:lang w:bidi="ar"/>
                <w14:textFill>
                  <w14:solidFill>
                    <w14:schemeClr w14:val="tx1"/>
                  </w14:solidFill>
                </w14:textFill>
              </w:rPr>
            </w:pPr>
            <w:r>
              <w:rPr>
                <w:b/>
                <w:color w:val="000000" w:themeColor="text1"/>
                <w:sz w:val="24"/>
                <w:szCs w:val="21"/>
                <w:lang w:bidi="ar"/>
                <w14:textFill>
                  <w14:solidFill>
                    <w14:schemeClr w14:val="tx1"/>
                  </w14:solidFill>
                </w14:textFill>
              </w:rPr>
              <w:t>表</w:t>
            </w:r>
            <w:r>
              <w:rPr>
                <w:rFonts w:hint="eastAsia"/>
                <w:b/>
                <w:color w:val="000000" w:themeColor="text1"/>
                <w:sz w:val="24"/>
                <w:szCs w:val="21"/>
                <w:lang w:bidi="ar"/>
                <w14:textFill>
                  <w14:solidFill>
                    <w14:schemeClr w14:val="tx1"/>
                  </w14:solidFill>
                </w14:textFill>
              </w:rPr>
              <w:t>3</w:t>
            </w:r>
            <w:r>
              <w:rPr>
                <w:b/>
                <w:color w:val="000000" w:themeColor="text1"/>
                <w:sz w:val="24"/>
                <w:szCs w:val="21"/>
                <w:lang w:bidi="ar"/>
                <w14:textFill>
                  <w14:solidFill>
                    <w14:schemeClr w14:val="tx1"/>
                  </w14:solidFill>
                </w14:textFill>
              </w:rPr>
              <w:t>-</w:t>
            </w:r>
            <w:r>
              <w:rPr>
                <w:rFonts w:hint="eastAsia"/>
                <w:b/>
                <w:color w:val="000000" w:themeColor="text1"/>
                <w:sz w:val="24"/>
                <w:szCs w:val="21"/>
                <w:lang w:bidi="ar"/>
                <w14:textFill>
                  <w14:solidFill>
                    <w14:schemeClr w14:val="tx1"/>
                  </w14:solidFill>
                </w14:textFill>
              </w:rPr>
              <w:t>10</w:t>
            </w:r>
            <w:r>
              <w:rPr>
                <w:b/>
                <w:color w:val="000000" w:themeColor="text1"/>
                <w:sz w:val="24"/>
                <w:szCs w:val="21"/>
                <w:lang w:bidi="ar"/>
                <w14:textFill>
                  <w14:solidFill>
                    <w14:schemeClr w14:val="tx1"/>
                  </w14:solidFill>
                </w14:textFill>
              </w:rPr>
              <w:t xml:space="preserve"> 废水排放标准 </w:t>
            </w:r>
            <w:r>
              <w:rPr>
                <w:b/>
                <w:color w:val="000000" w:themeColor="text1"/>
                <w:sz w:val="24"/>
                <w:lang w:bidi="ar"/>
                <w14:textFill>
                  <w14:solidFill>
                    <w14:schemeClr w14:val="tx1"/>
                  </w14:solidFill>
                </w14:textFill>
              </w:rPr>
              <w:t>（单位：mg/L，除pH外）</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5"/>
              <w:gridCol w:w="1171"/>
              <w:gridCol w:w="2069"/>
              <w:gridCol w:w="1435"/>
              <w:gridCol w:w="2189"/>
              <w:gridCol w:w="1321"/>
            </w:tblGrid>
            <w:tr w14:paraId="367E13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5" w:type="pct"/>
                  <w:vAlign w:val="center"/>
                </w:tcPr>
                <w:p w14:paraId="1F447EA7">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序号</w:t>
                  </w:r>
                </w:p>
              </w:tc>
              <w:tc>
                <w:tcPr>
                  <w:tcW w:w="674" w:type="pct"/>
                  <w:vAlign w:val="center"/>
                </w:tcPr>
                <w:p w14:paraId="21BB8ED5">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污染物</w:t>
                  </w:r>
                </w:p>
              </w:tc>
              <w:tc>
                <w:tcPr>
                  <w:tcW w:w="1191" w:type="pct"/>
                  <w:vAlign w:val="center"/>
                </w:tcPr>
                <w:p w14:paraId="336343C4">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排放标准</w:t>
                  </w:r>
                </w:p>
              </w:tc>
              <w:tc>
                <w:tcPr>
                  <w:tcW w:w="826" w:type="pct"/>
                  <w:vAlign w:val="center"/>
                </w:tcPr>
                <w:p w14:paraId="022B8D80">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排放浓度</w:t>
                  </w:r>
                </w:p>
              </w:tc>
              <w:tc>
                <w:tcPr>
                  <w:tcW w:w="1260" w:type="pct"/>
                  <w:vAlign w:val="center"/>
                </w:tcPr>
                <w:p w14:paraId="5BE00C10">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排放标准</w:t>
                  </w:r>
                </w:p>
              </w:tc>
              <w:tc>
                <w:tcPr>
                  <w:tcW w:w="760" w:type="pct"/>
                  <w:vAlign w:val="center"/>
                </w:tcPr>
                <w:p w14:paraId="3D3BB43B">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污水处理厂排放浓度</w:t>
                  </w:r>
                </w:p>
              </w:tc>
            </w:tr>
            <w:tr w14:paraId="3B04C7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5" w:type="pct"/>
                  <w:vAlign w:val="center"/>
                </w:tcPr>
                <w:p w14:paraId="1DCF326F">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674" w:type="pct"/>
                  <w:vAlign w:val="center"/>
                </w:tcPr>
                <w:p w14:paraId="30CE7CCE">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pH</w:t>
                  </w:r>
                </w:p>
              </w:tc>
              <w:tc>
                <w:tcPr>
                  <w:tcW w:w="1191" w:type="pct"/>
                  <w:vMerge w:val="restart"/>
                  <w:vAlign w:val="center"/>
                </w:tcPr>
                <w:p w14:paraId="7C96B250">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固镇县污水处理厂接管标准和</w:t>
                  </w:r>
                </w:p>
              </w:tc>
              <w:tc>
                <w:tcPr>
                  <w:tcW w:w="826" w:type="pct"/>
                  <w:vAlign w:val="center"/>
                </w:tcPr>
                <w:p w14:paraId="3C43B234">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6～9</w:t>
                  </w:r>
                </w:p>
              </w:tc>
              <w:tc>
                <w:tcPr>
                  <w:tcW w:w="1260" w:type="pct"/>
                  <w:vMerge w:val="restart"/>
                  <w:vAlign w:val="center"/>
                </w:tcPr>
                <w:p w14:paraId="0C185A92">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《城镇污水处理厂污染物排放标准》（GB18918-2002）一级A标准</w:t>
                  </w:r>
                </w:p>
              </w:tc>
              <w:tc>
                <w:tcPr>
                  <w:tcW w:w="760" w:type="pct"/>
                  <w:vAlign w:val="center"/>
                </w:tcPr>
                <w:p w14:paraId="1D57592D">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6～9</w:t>
                  </w:r>
                </w:p>
              </w:tc>
            </w:tr>
            <w:tr w14:paraId="37B2C0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5" w:type="pct"/>
                  <w:vAlign w:val="center"/>
                </w:tcPr>
                <w:p w14:paraId="41635D4A">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674" w:type="pct"/>
                  <w:vAlign w:val="center"/>
                </w:tcPr>
                <w:p w14:paraId="1BFEBEAB">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COD</w:t>
                  </w:r>
                </w:p>
              </w:tc>
              <w:tc>
                <w:tcPr>
                  <w:tcW w:w="1191" w:type="pct"/>
                  <w:vMerge w:val="continue"/>
                  <w:vAlign w:val="center"/>
                </w:tcPr>
                <w:p w14:paraId="16E57759">
                  <w:pPr>
                    <w:widowControl/>
                    <w:jc w:val="center"/>
                    <w:rPr>
                      <w:rFonts w:ascii="宋体" w:hAnsi="宋体" w:cs="宋体"/>
                      <w:color w:val="000000" w:themeColor="text1"/>
                      <w:szCs w:val="21"/>
                      <w14:textFill>
                        <w14:solidFill>
                          <w14:schemeClr w14:val="tx1"/>
                        </w14:solidFill>
                      </w14:textFill>
                    </w:rPr>
                  </w:pPr>
                </w:p>
              </w:tc>
              <w:tc>
                <w:tcPr>
                  <w:tcW w:w="826" w:type="pct"/>
                  <w:vAlign w:val="center"/>
                </w:tcPr>
                <w:p w14:paraId="7C2040E8">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300</w:t>
                  </w:r>
                </w:p>
              </w:tc>
              <w:tc>
                <w:tcPr>
                  <w:tcW w:w="1260" w:type="pct"/>
                  <w:vMerge w:val="continue"/>
                  <w:vAlign w:val="center"/>
                </w:tcPr>
                <w:p w14:paraId="7C671198">
                  <w:pPr>
                    <w:widowControl/>
                    <w:jc w:val="center"/>
                    <w:rPr>
                      <w:rFonts w:ascii="宋体" w:hAnsi="宋体" w:cs="宋体"/>
                      <w:color w:val="000000" w:themeColor="text1"/>
                      <w:szCs w:val="21"/>
                      <w14:textFill>
                        <w14:solidFill>
                          <w14:schemeClr w14:val="tx1"/>
                        </w14:solidFill>
                      </w14:textFill>
                    </w:rPr>
                  </w:pPr>
                </w:p>
              </w:tc>
              <w:tc>
                <w:tcPr>
                  <w:tcW w:w="760" w:type="pct"/>
                  <w:vAlign w:val="center"/>
                </w:tcPr>
                <w:p w14:paraId="191AE43D">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≤50</w:t>
                  </w:r>
                </w:p>
              </w:tc>
            </w:tr>
            <w:tr w14:paraId="407364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5" w:type="pct"/>
                  <w:vAlign w:val="center"/>
                </w:tcPr>
                <w:p w14:paraId="5F9FB928">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674" w:type="pct"/>
                  <w:vAlign w:val="center"/>
                </w:tcPr>
                <w:p w14:paraId="0D8F1FCE">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SS</w:t>
                  </w:r>
                </w:p>
              </w:tc>
              <w:tc>
                <w:tcPr>
                  <w:tcW w:w="1191" w:type="pct"/>
                  <w:vMerge w:val="continue"/>
                  <w:vAlign w:val="center"/>
                </w:tcPr>
                <w:p w14:paraId="46C3E75F">
                  <w:pPr>
                    <w:widowControl/>
                    <w:jc w:val="center"/>
                    <w:rPr>
                      <w:rFonts w:ascii="宋体" w:hAnsi="宋体" w:cs="宋体"/>
                      <w:color w:val="000000" w:themeColor="text1"/>
                      <w:szCs w:val="21"/>
                      <w14:textFill>
                        <w14:solidFill>
                          <w14:schemeClr w14:val="tx1"/>
                        </w14:solidFill>
                      </w14:textFill>
                    </w:rPr>
                  </w:pPr>
                </w:p>
              </w:tc>
              <w:tc>
                <w:tcPr>
                  <w:tcW w:w="826" w:type="pct"/>
                  <w:vAlign w:val="center"/>
                </w:tcPr>
                <w:p w14:paraId="648FF091">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180</w:t>
                  </w:r>
                </w:p>
              </w:tc>
              <w:tc>
                <w:tcPr>
                  <w:tcW w:w="1260" w:type="pct"/>
                  <w:vMerge w:val="continue"/>
                  <w:vAlign w:val="center"/>
                </w:tcPr>
                <w:p w14:paraId="010CC857">
                  <w:pPr>
                    <w:widowControl/>
                    <w:jc w:val="center"/>
                    <w:rPr>
                      <w:rFonts w:ascii="宋体" w:hAnsi="宋体" w:cs="宋体"/>
                      <w:color w:val="000000" w:themeColor="text1"/>
                      <w:szCs w:val="21"/>
                      <w14:textFill>
                        <w14:solidFill>
                          <w14:schemeClr w14:val="tx1"/>
                        </w14:solidFill>
                      </w14:textFill>
                    </w:rPr>
                  </w:pPr>
                </w:p>
              </w:tc>
              <w:tc>
                <w:tcPr>
                  <w:tcW w:w="760" w:type="pct"/>
                  <w:vAlign w:val="center"/>
                </w:tcPr>
                <w:p w14:paraId="626E6707">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p>
              </w:tc>
            </w:tr>
            <w:tr w14:paraId="32E53D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5" w:type="pct"/>
                  <w:vAlign w:val="center"/>
                </w:tcPr>
                <w:p w14:paraId="25F437FC">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674" w:type="pct"/>
                  <w:vAlign w:val="center"/>
                </w:tcPr>
                <w:p w14:paraId="25148E7F">
                  <w:pPr>
                    <w:snapToGrid w:val="0"/>
                    <w:jc w:val="center"/>
                    <w:rPr>
                      <w:rFonts w:ascii="宋体" w:hAnsi="宋体" w:cs="宋体"/>
                      <w:color w:val="000000" w:themeColor="text1"/>
                      <w:szCs w:val="21"/>
                      <w:vertAlign w:val="subscript"/>
                      <w14:textFill>
                        <w14:solidFill>
                          <w14:schemeClr w14:val="tx1"/>
                        </w14:solidFill>
                      </w14:textFill>
                    </w:rPr>
                  </w:pPr>
                  <w:r>
                    <w:rPr>
                      <w:rFonts w:hint="eastAsia" w:ascii="宋体" w:hAnsi="宋体" w:cs="宋体"/>
                      <w:color w:val="000000" w:themeColor="text1"/>
                      <w:szCs w:val="21"/>
                      <w14:textFill>
                        <w14:solidFill>
                          <w14:schemeClr w14:val="tx1"/>
                        </w14:solidFill>
                      </w14:textFill>
                    </w:rPr>
                    <w:t>NH</w:t>
                  </w:r>
                  <w:r>
                    <w:rPr>
                      <w:rFonts w:hint="eastAsia" w:ascii="宋体" w:hAnsi="宋体" w:cs="宋体"/>
                      <w:color w:val="000000" w:themeColor="text1"/>
                      <w:szCs w:val="21"/>
                      <w:vertAlign w:val="subscript"/>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-N</w:t>
                  </w:r>
                </w:p>
              </w:tc>
              <w:tc>
                <w:tcPr>
                  <w:tcW w:w="1191" w:type="pct"/>
                  <w:vMerge w:val="continue"/>
                  <w:vAlign w:val="center"/>
                </w:tcPr>
                <w:p w14:paraId="20AB70B6">
                  <w:pPr>
                    <w:widowControl/>
                    <w:jc w:val="center"/>
                    <w:rPr>
                      <w:rFonts w:ascii="宋体" w:hAnsi="宋体" w:cs="宋体"/>
                      <w:color w:val="000000" w:themeColor="text1"/>
                      <w:szCs w:val="21"/>
                      <w14:textFill>
                        <w14:solidFill>
                          <w14:schemeClr w14:val="tx1"/>
                        </w14:solidFill>
                      </w14:textFill>
                    </w:rPr>
                  </w:pPr>
                </w:p>
              </w:tc>
              <w:tc>
                <w:tcPr>
                  <w:tcW w:w="826" w:type="pct"/>
                  <w:vAlign w:val="center"/>
                </w:tcPr>
                <w:p w14:paraId="6C0FB009">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30</w:t>
                  </w:r>
                </w:p>
              </w:tc>
              <w:tc>
                <w:tcPr>
                  <w:tcW w:w="1260" w:type="pct"/>
                  <w:vMerge w:val="continue"/>
                  <w:vAlign w:val="center"/>
                </w:tcPr>
                <w:p w14:paraId="30E132C5">
                  <w:pPr>
                    <w:widowControl/>
                    <w:jc w:val="center"/>
                    <w:rPr>
                      <w:rFonts w:ascii="宋体" w:hAnsi="宋体" w:cs="宋体"/>
                      <w:color w:val="000000" w:themeColor="text1"/>
                      <w:szCs w:val="21"/>
                      <w14:textFill>
                        <w14:solidFill>
                          <w14:schemeClr w14:val="tx1"/>
                        </w14:solidFill>
                      </w14:textFill>
                    </w:rPr>
                  </w:pPr>
                </w:p>
              </w:tc>
              <w:tc>
                <w:tcPr>
                  <w:tcW w:w="760" w:type="pct"/>
                  <w:vAlign w:val="center"/>
                </w:tcPr>
                <w:p w14:paraId="4A657FD0">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≤5.0</w:t>
                  </w:r>
                </w:p>
              </w:tc>
            </w:tr>
            <w:tr w14:paraId="128B08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5" w:type="pct"/>
                  <w:vAlign w:val="center"/>
                </w:tcPr>
                <w:p w14:paraId="1F624587">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674" w:type="pct"/>
                  <w:vAlign w:val="center"/>
                </w:tcPr>
                <w:p w14:paraId="181210AE">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BOD</w:t>
                  </w:r>
                  <w:r>
                    <w:rPr>
                      <w:rFonts w:hint="eastAsia" w:ascii="宋体" w:hAnsi="宋体" w:cs="宋体"/>
                      <w:color w:val="000000" w:themeColor="text1"/>
                      <w:szCs w:val="21"/>
                      <w:vertAlign w:val="subscript"/>
                      <w14:textFill>
                        <w14:solidFill>
                          <w14:schemeClr w14:val="tx1"/>
                        </w14:solidFill>
                      </w14:textFill>
                    </w:rPr>
                    <w:t>5</w:t>
                  </w:r>
                </w:p>
              </w:tc>
              <w:tc>
                <w:tcPr>
                  <w:tcW w:w="1191" w:type="pct"/>
                  <w:vMerge w:val="continue"/>
                  <w:vAlign w:val="center"/>
                </w:tcPr>
                <w:p w14:paraId="0816A560">
                  <w:pPr>
                    <w:widowControl/>
                    <w:jc w:val="center"/>
                    <w:rPr>
                      <w:rFonts w:ascii="宋体" w:hAnsi="宋体" w:cs="宋体"/>
                      <w:color w:val="000000" w:themeColor="text1"/>
                      <w:szCs w:val="21"/>
                      <w14:textFill>
                        <w14:solidFill>
                          <w14:schemeClr w14:val="tx1"/>
                        </w14:solidFill>
                      </w14:textFill>
                    </w:rPr>
                  </w:pPr>
                </w:p>
              </w:tc>
              <w:tc>
                <w:tcPr>
                  <w:tcW w:w="826" w:type="pct"/>
                  <w:vAlign w:val="center"/>
                </w:tcPr>
                <w:p w14:paraId="67D31642">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150</w:t>
                  </w:r>
                </w:p>
              </w:tc>
              <w:tc>
                <w:tcPr>
                  <w:tcW w:w="1260" w:type="pct"/>
                  <w:vMerge w:val="continue"/>
                  <w:vAlign w:val="center"/>
                </w:tcPr>
                <w:p w14:paraId="2809DFA2">
                  <w:pPr>
                    <w:widowControl/>
                    <w:jc w:val="center"/>
                    <w:rPr>
                      <w:rFonts w:ascii="宋体" w:hAnsi="宋体" w:cs="宋体"/>
                      <w:color w:val="000000" w:themeColor="text1"/>
                      <w:szCs w:val="21"/>
                      <w14:textFill>
                        <w14:solidFill>
                          <w14:schemeClr w14:val="tx1"/>
                        </w14:solidFill>
                      </w14:textFill>
                    </w:rPr>
                  </w:pPr>
                </w:p>
              </w:tc>
              <w:tc>
                <w:tcPr>
                  <w:tcW w:w="760" w:type="pct"/>
                  <w:vAlign w:val="center"/>
                </w:tcPr>
                <w:p w14:paraId="1DD514C8">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p>
              </w:tc>
            </w:tr>
            <w:tr w14:paraId="7529A4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5" w:type="pct"/>
                  <w:vAlign w:val="center"/>
                </w:tcPr>
                <w:p w14:paraId="7AD9EF9A">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674" w:type="pct"/>
                  <w:vAlign w:val="center"/>
                </w:tcPr>
                <w:p w14:paraId="15C9DDB6">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石油类</w:t>
                  </w:r>
                </w:p>
              </w:tc>
              <w:tc>
                <w:tcPr>
                  <w:tcW w:w="1191" w:type="pct"/>
                  <w:vAlign w:val="center"/>
                </w:tcPr>
                <w:p w14:paraId="7C4B3ED8">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《污水综合排放标准》（GB8978-1996）</w:t>
                  </w:r>
                </w:p>
              </w:tc>
              <w:tc>
                <w:tcPr>
                  <w:tcW w:w="826" w:type="pct"/>
                  <w:vAlign w:val="center"/>
                </w:tcPr>
                <w:p w14:paraId="6DB6D95B">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20</w:t>
                  </w:r>
                </w:p>
              </w:tc>
              <w:tc>
                <w:tcPr>
                  <w:tcW w:w="1260" w:type="pct"/>
                  <w:vMerge w:val="continue"/>
                  <w:vAlign w:val="center"/>
                </w:tcPr>
                <w:p w14:paraId="1ABD5FB0">
                  <w:pPr>
                    <w:widowControl/>
                    <w:jc w:val="center"/>
                    <w:rPr>
                      <w:rFonts w:ascii="宋体" w:hAnsi="宋体" w:cs="宋体"/>
                      <w:color w:val="000000" w:themeColor="text1"/>
                      <w:szCs w:val="21"/>
                      <w14:textFill>
                        <w14:solidFill>
                          <w14:schemeClr w14:val="tx1"/>
                        </w14:solidFill>
                      </w14:textFill>
                    </w:rPr>
                  </w:pPr>
                </w:p>
              </w:tc>
              <w:tc>
                <w:tcPr>
                  <w:tcW w:w="760" w:type="pct"/>
                  <w:vAlign w:val="center"/>
                </w:tcPr>
                <w:p w14:paraId="6E0C9E81">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r>
          </w:tbl>
          <w:p w14:paraId="598D9471">
            <w:pPr>
              <w:spacing w:line="500" w:lineRule="atLeas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运营期</w:t>
            </w:r>
            <w:r>
              <w:rPr>
                <w:rFonts w:hint="eastAsia"/>
                <w:color w:val="000000" w:themeColor="text1"/>
                <w:sz w:val="24"/>
                <w14:textFill>
                  <w14:solidFill>
                    <w14:schemeClr w14:val="tx1"/>
                  </w14:solidFill>
                </w14:textFill>
              </w:rPr>
              <w:t>西、东、北三侧</w:t>
            </w:r>
            <w:r>
              <w:rPr>
                <w:color w:val="000000" w:themeColor="text1"/>
                <w:sz w:val="24"/>
                <w14:textFill>
                  <w14:solidFill>
                    <w14:schemeClr w14:val="tx1"/>
                  </w14:solidFill>
                </w14:textFill>
              </w:rPr>
              <w:t>执行《工业企业厂界环境噪声排放标准》（GB12348-2008）中的</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类标准</w:t>
            </w:r>
            <w:r>
              <w:rPr>
                <w:rFonts w:hint="eastAsia"/>
                <w:color w:val="000000" w:themeColor="text1"/>
                <w:sz w:val="24"/>
                <w14:textFill>
                  <w14:solidFill>
                    <w14:schemeClr w14:val="tx1"/>
                  </w14:solidFill>
                </w14:textFill>
              </w:rPr>
              <w:t>，南侧执行</w:t>
            </w:r>
            <w:r>
              <w:rPr>
                <w:color w:val="000000" w:themeColor="text1"/>
                <w:sz w:val="24"/>
                <w14:textFill>
                  <w14:solidFill>
                    <w14:schemeClr w14:val="tx1"/>
                  </w14:solidFill>
                </w14:textFill>
              </w:rPr>
              <w:t>《工业企业厂界环境噪声排放标准》（GB12348-2008）中的</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类标准</w:t>
            </w:r>
            <w:r>
              <w:rPr>
                <w:rFonts w:hint="eastAsia"/>
                <w:color w:val="000000" w:themeColor="text1"/>
                <w:sz w:val="24"/>
                <w14:textFill>
                  <w14:solidFill>
                    <w14:schemeClr w14:val="tx1"/>
                  </w14:solidFill>
                </w14:textFill>
              </w:rPr>
              <w:t>；</w:t>
            </w:r>
          </w:p>
          <w:p w14:paraId="27849163">
            <w:pPr>
              <w:spacing w:line="500" w:lineRule="atLeast"/>
              <w:ind w:firstLine="520"/>
              <w:jc w:val="center"/>
              <w:rPr>
                <w:color w:val="000000" w:themeColor="text1"/>
                <w:sz w:val="24"/>
                <w14:textFill>
                  <w14:solidFill>
                    <w14:schemeClr w14:val="tx1"/>
                  </w14:solidFill>
                </w14:textFill>
              </w:rPr>
            </w:pPr>
            <w:r>
              <w:rPr>
                <w:b/>
                <w:color w:val="000000" w:themeColor="text1"/>
                <w:sz w:val="24"/>
                <w14:textFill>
                  <w14:solidFill>
                    <w14:schemeClr w14:val="tx1"/>
                  </w14:solidFill>
                </w14:textFill>
              </w:rPr>
              <w:t>表3-</w:t>
            </w:r>
            <w:r>
              <w:rPr>
                <w:rFonts w:hint="eastAsia"/>
                <w:b/>
                <w:color w:val="000000" w:themeColor="text1"/>
                <w:sz w:val="24"/>
                <w14:textFill>
                  <w14:solidFill>
                    <w14:schemeClr w14:val="tx1"/>
                  </w14:solidFill>
                </w14:textFill>
              </w:rPr>
              <w:t>11</w:t>
            </w:r>
            <w:r>
              <w:rPr>
                <w:b/>
                <w:color w:val="000000" w:themeColor="text1"/>
                <w:sz w:val="24"/>
                <w14:textFill>
                  <w14:solidFill>
                    <w14:schemeClr w14:val="tx1"/>
                  </w14:solidFill>
                </w14:textFill>
              </w:rPr>
              <w:t xml:space="preserve">  运营期噪声排放标准</w:t>
            </w:r>
            <w:r>
              <w:rPr>
                <w:rFonts w:hint="eastAsia"/>
                <w:b/>
                <w:color w:val="000000" w:themeColor="text1"/>
                <w:sz w:val="24"/>
                <w14:textFill>
                  <w14:solidFill>
                    <w14:schemeClr w14:val="tx1"/>
                  </w14:solidFill>
                </w14:textFill>
              </w:rPr>
              <w:t xml:space="preserve"> </w:t>
            </w:r>
            <w:r>
              <w:rPr>
                <w:b/>
                <w:color w:val="000000" w:themeColor="text1"/>
                <w:sz w:val="24"/>
                <w14:textFill>
                  <w14:solidFill>
                    <w14:schemeClr w14:val="tx1"/>
                  </w14:solidFill>
                </w14:textFill>
              </w:rPr>
              <w:t xml:space="preserve"> </w:t>
            </w:r>
            <w:r>
              <w:rPr>
                <w:color w:val="000000" w:themeColor="text1"/>
                <w:sz w:val="18"/>
                <w:szCs w:val="18"/>
                <w14:textFill>
                  <w14:solidFill>
                    <w14:schemeClr w14:val="tx1"/>
                  </w14:solidFill>
                </w14:textFill>
              </w:rPr>
              <w:t>等效声级：dB(A)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5"/>
              <w:gridCol w:w="1753"/>
              <w:gridCol w:w="1817"/>
              <w:gridCol w:w="2645"/>
            </w:tblGrid>
            <w:tr w14:paraId="6979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28" w:type="pct"/>
                  <w:vAlign w:val="center"/>
                </w:tcPr>
                <w:p w14:paraId="23CA50BE">
                  <w:pPr>
                    <w:ind w:left="420" w:hanging="420" w:hangingChars="20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类别</w:t>
                  </w:r>
                </w:p>
              </w:tc>
              <w:tc>
                <w:tcPr>
                  <w:tcW w:w="1007" w:type="pct"/>
                  <w:vAlign w:val="center"/>
                </w:tcPr>
                <w:p w14:paraId="23885155">
                  <w:pPr>
                    <w:ind w:left="420" w:hanging="420" w:hangingChars="20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1044" w:type="pct"/>
                  <w:vAlign w:val="center"/>
                </w:tcPr>
                <w:p w14:paraId="3FA4E838">
                  <w:pPr>
                    <w:ind w:left="420" w:hanging="420" w:hangingChars="20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c>
                <w:tcPr>
                  <w:tcW w:w="1520" w:type="pct"/>
                  <w:vAlign w:val="center"/>
                </w:tcPr>
                <w:p w14:paraId="346D8AFB">
                  <w:pPr>
                    <w:ind w:left="420" w:hanging="420" w:hangingChars="20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标准来源</w:t>
                  </w:r>
                </w:p>
              </w:tc>
            </w:tr>
            <w:tr w14:paraId="3726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28" w:type="pct"/>
                  <w:vAlign w:val="center"/>
                </w:tcPr>
                <w:p w14:paraId="758F13C7">
                  <w:pPr>
                    <w:ind w:left="420" w:hanging="420" w:hanging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类</w:t>
                  </w:r>
                </w:p>
              </w:tc>
              <w:tc>
                <w:tcPr>
                  <w:tcW w:w="1007" w:type="pct"/>
                  <w:vAlign w:val="center"/>
                </w:tcPr>
                <w:p w14:paraId="0CF69F80">
                  <w:pPr>
                    <w:ind w:left="420" w:hanging="420" w:hangingChars="20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0</w:t>
                  </w:r>
                </w:p>
              </w:tc>
              <w:tc>
                <w:tcPr>
                  <w:tcW w:w="1044" w:type="pct"/>
                  <w:vAlign w:val="center"/>
                </w:tcPr>
                <w:p w14:paraId="6C519BAF">
                  <w:pPr>
                    <w:ind w:left="420" w:hanging="420" w:hangingChars="20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0</w:t>
                  </w:r>
                </w:p>
              </w:tc>
              <w:tc>
                <w:tcPr>
                  <w:tcW w:w="1520" w:type="pct"/>
                  <w:vMerge w:val="restart"/>
                  <w:vAlign w:val="center"/>
                </w:tcPr>
                <w:p w14:paraId="11CE6C88">
                  <w:pPr>
                    <w:ind w:left="420" w:hanging="420" w:hangingChars="200"/>
                    <w:jc w:val="center"/>
                    <w:rPr>
                      <w:color w:val="000000" w:themeColor="text1"/>
                      <w:szCs w:val="21"/>
                      <w14:textFill>
                        <w14:solidFill>
                          <w14:schemeClr w14:val="tx1"/>
                        </w14:solidFill>
                      </w14:textFill>
                    </w:rPr>
                  </w:pPr>
                  <w:r>
                    <w:rPr>
                      <w:color w:val="000000" w:themeColor="text1"/>
                      <w:kern w:val="24"/>
                      <w:szCs w:val="21"/>
                      <w14:textFill>
                        <w14:solidFill>
                          <w14:schemeClr w14:val="tx1"/>
                        </w14:solidFill>
                      </w14:textFill>
                    </w:rPr>
                    <w:t>GB12348-2008</w:t>
                  </w:r>
                </w:p>
              </w:tc>
            </w:tr>
            <w:tr w14:paraId="2AC0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28" w:type="pct"/>
                  <w:vAlign w:val="center"/>
                </w:tcPr>
                <w:p w14:paraId="55C5AB15">
                  <w:pPr>
                    <w:ind w:left="420" w:hanging="420" w:hanging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4类</w:t>
                  </w:r>
                </w:p>
              </w:tc>
              <w:tc>
                <w:tcPr>
                  <w:tcW w:w="1007" w:type="pct"/>
                  <w:vAlign w:val="center"/>
                </w:tcPr>
                <w:p w14:paraId="1B4116D4">
                  <w:pPr>
                    <w:ind w:left="420" w:hanging="420" w:hanging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1044" w:type="pct"/>
                  <w:vAlign w:val="center"/>
                </w:tcPr>
                <w:p w14:paraId="2B158075">
                  <w:pPr>
                    <w:ind w:left="420" w:hanging="420" w:hanging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w:t>
                  </w:r>
                </w:p>
              </w:tc>
              <w:tc>
                <w:tcPr>
                  <w:tcW w:w="1520" w:type="pct"/>
                  <w:vMerge w:val="continue"/>
                  <w:vAlign w:val="center"/>
                </w:tcPr>
                <w:p w14:paraId="72EDE03E">
                  <w:pPr>
                    <w:ind w:left="420" w:hanging="420" w:hangingChars="200"/>
                    <w:jc w:val="center"/>
                    <w:rPr>
                      <w:color w:val="000000" w:themeColor="text1"/>
                      <w:kern w:val="24"/>
                      <w:szCs w:val="21"/>
                      <w14:textFill>
                        <w14:solidFill>
                          <w14:schemeClr w14:val="tx1"/>
                        </w14:solidFill>
                      </w14:textFill>
                    </w:rPr>
                  </w:pPr>
                </w:p>
              </w:tc>
            </w:tr>
          </w:tbl>
          <w:p w14:paraId="3AAAA72E">
            <w:pPr>
              <w:spacing w:line="500" w:lineRule="exact"/>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w:t>
            </w:r>
            <w:r>
              <w:rPr>
                <w:rFonts w:hint="eastAsia"/>
                <w:snapToGrid w:val="0"/>
                <w:color w:val="000000" w:themeColor="text1"/>
                <w:kern w:val="0"/>
                <w:sz w:val="24"/>
                <w14:textFill>
                  <w14:solidFill>
                    <w14:schemeClr w14:val="tx1"/>
                  </w14:solidFill>
                </w14:textFill>
              </w:rPr>
              <w:t>一般工业固体废物执行《安徽省实施&lt;中华人民共和国固体废物污染环境防治法&gt;办法》规定；</w:t>
            </w:r>
            <w:r>
              <w:rPr>
                <w:color w:val="000000" w:themeColor="text1"/>
                <w:kern w:val="0"/>
                <w:sz w:val="24"/>
                <w14:textFill>
                  <w14:solidFill>
                    <w14:schemeClr w14:val="tx1"/>
                  </w14:solidFill>
                </w14:textFill>
              </w:rPr>
              <w:t>危险</w:t>
            </w:r>
            <w:r>
              <w:rPr>
                <w:rFonts w:hint="eastAsia"/>
                <w:color w:val="000000" w:themeColor="text1"/>
                <w:kern w:val="0"/>
                <w:sz w:val="24"/>
                <w14:textFill>
                  <w14:solidFill>
                    <w14:schemeClr w14:val="tx1"/>
                  </w14:solidFill>
                </w14:textFill>
              </w:rPr>
              <w:t>废物</w:t>
            </w:r>
            <w:r>
              <w:rPr>
                <w:color w:val="000000" w:themeColor="text1"/>
                <w:kern w:val="0"/>
                <w:sz w:val="24"/>
                <w14:textFill>
                  <w14:solidFill>
                    <w14:schemeClr w14:val="tx1"/>
                  </w14:solidFill>
                </w14:textFill>
              </w:rPr>
              <w:t>执行《危险废物贮存污染控制标准》（GB18597-20</w:t>
            </w:r>
            <w:r>
              <w:rPr>
                <w:rFonts w:hint="eastAsia"/>
                <w:color w:val="000000" w:themeColor="text1"/>
                <w:kern w:val="0"/>
                <w:sz w:val="24"/>
                <w14:textFill>
                  <w14:solidFill>
                    <w14:schemeClr w14:val="tx1"/>
                  </w14:solidFill>
                </w14:textFill>
              </w:rPr>
              <w:t>23</w:t>
            </w:r>
            <w:r>
              <w:rPr>
                <w:color w:val="000000" w:themeColor="text1"/>
                <w:kern w:val="0"/>
                <w:sz w:val="24"/>
                <w14:textFill>
                  <w14:solidFill>
                    <w14:schemeClr w14:val="tx1"/>
                  </w14:solidFill>
                </w14:textFill>
              </w:rPr>
              <w:t>）中相关要求。</w:t>
            </w:r>
          </w:p>
          <w:p w14:paraId="3FDC6162">
            <w:pPr>
              <w:spacing w:line="500" w:lineRule="exact"/>
              <w:ind w:firstLine="480" w:firstLineChars="200"/>
              <w:rPr>
                <w:color w:val="000000" w:themeColor="text1"/>
                <w:kern w:val="0"/>
                <w:sz w:val="24"/>
                <w14:textFill>
                  <w14:solidFill>
                    <w14:schemeClr w14:val="tx1"/>
                  </w14:solidFill>
                </w14:textFill>
              </w:rPr>
            </w:pPr>
          </w:p>
          <w:p w14:paraId="0490C5FF">
            <w:pPr>
              <w:spacing w:line="500" w:lineRule="exact"/>
              <w:ind w:firstLine="480" w:firstLineChars="200"/>
              <w:rPr>
                <w:color w:val="000000" w:themeColor="text1"/>
                <w:kern w:val="0"/>
                <w:sz w:val="24"/>
                <w14:textFill>
                  <w14:solidFill>
                    <w14:schemeClr w14:val="tx1"/>
                  </w14:solidFill>
                </w14:textFill>
              </w:rPr>
            </w:pPr>
          </w:p>
          <w:p w14:paraId="41086F80">
            <w:pPr>
              <w:spacing w:line="500" w:lineRule="exact"/>
              <w:ind w:firstLine="480" w:firstLineChars="200"/>
              <w:rPr>
                <w:color w:val="000000" w:themeColor="text1"/>
                <w:kern w:val="0"/>
                <w:sz w:val="24"/>
                <w14:textFill>
                  <w14:solidFill>
                    <w14:schemeClr w14:val="tx1"/>
                  </w14:solidFill>
                </w14:textFill>
              </w:rPr>
            </w:pPr>
          </w:p>
          <w:p w14:paraId="7BAA4D40">
            <w:pPr>
              <w:spacing w:line="500" w:lineRule="exact"/>
              <w:ind w:firstLine="480" w:firstLineChars="200"/>
              <w:rPr>
                <w:color w:val="000000" w:themeColor="text1"/>
                <w:kern w:val="0"/>
                <w:sz w:val="24"/>
                <w14:textFill>
                  <w14:solidFill>
                    <w14:schemeClr w14:val="tx1"/>
                  </w14:solidFill>
                </w14:textFill>
              </w:rPr>
            </w:pPr>
          </w:p>
          <w:p w14:paraId="4F628297">
            <w:pPr>
              <w:spacing w:line="500" w:lineRule="exact"/>
              <w:ind w:firstLine="480" w:firstLineChars="200"/>
              <w:rPr>
                <w:color w:val="000000" w:themeColor="text1"/>
                <w:kern w:val="0"/>
                <w:sz w:val="24"/>
                <w14:textFill>
                  <w14:solidFill>
                    <w14:schemeClr w14:val="tx1"/>
                  </w14:solidFill>
                </w14:textFill>
              </w:rPr>
            </w:pPr>
          </w:p>
          <w:p w14:paraId="1138BBE4">
            <w:pPr>
              <w:spacing w:line="500" w:lineRule="exact"/>
              <w:ind w:firstLine="480" w:firstLineChars="200"/>
              <w:rPr>
                <w:color w:val="000000" w:themeColor="text1"/>
                <w:kern w:val="0"/>
                <w:sz w:val="24"/>
                <w14:textFill>
                  <w14:solidFill>
                    <w14:schemeClr w14:val="tx1"/>
                  </w14:solidFill>
                </w14:textFill>
              </w:rPr>
            </w:pPr>
          </w:p>
          <w:p w14:paraId="488CD5EC">
            <w:pPr>
              <w:spacing w:line="500" w:lineRule="exact"/>
              <w:ind w:firstLine="480" w:firstLineChars="200"/>
              <w:rPr>
                <w:color w:val="000000" w:themeColor="text1"/>
                <w:kern w:val="0"/>
                <w:sz w:val="24"/>
                <w14:textFill>
                  <w14:solidFill>
                    <w14:schemeClr w14:val="tx1"/>
                  </w14:solidFill>
                </w14:textFill>
              </w:rPr>
            </w:pPr>
          </w:p>
          <w:p w14:paraId="5DF78C22">
            <w:pPr>
              <w:spacing w:line="500" w:lineRule="exact"/>
              <w:ind w:firstLine="480" w:firstLineChars="200"/>
              <w:rPr>
                <w:color w:val="000000" w:themeColor="text1"/>
                <w:kern w:val="0"/>
                <w:sz w:val="24"/>
                <w14:textFill>
                  <w14:solidFill>
                    <w14:schemeClr w14:val="tx1"/>
                  </w14:solidFill>
                </w14:textFill>
              </w:rPr>
            </w:pPr>
          </w:p>
          <w:p w14:paraId="7CC7E68A">
            <w:pPr>
              <w:spacing w:line="500" w:lineRule="exact"/>
              <w:ind w:firstLine="480" w:firstLineChars="200"/>
              <w:rPr>
                <w:color w:val="000000" w:themeColor="text1"/>
                <w:kern w:val="0"/>
                <w:sz w:val="24"/>
                <w14:textFill>
                  <w14:solidFill>
                    <w14:schemeClr w14:val="tx1"/>
                  </w14:solidFill>
                </w14:textFill>
              </w:rPr>
            </w:pPr>
          </w:p>
          <w:p w14:paraId="1BE43572">
            <w:pPr>
              <w:spacing w:line="500" w:lineRule="exact"/>
              <w:ind w:firstLine="480" w:firstLineChars="200"/>
              <w:rPr>
                <w:color w:val="000000" w:themeColor="text1"/>
                <w:kern w:val="0"/>
                <w:sz w:val="24"/>
                <w14:textFill>
                  <w14:solidFill>
                    <w14:schemeClr w14:val="tx1"/>
                  </w14:solidFill>
                </w14:textFill>
              </w:rPr>
            </w:pPr>
          </w:p>
          <w:p w14:paraId="1CE30CE4">
            <w:pPr>
              <w:spacing w:line="500" w:lineRule="exact"/>
              <w:ind w:firstLine="480" w:firstLineChars="200"/>
              <w:rPr>
                <w:color w:val="000000" w:themeColor="text1"/>
                <w:kern w:val="0"/>
                <w:sz w:val="24"/>
                <w14:textFill>
                  <w14:solidFill>
                    <w14:schemeClr w14:val="tx1"/>
                  </w14:solidFill>
                </w14:textFill>
              </w:rPr>
            </w:pPr>
          </w:p>
          <w:p w14:paraId="4D723C54">
            <w:pPr>
              <w:spacing w:line="500" w:lineRule="exact"/>
              <w:ind w:firstLine="480" w:firstLineChars="200"/>
              <w:rPr>
                <w:color w:val="000000" w:themeColor="text1"/>
                <w:kern w:val="0"/>
                <w:sz w:val="24"/>
                <w14:textFill>
                  <w14:solidFill>
                    <w14:schemeClr w14:val="tx1"/>
                  </w14:solidFill>
                </w14:textFill>
              </w:rPr>
            </w:pPr>
          </w:p>
          <w:p w14:paraId="32813084">
            <w:pPr>
              <w:spacing w:line="500" w:lineRule="exact"/>
              <w:ind w:firstLine="480" w:firstLineChars="200"/>
              <w:rPr>
                <w:color w:val="000000" w:themeColor="text1"/>
                <w:kern w:val="0"/>
                <w:sz w:val="24"/>
                <w14:textFill>
                  <w14:solidFill>
                    <w14:schemeClr w14:val="tx1"/>
                  </w14:solidFill>
                </w14:textFill>
              </w:rPr>
            </w:pPr>
          </w:p>
          <w:p w14:paraId="212F152B">
            <w:pPr>
              <w:spacing w:line="500" w:lineRule="exact"/>
              <w:ind w:firstLine="480" w:firstLineChars="200"/>
              <w:rPr>
                <w:color w:val="000000" w:themeColor="text1"/>
                <w:kern w:val="0"/>
                <w:sz w:val="24"/>
                <w14:textFill>
                  <w14:solidFill>
                    <w14:schemeClr w14:val="tx1"/>
                  </w14:solidFill>
                </w14:textFill>
              </w:rPr>
            </w:pPr>
          </w:p>
          <w:p w14:paraId="264BC49A">
            <w:pPr>
              <w:spacing w:line="500" w:lineRule="exact"/>
              <w:ind w:firstLine="480" w:firstLineChars="200"/>
              <w:rPr>
                <w:color w:val="000000" w:themeColor="text1"/>
                <w:kern w:val="0"/>
                <w:sz w:val="24"/>
                <w14:textFill>
                  <w14:solidFill>
                    <w14:schemeClr w14:val="tx1"/>
                  </w14:solidFill>
                </w14:textFill>
              </w:rPr>
            </w:pPr>
          </w:p>
          <w:p w14:paraId="43C20157">
            <w:pPr>
              <w:spacing w:line="500" w:lineRule="exact"/>
              <w:ind w:firstLine="480" w:firstLineChars="200"/>
              <w:rPr>
                <w:color w:val="000000" w:themeColor="text1"/>
                <w:kern w:val="0"/>
                <w:sz w:val="24"/>
                <w14:textFill>
                  <w14:solidFill>
                    <w14:schemeClr w14:val="tx1"/>
                  </w14:solidFill>
                </w14:textFill>
              </w:rPr>
            </w:pPr>
          </w:p>
          <w:p w14:paraId="04BA45B2">
            <w:pPr>
              <w:spacing w:line="500" w:lineRule="exact"/>
              <w:ind w:firstLine="480" w:firstLineChars="200"/>
              <w:rPr>
                <w:color w:val="000000" w:themeColor="text1"/>
                <w:kern w:val="0"/>
                <w:sz w:val="24"/>
                <w14:textFill>
                  <w14:solidFill>
                    <w14:schemeClr w14:val="tx1"/>
                  </w14:solidFill>
                </w14:textFill>
              </w:rPr>
            </w:pPr>
          </w:p>
          <w:p w14:paraId="79105E08">
            <w:pPr>
              <w:spacing w:line="500" w:lineRule="exact"/>
              <w:rPr>
                <w:color w:val="000000" w:themeColor="text1"/>
                <w:kern w:val="0"/>
                <w:sz w:val="24"/>
                <w14:textFill>
                  <w14:solidFill>
                    <w14:schemeClr w14:val="tx1"/>
                  </w14:solidFill>
                </w14:textFill>
              </w:rPr>
            </w:pPr>
          </w:p>
        </w:tc>
      </w:tr>
      <w:tr w14:paraId="4B445C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32" w:hRule="atLeast"/>
        </w:trPr>
        <w:tc>
          <w:tcPr>
            <w:tcW w:w="1081" w:type="dxa"/>
            <w:gridSpan w:val="2"/>
            <w:vAlign w:val="center"/>
          </w:tcPr>
          <w:p w14:paraId="4CFD7C18">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总量控制指标</w:t>
            </w:r>
          </w:p>
        </w:tc>
        <w:tc>
          <w:tcPr>
            <w:tcW w:w="8868" w:type="dxa"/>
            <w:vAlign w:val="center"/>
          </w:tcPr>
          <w:p w14:paraId="338E8D78">
            <w:pPr>
              <w:spacing w:line="500" w:lineRule="atLeast"/>
              <w:ind w:firstLine="480" w:firstLineChars="200"/>
              <w:rPr>
                <w:color w:val="000000" w:themeColor="text1"/>
                <w:kern w:val="28"/>
                <w:sz w:val="24"/>
                <w14:textFill>
                  <w14:solidFill>
                    <w14:schemeClr w14:val="tx1"/>
                  </w14:solidFill>
                </w14:textFill>
              </w:rPr>
            </w:pPr>
            <w:r>
              <w:rPr>
                <w:color w:val="000000" w:themeColor="text1"/>
                <w:kern w:val="28"/>
                <w:sz w:val="24"/>
                <w14:textFill>
                  <w14:solidFill>
                    <w14:schemeClr w14:val="tx1"/>
                  </w14:solidFill>
                </w14:textFill>
              </w:rPr>
              <w:t>总量污控制染物</w:t>
            </w:r>
            <w:r>
              <w:rPr>
                <w:rFonts w:hint="eastAsia"/>
                <w:color w:val="000000" w:themeColor="text1"/>
                <w:kern w:val="28"/>
                <w:sz w:val="24"/>
                <w14:textFill>
                  <w14:solidFill>
                    <w14:schemeClr w14:val="tx1"/>
                  </w14:solidFill>
                </w14:textFill>
              </w:rPr>
              <w:t>：</w:t>
            </w:r>
            <w:r>
              <w:rPr>
                <w:rFonts w:hint="eastAsia"/>
                <w:color w:val="000000" w:themeColor="text1"/>
                <w:sz w:val="24"/>
                <w14:textFill>
                  <w14:solidFill>
                    <w14:schemeClr w14:val="tx1"/>
                  </w14:solidFill>
                </w14:textFill>
              </w:rPr>
              <w:t>COD0.056t/a、氨氮0.0056t/a。</w:t>
            </w:r>
          </w:p>
          <w:p w14:paraId="7ED60BE2">
            <w:pPr>
              <w:pStyle w:val="12"/>
              <w:rPr>
                <w:color w:val="000000" w:themeColor="text1"/>
                <w:kern w:val="28"/>
                <w:sz w:val="24"/>
                <w14:textFill>
                  <w14:solidFill>
                    <w14:schemeClr w14:val="tx1"/>
                  </w14:solidFill>
                </w14:textFill>
              </w:rPr>
            </w:pPr>
          </w:p>
          <w:p w14:paraId="7492CE64">
            <w:pPr>
              <w:rPr>
                <w:color w:val="000000" w:themeColor="text1"/>
                <w14:textFill>
                  <w14:solidFill>
                    <w14:schemeClr w14:val="tx1"/>
                  </w14:solidFill>
                </w14:textFill>
              </w:rPr>
            </w:pPr>
          </w:p>
          <w:p w14:paraId="3F04C4BE">
            <w:pPr>
              <w:spacing w:line="500" w:lineRule="atLeast"/>
              <w:ind w:firstLine="480" w:firstLineChars="200"/>
              <w:rPr>
                <w:color w:val="000000" w:themeColor="text1"/>
                <w:kern w:val="28"/>
                <w:sz w:val="24"/>
                <w14:textFill>
                  <w14:solidFill>
                    <w14:schemeClr w14:val="tx1"/>
                  </w14:solidFill>
                </w14:textFill>
              </w:rPr>
            </w:pPr>
          </w:p>
          <w:p w14:paraId="34FC94F3">
            <w:pPr>
              <w:spacing w:line="500" w:lineRule="atLeast"/>
              <w:ind w:firstLine="480" w:firstLineChars="200"/>
              <w:rPr>
                <w:color w:val="000000" w:themeColor="text1"/>
                <w:kern w:val="28"/>
                <w:sz w:val="24"/>
                <w14:textFill>
                  <w14:solidFill>
                    <w14:schemeClr w14:val="tx1"/>
                  </w14:solidFill>
                </w14:textFill>
              </w:rPr>
            </w:pPr>
          </w:p>
          <w:p w14:paraId="58EB05A4">
            <w:pPr>
              <w:spacing w:line="500" w:lineRule="atLeast"/>
              <w:ind w:firstLine="480" w:firstLineChars="200"/>
              <w:rPr>
                <w:color w:val="000000" w:themeColor="text1"/>
                <w:kern w:val="28"/>
                <w:sz w:val="24"/>
                <w14:textFill>
                  <w14:solidFill>
                    <w14:schemeClr w14:val="tx1"/>
                  </w14:solidFill>
                </w14:textFill>
              </w:rPr>
            </w:pPr>
          </w:p>
        </w:tc>
      </w:tr>
    </w:tbl>
    <w:p w14:paraId="18AA6C0A">
      <w:pPr>
        <w:widowControl/>
        <w:ind w:left="-567" w:leftChars="-270" w:right="-651" w:rightChars="-310"/>
        <w:jc w:val="center"/>
        <w:outlineLvl w:val="0"/>
        <w:rPr>
          <w:rFonts w:ascii="黑体" w:hAnsi="黑体" w:eastAsia="黑体"/>
          <w:snapToGrid w:val="0"/>
          <w:color w:val="000000" w:themeColor="text1"/>
          <w:kern w:val="0"/>
          <w:sz w:val="30"/>
          <w:szCs w:val="30"/>
          <w14:textFill>
            <w14:solidFill>
              <w14:schemeClr w14:val="tx1"/>
            </w14:solidFill>
          </w14:textFill>
        </w:rPr>
      </w:pPr>
      <w:r>
        <w:rPr>
          <w:rFonts w:hint="eastAsia" w:ascii="黑体" w:hAnsi="黑体" w:eastAsia="黑体"/>
          <w:snapToGrid w:val="0"/>
          <w:color w:val="000000" w:themeColor="text1"/>
          <w:kern w:val="0"/>
          <w:sz w:val="30"/>
          <w:szCs w:val="30"/>
          <w14:textFill>
            <w14:solidFill>
              <w14:schemeClr w14:val="tx1"/>
            </w14:solidFill>
          </w14:textFill>
        </w:rPr>
        <w:t>四、主要环境影响和保护措施</w:t>
      </w:r>
    </w:p>
    <w:tbl>
      <w:tblPr>
        <w:tblStyle w:val="27"/>
        <w:tblW w:w="97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2"/>
        <w:gridCol w:w="9591"/>
      </w:tblGrid>
      <w:tr w14:paraId="79797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6" w:hRule="atLeast"/>
          <w:jc w:val="center"/>
        </w:trPr>
        <w:tc>
          <w:tcPr>
            <w:tcW w:w="465" w:type="dxa"/>
            <w:tcMar>
              <w:left w:w="28" w:type="dxa"/>
              <w:right w:w="28" w:type="dxa"/>
            </w:tcMar>
            <w:vAlign w:val="center"/>
          </w:tcPr>
          <w:p w14:paraId="5CFF7D7E">
            <w:pPr>
              <w:widowControl/>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施工</w:t>
            </w:r>
          </w:p>
          <w:p w14:paraId="507E3E03">
            <w:pPr>
              <w:widowControl/>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期环</w:t>
            </w:r>
          </w:p>
          <w:p w14:paraId="161DE0DE">
            <w:pPr>
              <w:widowControl/>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境保</w:t>
            </w:r>
          </w:p>
          <w:p w14:paraId="13486E15">
            <w:pPr>
              <w:widowControl/>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护措</w:t>
            </w:r>
          </w:p>
          <w:p w14:paraId="5CB3CF67">
            <w:pPr>
              <w:widowControl/>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施</w:t>
            </w:r>
          </w:p>
        </w:tc>
        <w:tc>
          <w:tcPr>
            <w:tcW w:w="9310" w:type="dxa"/>
            <w:vAlign w:val="center"/>
          </w:tcPr>
          <w:p w14:paraId="79288FF6">
            <w:pPr>
              <w:numPr>
                <w:ilvl w:val="0"/>
                <w:numId w:val="6"/>
              </w:numPr>
              <w:spacing w:line="50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废水</w:t>
            </w:r>
          </w:p>
          <w:p w14:paraId="2427BFA3">
            <w:pPr>
              <w:spacing w:line="50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施工期的废水主要是施工废水和施工人员的生活废水。施工期施工废水主要来源于混凝土养护水、石料冲洗水、机械车辆设备冲洗水、施工机械滴、漏的污油及露天机械被雨水冲刷后产生的油污水等，主要污染物为石油类、悬浮物。 施工期生活废水主要是来自施工现场日常生活产生的废水，主要污染物为 CODCr、 BOD</w:t>
            </w:r>
            <w:r>
              <w:rPr>
                <w:rFonts w:ascii="宋体" w:hAnsi="宋体" w:cs="宋体"/>
                <w:color w:val="000000" w:themeColor="text1"/>
                <w:sz w:val="24"/>
                <w:vertAlign w:val="subscript"/>
                <w14:textFill>
                  <w14:solidFill>
                    <w14:schemeClr w14:val="tx1"/>
                  </w14:solidFill>
                </w14:textFill>
              </w:rPr>
              <w:t>5</w:t>
            </w:r>
            <w:r>
              <w:rPr>
                <w:rFonts w:ascii="宋体" w:hAnsi="宋体" w:cs="宋体"/>
                <w:color w:val="000000" w:themeColor="text1"/>
                <w:sz w:val="24"/>
                <w14:textFill>
                  <w14:solidFill>
                    <w14:schemeClr w14:val="tx1"/>
                  </w14:solidFill>
                </w14:textFill>
              </w:rPr>
              <w:t>、NH</w:t>
            </w:r>
            <w:r>
              <w:rPr>
                <w:rFonts w:ascii="宋体" w:hAnsi="宋体" w:cs="宋体"/>
                <w:color w:val="000000" w:themeColor="text1"/>
                <w:sz w:val="24"/>
                <w:vertAlign w:val="subscript"/>
                <w14:textFill>
                  <w14:solidFill>
                    <w14:schemeClr w14:val="tx1"/>
                  </w14:solidFill>
                </w14:textFill>
              </w:rPr>
              <w:t>3</w:t>
            </w:r>
            <w:r>
              <w:rPr>
                <w:rFonts w:ascii="宋体" w:hAnsi="宋体" w:cs="宋体"/>
                <w:color w:val="000000" w:themeColor="text1"/>
                <w:sz w:val="24"/>
                <w14:textFill>
                  <w14:solidFill>
                    <w14:schemeClr w14:val="tx1"/>
                  </w14:solidFill>
                </w14:textFill>
              </w:rPr>
              <w:t xml:space="preserve">-N、SS等。 </w:t>
            </w:r>
          </w:p>
          <w:p w14:paraId="23EFA004">
            <w:pPr>
              <w:numPr>
                <w:ilvl w:val="0"/>
                <w:numId w:val="6"/>
              </w:numPr>
              <w:spacing w:line="500" w:lineRule="exact"/>
              <w:ind w:firstLine="480" w:firstLineChars="200"/>
              <w:rPr>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废气 </w:t>
            </w:r>
          </w:p>
          <w:p w14:paraId="3ADA7E17">
            <w:pPr>
              <w:spacing w:line="500" w:lineRule="exact"/>
              <w:ind w:firstLine="480" w:firstLineChars="200"/>
              <w:rPr>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项目建设施工过程中的大气污染主要来自施工场地的扬尘。在整个施工期，产生扬尘的作业有土地平整、打桩、开挖、回填、浇注、建材运输、露天堆放、装卸和搅拌等过程，如遇干旱无雨季节，加上大风，施工扬尘将更严重。据有关调查显示，施工工地的扬尘主要是由运输车辆的行驶产生，约占扬尘总量的60%。如果在施工期间对车辆行驶的路面实施洒水抑尘，每天洒水4～5次，可使扬尘减少70%左右，下表为施工场地洒水抑尘的试验结果，结果表明实施每天洒水4～5次进行抑尘，可有效地控制施工扬尘可将其污染距离缩小到20～50m范围。</w:t>
            </w:r>
          </w:p>
          <w:p w14:paraId="6B23FA84">
            <w:p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17780</wp:posOffset>
                  </wp:positionV>
                  <wp:extent cx="5836920" cy="1165860"/>
                  <wp:effectExtent l="0" t="0" r="0" b="7620"/>
                  <wp:wrapNone/>
                  <wp:docPr id="57" name="图片 57" descr="168412211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84122116697"/>
                          <pic:cNvPicPr>
                            <a:picLocks noChangeAspect="1"/>
                          </pic:cNvPicPr>
                        </pic:nvPicPr>
                        <pic:blipFill>
                          <a:blip r:embed="rId17"/>
                          <a:stretch>
                            <a:fillRect/>
                          </a:stretch>
                        </pic:blipFill>
                        <pic:spPr>
                          <a:xfrm>
                            <a:off x="0" y="0"/>
                            <a:ext cx="5836920" cy="1165860"/>
                          </a:xfrm>
                          <a:prstGeom prst="rect">
                            <a:avLst/>
                          </a:prstGeom>
                        </pic:spPr>
                      </pic:pic>
                    </a:graphicData>
                  </a:graphic>
                </wp:anchor>
              </w:drawing>
            </w:r>
          </w:p>
          <w:p w14:paraId="5E4E82B4">
            <w:pPr>
              <w:spacing w:line="500" w:lineRule="exact"/>
              <w:ind w:firstLine="480" w:firstLineChars="200"/>
              <w:rPr>
                <w:color w:val="000000" w:themeColor="text1"/>
                <w:sz w:val="24"/>
                <w14:textFill>
                  <w14:solidFill>
                    <w14:schemeClr w14:val="tx1"/>
                  </w14:solidFill>
                </w14:textFill>
              </w:rPr>
            </w:pPr>
          </w:p>
          <w:p w14:paraId="04F90AD6">
            <w:pPr>
              <w:spacing w:line="500" w:lineRule="exact"/>
              <w:ind w:firstLine="480" w:firstLineChars="200"/>
              <w:rPr>
                <w:color w:val="000000" w:themeColor="text1"/>
                <w:sz w:val="24"/>
                <w14:textFill>
                  <w14:solidFill>
                    <w14:schemeClr w14:val="tx1"/>
                  </w14:solidFill>
                </w14:textFill>
              </w:rPr>
            </w:pPr>
          </w:p>
          <w:p w14:paraId="6121663E">
            <w:pPr>
              <w:spacing w:line="500" w:lineRule="exact"/>
              <w:ind w:firstLine="480" w:firstLineChars="200"/>
              <w:rPr>
                <w:rFonts w:ascii="宋体" w:hAnsi="宋体" w:cs="宋体"/>
                <w:color w:val="000000" w:themeColor="text1"/>
                <w:sz w:val="24"/>
                <w14:textFill>
                  <w14:solidFill>
                    <w14:schemeClr w14:val="tx1"/>
                  </w14:solidFill>
                </w14:textFill>
              </w:rPr>
            </w:pPr>
          </w:p>
          <w:p w14:paraId="595C42B2">
            <w:pPr>
              <w:spacing w:line="50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因此，限速行驶及保持路面清洁，同时适当洒水是减少汽车扬尘的有效手段。施工扬尘的另一种情况是露天堆场和裸露场地的风力扬尘，由于施工需要，一些建材需露天堆放，一些施工点表层土壤需人工开挖、堆放，在气候干燥又有风的情况下，会产生扬尘，这类扬尘的主要特点是与风速和尘粒含水率有关，因此，减少建材的露天堆放和保证一定的含水率是抑制这类扬尘的有效手段。尘粒在空气中的传播扩散情况与风速等气象条件有关，也与尘粒本身的沉降速度有关。以沙尘土为例，其沉降速度随粒径的增大而迅速增大。当粒径为250微米时，沉降速度为1.005m/s，因此当尘粒大于250微米时，主要影响范围在扬尘点下风向近距离范围内，而真正对外环境产生影响的是一些微小尘粒。根据现场施工季节的气候情况不同，其影响范围和方向也有所不同。施工期间应特别注意施工扬尘的防治问题，须制定必要的防治措施，以减少施工扬尘对周围环境的影响。 </w:t>
            </w:r>
          </w:p>
          <w:p w14:paraId="43778F44">
            <w:pPr>
              <w:spacing w:line="50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②车辆尾气 </w:t>
            </w:r>
          </w:p>
          <w:p w14:paraId="5CBFED0E">
            <w:pPr>
              <w:spacing w:line="50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本工程使用的施工机械和车辆主要包括：挖掘机、装卸机、推土机和自卸汽车等， 燃油施工机械和车辆运行会产生一定量废气，主要污染物包括 CH、NO</w:t>
            </w:r>
            <w:r>
              <w:rPr>
                <w:rFonts w:ascii="宋体" w:hAnsi="宋体" w:cs="宋体"/>
                <w:color w:val="000000" w:themeColor="text1"/>
                <w:sz w:val="24"/>
                <w:vertAlign w:val="subscript"/>
                <w14:textFill>
                  <w14:solidFill>
                    <w14:schemeClr w14:val="tx1"/>
                  </w14:solidFill>
                </w14:textFill>
              </w:rPr>
              <w:t>X</w:t>
            </w:r>
            <w:r>
              <w:rPr>
                <w:rFonts w:ascii="宋体" w:hAnsi="宋体" w:cs="宋体"/>
                <w:color w:val="000000" w:themeColor="text1"/>
                <w:sz w:val="24"/>
                <w14:textFill>
                  <w14:solidFill>
                    <w14:schemeClr w14:val="tx1"/>
                  </w14:solidFill>
                </w14:textFill>
              </w:rPr>
              <w:t>、CO、TSP 等。由于这部分污染物排放强度很小，加之施工区周围地势较平坦，有利于废气稀释、扩散。因此，废气对周围大气环境的影响不明显</w:t>
            </w:r>
            <w:r>
              <w:rPr>
                <w:rFonts w:hint="eastAsia" w:ascii="宋体" w:hAnsi="宋体" w:cs="宋体"/>
                <w:color w:val="000000" w:themeColor="text1"/>
                <w:sz w:val="24"/>
                <w14:textFill>
                  <w14:solidFill>
                    <w14:schemeClr w14:val="tx1"/>
                  </w14:solidFill>
                </w14:textFill>
              </w:rPr>
              <w:t>。</w:t>
            </w:r>
          </w:p>
          <w:p w14:paraId="49F62B9F">
            <w:pPr>
              <w:spacing w:line="50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（3）噪声 </w:t>
            </w:r>
          </w:p>
          <w:p w14:paraId="03F43E12">
            <w:pPr>
              <w:spacing w:line="50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噪声源是施工建设期的重点污染源。开挖基础时挖掘机和建筑施工中使用混凝土搅拌机、振捣棒、切割机、装载机及工程运输车辆等都会产生噪音，而且有些机械设备如切割机、振捣棒等产生的噪声强度较大。此外，在工程装修、设备安装中也会产生噪声。</w:t>
            </w:r>
          </w:p>
          <w:p w14:paraId="4BFDDAB5">
            <w:pPr>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drawing>
                <wp:anchor distT="0" distB="0" distL="114300" distR="114300" simplePos="0" relativeHeight="251660288" behindDoc="0" locked="0" layoutInCell="1" allowOverlap="1">
                  <wp:simplePos x="0" y="0"/>
                  <wp:positionH relativeFrom="column">
                    <wp:posOffset>137160</wp:posOffset>
                  </wp:positionH>
                  <wp:positionV relativeFrom="paragraph">
                    <wp:posOffset>50800</wp:posOffset>
                  </wp:positionV>
                  <wp:extent cx="5684520" cy="1508760"/>
                  <wp:effectExtent l="0" t="0" r="0" b="0"/>
                  <wp:wrapNone/>
                  <wp:docPr id="58" name="图片 58" descr="168413732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84137328179"/>
                          <pic:cNvPicPr>
                            <a:picLocks noChangeAspect="1"/>
                          </pic:cNvPicPr>
                        </pic:nvPicPr>
                        <pic:blipFill>
                          <a:blip r:embed="rId18"/>
                          <a:stretch>
                            <a:fillRect/>
                          </a:stretch>
                        </pic:blipFill>
                        <pic:spPr>
                          <a:xfrm>
                            <a:off x="0" y="0"/>
                            <a:ext cx="5684520" cy="1508760"/>
                          </a:xfrm>
                          <a:prstGeom prst="rect">
                            <a:avLst/>
                          </a:prstGeom>
                        </pic:spPr>
                      </pic:pic>
                    </a:graphicData>
                  </a:graphic>
                </wp:anchor>
              </w:drawing>
            </w:r>
          </w:p>
          <w:p w14:paraId="64BC24FF">
            <w:pPr>
              <w:spacing w:line="500" w:lineRule="exact"/>
              <w:ind w:firstLine="480" w:firstLineChars="200"/>
              <w:rPr>
                <w:rFonts w:ascii="宋体" w:hAnsi="宋体" w:cs="宋体"/>
                <w:color w:val="000000" w:themeColor="text1"/>
                <w:sz w:val="24"/>
                <w14:textFill>
                  <w14:solidFill>
                    <w14:schemeClr w14:val="tx1"/>
                  </w14:solidFill>
                </w14:textFill>
              </w:rPr>
            </w:pPr>
          </w:p>
          <w:p w14:paraId="20E44346">
            <w:pPr>
              <w:spacing w:line="500" w:lineRule="exact"/>
              <w:ind w:firstLine="480" w:firstLineChars="200"/>
              <w:rPr>
                <w:rFonts w:ascii="宋体" w:hAnsi="宋体" w:cs="宋体"/>
                <w:color w:val="000000" w:themeColor="text1"/>
                <w:sz w:val="24"/>
                <w14:textFill>
                  <w14:solidFill>
                    <w14:schemeClr w14:val="tx1"/>
                  </w14:solidFill>
                </w14:textFill>
              </w:rPr>
            </w:pPr>
          </w:p>
          <w:p w14:paraId="6FF598D6">
            <w:pPr>
              <w:spacing w:line="500" w:lineRule="exact"/>
              <w:ind w:firstLine="480" w:firstLineChars="200"/>
              <w:rPr>
                <w:rFonts w:ascii="宋体" w:hAnsi="宋体" w:cs="宋体"/>
                <w:color w:val="000000" w:themeColor="text1"/>
                <w:sz w:val="24"/>
                <w14:textFill>
                  <w14:solidFill>
                    <w14:schemeClr w14:val="tx1"/>
                  </w14:solidFill>
                </w14:textFill>
              </w:rPr>
            </w:pPr>
          </w:p>
          <w:p w14:paraId="3BF543BA">
            <w:pPr>
              <w:spacing w:line="500" w:lineRule="exact"/>
              <w:ind w:firstLine="480" w:firstLineChars="200"/>
              <w:rPr>
                <w:rFonts w:ascii="宋体" w:hAnsi="宋体" w:cs="宋体"/>
                <w:color w:val="000000" w:themeColor="text1"/>
                <w:sz w:val="24"/>
                <w14:textFill>
                  <w14:solidFill>
                    <w14:schemeClr w14:val="tx1"/>
                  </w14:solidFill>
                </w14:textFill>
              </w:rPr>
            </w:pPr>
          </w:p>
          <w:p w14:paraId="4B340552">
            <w:pPr>
              <w:spacing w:line="50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（4）固体废物 </w:t>
            </w:r>
          </w:p>
          <w:p w14:paraId="25BCF0F5">
            <w:pPr>
              <w:spacing w:line="50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① 生活垃圾：生活垃圾主要是建筑工地工人日常生活的废弃物，按人均产生量按 0.2kg/d计，施工高峰期施工人数为25人/d，生活垃圾产生量约5kg/d；</w:t>
            </w:r>
          </w:p>
          <w:p w14:paraId="5C74BC7F">
            <w:pPr>
              <w:spacing w:line="50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② 建筑垃圾：根据同类施工统计资料，施工现场钢材、碎砖、过剩混凝土等建筑 垃圾产生定额为30kg/m</w:t>
            </w:r>
            <w:r>
              <w:rPr>
                <w:rFonts w:ascii="宋体" w:hAnsi="宋体" w:cs="宋体"/>
                <w:color w:val="000000" w:themeColor="text1"/>
                <w:sz w:val="24"/>
                <w:vertAlign w:val="superscript"/>
                <w14:textFill>
                  <w14:solidFill>
                    <w14:schemeClr w14:val="tx1"/>
                  </w14:solidFill>
                </w14:textFill>
              </w:rPr>
              <w:t>2</w:t>
            </w:r>
            <w:r>
              <w:rPr>
                <w:rFonts w:ascii="宋体" w:hAnsi="宋体" w:cs="宋体"/>
                <w:color w:val="000000" w:themeColor="text1"/>
                <w:sz w:val="24"/>
                <w14:textFill>
                  <w14:solidFill>
                    <w14:schemeClr w14:val="tx1"/>
                  </w14:solidFill>
                </w14:textFill>
              </w:rPr>
              <w:t>，施工建筑面积为</w:t>
            </w:r>
            <w:r>
              <w:rPr>
                <w:rFonts w:hint="eastAsia" w:ascii="宋体" w:hAnsi="宋体" w:cs="宋体"/>
                <w:color w:val="000000" w:themeColor="text1"/>
                <w:sz w:val="24"/>
                <w14:textFill>
                  <w14:solidFill>
                    <w14:schemeClr w14:val="tx1"/>
                  </w14:solidFill>
                </w14:textFill>
              </w:rPr>
              <w:t>853.84</w:t>
            </w:r>
            <w:r>
              <w:rPr>
                <w:rFonts w:ascii="宋体" w:hAnsi="宋体" w:cs="宋体"/>
                <w:color w:val="000000" w:themeColor="text1"/>
                <w:sz w:val="24"/>
                <w14:textFill>
                  <w14:solidFill>
                    <w14:schemeClr w14:val="tx1"/>
                  </w14:solidFill>
                </w14:textFill>
              </w:rPr>
              <w:t>m</w:t>
            </w:r>
            <w:r>
              <w:rPr>
                <w:rFonts w:ascii="宋体" w:hAnsi="宋体" w:cs="宋体"/>
                <w:color w:val="000000" w:themeColor="text1"/>
                <w:sz w:val="24"/>
                <w:vertAlign w:val="superscript"/>
                <w14:textFill>
                  <w14:solidFill>
                    <w14:schemeClr w14:val="tx1"/>
                  </w14:solidFill>
                </w14:textFill>
              </w:rPr>
              <w:t>2</w:t>
            </w:r>
            <w:r>
              <w:rPr>
                <w:rFonts w:ascii="宋体" w:hAnsi="宋体" w:cs="宋体"/>
                <w:color w:val="000000" w:themeColor="text1"/>
                <w:sz w:val="24"/>
                <w14:textFill>
                  <w14:solidFill>
                    <w14:schemeClr w14:val="tx1"/>
                  </w14:solidFill>
                </w14:textFill>
              </w:rPr>
              <w:t xml:space="preserve">，故整个施工期建筑垃圾的产生量约为 </w:t>
            </w:r>
            <w:r>
              <w:rPr>
                <w:rFonts w:hint="eastAsia" w:ascii="宋体" w:hAnsi="宋体" w:cs="宋体"/>
                <w:color w:val="000000" w:themeColor="text1"/>
                <w:sz w:val="24"/>
                <w14:textFill>
                  <w14:solidFill>
                    <w14:schemeClr w14:val="tx1"/>
                  </w14:solidFill>
                </w14:textFill>
              </w:rPr>
              <w:t>25.62</w:t>
            </w:r>
            <w:r>
              <w:rPr>
                <w:rFonts w:ascii="宋体" w:hAnsi="宋体" w:cs="宋体"/>
                <w:color w:val="000000" w:themeColor="text1"/>
                <w:sz w:val="24"/>
                <w14:textFill>
                  <w14:solidFill>
                    <w14:schemeClr w14:val="tx1"/>
                  </w14:solidFill>
                </w14:textFill>
              </w:rPr>
              <w:t>t，施工过程中建筑垃圾的产生量与施工水平、建筑类型等多种因素有关，数 据之间相差较大。在施工建筑的不同阶段，所产生的垃圾种类和数量有较大差异。</w:t>
            </w:r>
          </w:p>
          <w:p w14:paraId="057037A5">
            <w:pPr>
              <w:spacing w:line="500" w:lineRule="exact"/>
              <w:ind w:firstLine="480" w:firstLineChars="200"/>
              <w:rPr>
                <w:rFonts w:ascii="宋体" w:hAnsi="宋体" w:cs="宋体"/>
                <w:color w:val="000000" w:themeColor="text1"/>
                <w:sz w:val="24"/>
                <w14:textFill>
                  <w14:solidFill>
                    <w14:schemeClr w14:val="tx1"/>
                  </w14:solidFill>
                </w14:textFill>
              </w:rPr>
            </w:pPr>
          </w:p>
          <w:p w14:paraId="3D1370CF">
            <w:pPr>
              <w:spacing w:line="500" w:lineRule="exact"/>
              <w:ind w:firstLine="480" w:firstLineChars="200"/>
              <w:rPr>
                <w:rFonts w:ascii="宋体" w:hAnsi="宋体" w:cs="宋体"/>
                <w:color w:val="000000" w:themeColor="text1"/>
                <w:sz w:val="24"/>
                <w14:textFill>
                  <w14:solidFill>
                    <w14:schemeClr w14:val="tx1"/>
                  </w14:solidFill>
                </w14:textFill>
              </w:rPr>
            </w:pPr>
          </w:p>
          <w:p w14:paraId="2DDB940F">
            <w:pPr>
              <w:spacing w:line="500" w:lineRule="exact"/>
              <w:ind w:firstLine="480" w:firstLineChars="200"/>
              <w:rPr>
                <w:rFonts w:ascii="宋体" w:hAnsi="宋体" w:cs="宋体"/>
                <w:color w:val="000000" w:themeColor="text1"/>
                <w:sz w:val="24"/>
                <w14:textFill>
                  <w14:solidFill>
                    <w14:schemeClr w14:val="tx1"/>
                  </w14:solidFill>
                </w14:textFill>
              </w:rPr>
            </w:pPr>
          </w:p>
          <w:p w14:paraId="5BCBDBA3">
            <w:pPr>
              <w:spacing w:line="500" w:lineRule="exact"/>
              <w:ind w:firstLine="480" w:firstLineChars="200"/>
              <w:rPr>
                <w:rFonts w:ascii="宋体" w:hAnsi="宋体" w:cs="宋体"/>
                <w:color w:val="000000" w:themeColor="text1"/>
                <w:sz w:val="24"/>
                <w14:textFill>
                  <w14:solidFill>
                    <w14:schemeClr w14:val="tx1"/>
                  </w14:solidFill>
                </w14:textFill>
              </w:rPr>
            </w:pPr>
          </w:p>
          <w:p w14:paraId="36B5F467">
            <w:pPr>
              <w:spacing w:line="500" w:lineRule="exact"/>
              <w:ind w:firstLine="480" w:firstLineChars="200"/>
              <w:rPr>
                <w:rFonts w:ascii="宋体" w:hAnsi="宋体" w:cs="宋体"/>
                <w:color w:val="000000" w:themeColor="text1"/>
                <w:sz w:val="24"/>
                <w14:textFill>
                  <w14:solidFill>
                    <w14:schemeClr w14:val="tx1"/>
                  </w14:solidFill>
                </w14:textFill>
              </w:rPr>
            </w:pPr>
          </w:p>
          <w:p w14:paraId="7D6DD461">
            <w:pPr>
              <w:spacing w:line="500" w:lineRule="exact"/>
              <w:rPr>
                <w:rFonts w:ascii="宋体" w:hAnsi="宋体" w:cs="宋体"/>
                <w:color w:val="000000" w:themeColor="text1"/>
                <w:sz w:val="24"/>
                <w14:textFill>
                  <w14:solidFill>
                    <w14:schemeClr w14:val="tx1"/>
                  </w14:solidFill>
                </w14:textFill>
              </w:rPr>
            </w:pPr>
          </w:p>
        </w:tc>
      </w:tr>
      <w:tr w14:paraId="2078F4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96" w:hRule="atLeast"/>
          <w:jc w:val="center"/>
        </w:trPr>
        <w:tc>
          <w:tcPr>
            <w:tcW w:w="465" w:type="dxa"/>
            <w:tcMar>
              <w:left w:w="28" w:type="dxa"/>
              <w:right w:w="28" w:type="dxa"/>
            </w:tcMar>
            <w:vAlign w:val="center"/>
          </w:tcPr>
          <w:p w14:paraId="443A3C25">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运营</w:t>
            </w:r>
          </w:p>
          <w:p w14:paraId="09222A64">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期环</w:t>
            </w:r>
          </w:p>
          <w:p w14:paraId="7EC0F4B9">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境影</w:t>
            </w:r>
          </w:p>
          <w:p w14:paraId="4B795877">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响和</w:t>
            </w:r>
          </w:p>
          <w:p w14:paraId="09439F6E">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保护</w:t>
            </w:r>
          </w:p>
          <w:p w14:paraId="0247FC68">
            <w:pPr>
              <w:adjustRightInd w:val="0"/>
              <w:snapToGrid w:val="0"/>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措施</w:t>
            </w:r>
          </w:p>
        </w:tc>
        <w:tc>
          <w:tcPr>
            <w:tcW w:w="9310" w:type="dxa"/>
            <w:vAlign w:val="center"/>
          </w:tcPr>
          <w:p w14:paraId="1EAAD329">
            <w:pPr>
              <w:keepNext/>
              <w:keepLines/>
              <w:spacing w:line="500" w:lineRule="exact"/>
              <w:ind w:firstLine="482" w:firstLineChars="200"/>
              <w:rPr>
                <w:rFonts w:ascii="宋体" w:hAnsi="宋体" w:cs="宋体"/>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一</w:t>
            </w:r>
            <w:r>
              <w:rPr>
                <w:b/>
                <w:color w:val="000000" w:themeColor="text1"/>
                <w:sz w:val="24"/>
                <w14:textFill>
                  <w14:solidFill>
                    <w14:schemeClr w14:val="tx1"/>
                  </w14:solidFill>
                </w14:textFill>
              </w:rPr>
              <w:t>、废气</w:t>
            </w:r>
          </w:p>
          <w:p w14:paraId="1A739A46">
            <w:pPr>
              <w:widowControl/>
              <w:spacing w:line="540" w:lineRule="exact"/>
              <w:ind w:firstLine="480" w:firstLineChars="200"/>
              <w:rPr>
                <w:rFonts w:hAnsi="宋体"/>
                <w:snapToGrid w:val="0"/>
                <w:color w:val="000000" w:themeColor="text1"/>
                <w:kern w:val="24"/>
                <w:sz w:val="24"/>
                <w14:textFill>
                  <w14:solidFill>
                    <w14:schemeClr w14:val="tx1"/>
                  </w14:solidFill>
                </w14:textFill>
              </w:rPr>
            </w:pPr>
            <w:r>
              <w:rPr>
                <w:rFonts w:hAnsi="宋体"/>
                <w:snapToGrid w:val="0"/>
                <w:color w:val="000000" w:themeColor="text1"/>
                <w:kern w:val="24"/>
                <w:sz w:val="24"/>
                <w14:textFill>
                  <w14:solidFill>
                    <w14:schemeClr w14:val="tx1"/>
                  </w14:solidFill>
                </w14:textFill>
              </w:rPr>
              <w:t>废气源及污染物主要是油罐大小呼吸、加油机作业无组织排放的非甲烷总烃</w:t>
            </w:r>
            <w:r>
              <w:rPr>
                <w:rFonts w:hint="eastAsia" w:hAnsi="宋体"/>
                <w:snapToGrid w:val="0"/>
                <w:color w:val="000000" w:themeColor="text1"/>
                <w:kern w:val="24"/>
                <w:sz w:val="24"/>
                <w14:textFill>
                  <w14:solidFill>
                    <w14:schemeClr w14:val="tx1"/>
                  </w14:solidFill>
                </w14:textFill>
              </w:rPr>
              <w:t>以及卸油产生的非甲烷总烃；</w:t>
            </w:r>
          </w:p>
          <w:p w14:paraId="5FF239C2">
            <w:pPr>
              <w:widowControl/>
              <w:spacing w:line="540" w:lineRule="exact"/>
              <w:ind w:firstLine="480" w:firstLineChars="200"/>
              <w:rPr>
                <w:snapToGrid w:val="0"/>
                <w:color w:val="000000" w:themeColor="text1"/>
                <w:kern w:val="24"/>
                <w:sz w:val="24"/>
                <w14:textFill>
                  <w14:solidFill>
                    <w14:schemeClr w14:val="tx1"/>
                  </w14:solidFill>
                </w14:textFill>
              </w:rPr>
            </w:pPr>
            <w:r>
              <w:rPr>
                <w:rFonts w:ascii="宋体" w:hAnsi="宋体"/>
                <w:snapToGrid w:val="0"/>
                <w:color w:val="000000" w:themeColor="text1"/>
                <w:kern w:val="24"/>
                <w:sz w:val="24"/>
                <w14:textFill>
                  <w14:solidFill>
                    <w14:schemeClr w14:val="tx1"/>
                  </w14:solidFill>
                </w14:textFill>
              </w:rPr>
              <w:t>①</w:t>
            </w:r>
            <w:r>
              <w:rPr>
                <w:rFonts w:hAnsi="宋体"/>
                <w:snapToGrid w:val="0"/>
                <w:color w:val="000000" w:themeColor="text1"/>
                <w:kern w:val="24"/>
                <w:sz w:val="24"/>
                <w14:textFill>
                  <w14:solidFill>
                    <w14:schemeClr w14:val="tx1"/>
                  </w14:solidFill>
                </w14:textFill>
              </w:rPr>
              <w:t>储罐大呼吸损失是指油罐进发油时所呼出的油蒸气而造成的油品蒸发损失。油罐进油时，由于油面逐渐升高，气体空间逐渐减小，罐内压力增大，当压力超过呼吸阀控制压力时，一定浓度的油蒸气开始从呼吸阀呼出，直到油罐停止收油。</w:t>
            </w:r>
            <w:r>
              <w:rPr>
                <w:rFonts w:hint="eastAsia" w:ascii="宋体" w:hAnsi="宋体" w:cs="宋体"/>
                <w:color w:val="000000" w:themeColor="text1"/>
                <w:sz w:val="24"/>
                <w14:textFill>
                  <w14:solidFill>
                    <w14:schemeClr w14:val="tx1"/>
                  </w14:solidFill>
                </w14:textFill>
              </w:rPr>
              <w:t>卸油时油罐压力变化产生的油气（也称大呼吸）经密闭管道回流至油罐车内，油罐车拉走处理，全过程无泄漏</w:t>
            </w:r>
            <w:r>
              <w:rPr>
                <w:rFonts w:hAnsi="宋体"/>
                <w:snapToGrid w:val="0"/>
                <w:color w:val="000000" w:themeColor="text1"/>
                <w:kern w:val="24"/>
                <w:sz w:val="24"/>
                <w14:textFill>
                  <w14:solidFill>
                    <w14:schemeClr w14:val="tx1"/>
                  </w14:solidFill>
                </w14:textFill>
              </w:rPr>
              <w:t>。</w:t>
            </w:r>
          </w:p>
          <w:p w14:paraId="6A9EA882">
            <w:pPr>
              <w:widowControl/>
              <w:shd w:val="clear" w:color="auto" w:fill="FFFFFF"/>
              <w:spacing w:line="520" w:lineRule="exact"/>
              <w:ind w:firstLine="480" w:firstLineChars="200"/>
              <w:rPr>
                <w:snapToGrid w:val="0"/>
                <w:color w:val="000000" w:themeColor="text1"/>
                <w:kern w:val="24"/>
                <w:sz w:val="24"/>
                <w14:textFill>
                  <w14:solidFill>
                    <w14:schemeClr w14:val="tx1"/>
                  </w14:solidFill>
                </w14:textFill>
              </w:rPr>
            </w:pPr>
            <w:r>
              <w:rPr>
                <w:rFonts w:ascii="宋体" w:hAnsi="宋体"/>
                <w:snapToGrid w:val="0"/>
                <w:color w:val="000000" w:themeColor="text1"/>
                <w:kern w:val="24"/>
                <w:sz w:val="24"/>
                <w14:textFill>
                  <w14:solidFill>
                    <w14:schemeClr w14:val="tx1"/>
                  </w14:solidFill>
                </w14:textFill>
              </w:rPr>
              <w:t>②</w:t>
            </w:r>
            <w:r>
              <w:rPr>
                <w:rFonts w:hAnsi="宋体"/>
                <w:snapToGrid w:val="0"/>
                <w:color w:val="000000" w:themeColor="text1"/>
                <w:kern w:val="24"/>
                <w:sz w:val="24"/>
                <w14:textFill>
                  <w14:solidFill>
                    <w14:schemeClr w14:val="tx1"/>
                  </w14:solidFill>
                </w14:textFill>
              </w:rPr>
              <w:t>油罐在没有收发油作业的情况下，随着外界气温、压力在一天内的升降周期变化，罐内气体空间温度、油品蒸发速度、油气浓度和蒸汽压力也随之变化。这种排出油蒸气和吸入空气的过程造成的油气损失，叫小呼吸损失。</w:t>
            </w:r>
            <w:r>
              <w:rPr>
                <w:rFonts w:hint="eastAsia" w:hAnsi="宋体"/>
                <w:snapToGrid w:val="0"/>
                <w:color w:val="000000" w:themeColor="text1"/>
                <w:kern w:val="24"/>
                <w:sz w:val="24"/>
                <w14:textFill>
                  <w14:solidFill>
                    <w14:schemeClr w14:val="tx1"/>
                  </w14:solidFill>
                </w14:textFill>
              </w:rPr>
              <w:t>本项目是建于地下的油罐属于隐蔽罐，根据《散装液态石油产品损耗》（</w:t>
            </w:r>
            <w:r>
              <w:rPr>
                <w:rFonts w:hAnsi="宋体"/>
                <w:snapToGrid w:val="0"/>
                <w:color w:val="000000" w:themeColor="text1"/>
                <w:kern w:val="24"/>
                <w:sz w:val="24"/>
                <w14:textFill>
                  <w14:solidFill>
                    <w14:schemeClr w14:val="tx1"/>
                  </w14:solidFill>
                </w14:textFill>
              </w:rPr>
              <w:t>GB11085-1989</w:t>
            </w:r>
            <w:r>
              <w:rPr>
                <w:rFonts w:hint="eastAsia" w:hAnsi="宋体"/>
                <w:snapToGrid w:val="0"/>
                <w:color w:val="000000" w:themeColor="text1"/>
                <w:kern w:val="24"/>
                <w:sz w:val="24"/>
                <w14:textFill>
                  <w14:solidFill>
                    <w14:schemeClr w14:val="tx1"/>
                  </w14:solidFill>
                </w14:textFill>
              </w:rPr>
              <w:t>）表1贮存损耗率，隐蔽罐不分油品和季节损耗率为</w:t>
            </w:r>
            <w:r>
              <w:rPr>
                <w:rFonts w:hAnsi="宋体"/>
                <w:snapToGrid w:val="0"/>
                <w:color w:val="000000" w:themeColor="text1"/>
                <w:kern w:val="24"/>
                <w:sz w:val="24"/>
                <w14:textFill>
                  <w14:solidFill>
                    <w14:schemeClr w14:val="tx1"/>
                  </w14:solidFill>
                </w14:textFill>
              </w:rPr>
              <w:t>0.01%</w:t>
            </w:r>
            <w:r>
              <w:rPr>
                <w:rFonts w:hint="eastAsia" w:hAnsi="宋体"/>
                <w:snapToGrid w:val="0"/>
                <w:color w:val="000000" w:themeColor="text1"/>
                <w:kern w:val="24"/>
                <w:sz w:val="24"/>
                <w14:textFill>
                  <w14:solidFill>
                    <w14:schemeClr w14:val="tx1"/>
                  </w14:solidFill>
                </w14:textFill>
              </w:rPr>
              <w:t>。本项目在呼吸口设置油气回收系统对储罐小呼吸产生的非甲烷总烃进行处理，处理效率可达95%，因此采用油气回收系统后储罐小呼吸损失损耗为0.0005%。</w:t>
            </w:r>
          </w:p>
          <w:p w14:paraId="63B365AE">
            <w:pPr>
              <w:widowControl/>
              <w:spacing w:line="540" w:lineRule="exact"/>
              <w:ind w:firstLine="480" w:firstLineChars="200"/>
              <w:rPr>
                <w:rFonts w:hAnsi="宋体"/>
                <w:snapToGrid w:val="0"/>
                <w:color w:val="000000" w:themeColor="text1"/>
                <w:kern w:val="24"/>
                <w:sz w:val="24"/>
                <w14:textFill>
                  <w14:solidFill>
                    <w14:schemeClr w14:val="tx1"/>
                  </w14:solidFill>
                </w14:textFill>
              </w:rPr>
            </w:pPr>
            <w:r>
              <w:rPr>
                <w:rFonts w:ascii="宋体" w:hAnsi="宋体"/>
                <w:snapToGrid w:val="0"/>
                <w:color w:val="000000" w:themeColor="text1"/>
                <w:kern w:val="24"/>
                <w:sz w:val="24"/>
                <w14:textFill>
                  <w14:solidFill>
                    <w14:schemeClr w14:val="tx1"/>
                  </w14:solidFill>
                </w14:textFill>
              </w:rPr>
              <w:t>③</w:t>
            </w:r>
            <w:r>
              <w:rPr>
                <w:rFonts w:hAnsi="宋体"/>
                <w:snapToGrid w:val="0"/>
                <w:color w:val="000000" w:themeColor="text1"/>
                <w:kern w:val="24"/>
                <w:sz w:val="24"/>
                <w14:textFill>
                  <w14:solidFill>
                    <w14:schemeClr w14:val="tx1"/>
                  </w14:solidFill>
                </w14:textFill>
              </w:rPr>
              <w:t>加油作业损失主要指为车辆加油时，油品进入汽车油箱，油箱内的烃类气体被油品置换排入大气。</w:t>
            </w:r>
            <w:r>
              <w:rPr>
                <w:rFonts w:hint="eastAsia" w:hAnsi="宋体"/>
                <w:snapToGrid w:val="0"/>
                <w:color w:val="000000" w:themeColor="text1"/>
                <w:kern w:val="24"/>
                <w:sz w:val="24"/>
                <w14:textFill>
                  <w14:solidFill>
                    <w14:schemeClr w14:val="tx1"/>
                  </w14:solidFill>
                </w14:textFill>
              </w:rPr>
              <w:t>根据《散装液态石油产品损耗》（</w:t>
            </w:r>
            <w:r>
              <w:rPr>
                <w:rFonts w:hAnsi="宋体"/>
                <w:snapToGrid w:val="0"/>
                <w:color w:val="000000" w:themeColor="text1"/>
                <w:kern w:val="24"/>
                <w:sz w:val="24"/>
                <w14:textFill>
                  <w14:solidFill>
                    <w14:schemeClr w14:val="tx1"/>
                  </w14:solidFill>
                </w14:textFill>
              </w:rPr>
              <w:t>GB11085-1989</w:t>
            </w:r>
            <w:r>
              <w:rPr>
                <w:rFonts w:hint="eastAsia" w:hAnsi="宋体"/>
                <w:snapToGrid w:val="0"/>
                <w:color w:val="000000" w:themeColor="text1"/>
                <w:kern w:val="24"/>
                <w:sz w:val="24"/>
                <w14:textFill>
                  <w14:solidFill>
                    <w14:schemeClr w14:val="tx1"/>
                  </w14:solidFill>
                </w14:textFill>
              </w:rPr>
              <w:t>）表7零售损耗率。</w:t>
            </w:r>
            <w:r>
              <w:rPr>
                <w:rFonts w:hAnsi="宋体"/>
                <w:snapToGrid w:val="0"/>
                <w:color w:val="000000" w:themeColor="text1"/>
                <w:kern w:val="24"/>
                <w:sz w:val="24"/>
                <w14:textFill>
                  <w14:solidFill>
                    <w14:schemeClr w14:val="tx1"/>
                  </w14:solidFill>
                </w14:textFill>
              </w:rPr>
              <w:t>车辆加</w:t>
            </w:r>
            <w:r>
              <w:rPr>
                <w:rFonts w:hint="eastAsia" w:hAnsi="宋体"/>
                <w:snapToGrid w:val="0"/>
                <w:color w:val="000000" w:themeColor="text1"/>
                <w:kern w:val="24"/>
                <w:sz w:val="24"/>
                <w14:textFill>
                  <w14:solidFill>
                    <w14:schemeClr w14:val="tx1"/>
                  </w14:solidFill>
                </w14:textFill>
              </w:rPr>
              <w:t>汽油</w:t>
            </w:r>
            <w:r>
              <w:rPr>
                <w:rFonts w:hAnsi="宋体"/>
                <w:snapToGrid w:val="0"/>
                <w:color w:val="000000" w:themeColor="text1"/>
                <w:kern w:val="24"/>
                <w:sz w:val="24"/>
                <w14:textFill>
                  <w14:solidFill>
                    <w14:schemeClr w14:val="tx1"/>
                  </w14:solidFill>
                </w14:textFill>
              </w:rPr>
              <w:t>时</w:t>
            </w:r>
            <w:r>
              <w:rPr>
                <w:rFonts w:hint="eastAsia" w:hAnsi="宋体"/>
                <w:snapToGrid w:val="0"/>
                <w:color w:val="000000" w:themeColor="text1"/>
                <w:kern w:val="24"/>
                <w:sz w:val="24"/>
                <w14:textFill>
                  <w14:solidFill>
                    <w14:schemeClr w14:val="tx1"/>
                  </w14:solidFill>
                </w14:textFill>
              </w:rPr>
              <w:t>损耗率</w:t>
            </w:r>
            <w:r>
              <w:rPr>
                <w:snapToGrid w:val="0"/>
                <w:color w:val="000000" w:themeColor="text1"/>
                <w:kern w:val="24"/>
                <w:sz w:val="24"/>
                <w14:textFill>
                  <w14:solidFill>
                    <w14:schemeClr w14:val="tx1"/>
                  </w14:solidFill>
                </w14:textFill>
              </w:rPr>
              <w:t>0.</w:t>
            </w:r>
            <w:r>
              <w:rPr>
                <w:rFonts w:hint="eastAsia"/>
                <w:snapToGrid w:val="0"/>
                <w:color w:val="000000" w:themeColor="text1"/>
                <w:kern w:val="24"/>
                <w:sz w:val="24"/>
                <w14:textFill>
                  <w14:solidFill>
                    <w14:schemeClr w14:val="tx1"/>
                  </w14:solidFill>
                </w14:textFill>
              </w:rPr>
              <w:t>29</w:t>
            </w:r>
            <w:r>
              <w:rPr>
                <w:snapToGrid w:val="0"/>
                <w:color w:val="000000" w:themeColor="text1"/>
                <w:kern w:val="24"/>
                <w:sz w:val="24"/>
                <w14:textFill>
                  <w14:solidFill>
                    <w14:schemeClr w14:val="tx1"/>
                  </w14:solidFill>
                </w14:textFill>
              </w:rPr>
              <w:t>kg/m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w:t>
            </w:r>
            <w:r>
              <w:rPr>
                <w:rFonts w:hAnsi="宋体"/>
                <w:snapToGrid w:val="0"/>
                <w:color w:val="000000" w:themeColor="text1"/>
                <w:kern w:val="24"/>
                <w:sz w:val="24"/>
                <w14:textFill>
                  <w14:solidFill>
                    <w14:schemeClr w14:val="tx1"/>
                  </w14:solidFill>
                </w14:textFill>
              </w:rPr>
              <w:t>通过量</w:t>
            </w:r>
            <w:r>
              <w:rPr>
                <w:rFonts w:hint="eastAsia" w:hAnsi="宋体"/>
                <w:snapToGrid w:val="0"/>
                <w:color w:val="000000" w:themeColor="text1"/>
                <w:kern w:val="24"/>
                <w:sz w:val="24"/>
                <w14:textFill>
                  <w14:solidFill>
                    <w14:schemeClr w14:val="tx1"/>
                  </w14:solidFill>
                </w14:textFill>
              </w:rPr>
              <w:t>，加柴油时</w:t>
            </w:r>
            <w:r>
              <w:rPr>
                <w:snapToGrid w:val="0"/>
                <w:color w:val="000000" w:themeColor="text1"/>
                <w:kern w:val="24"/>
                <w:sz w:val="24"/>
                <w14:textFill>
                  <w14:solidFill>
                    <w14:schemeClr w14:val="tx1"/>
                  </w14:solidFill>
                </w14:textFill>
              </w:rPr>
              <w:t>0.</w:t>
            </w:r>
            <w:r>
              <w:rPr>
                <w:rFonts w:hint="eastAsia"/>
                <w:snapToGrid w:val="0"/>
                <w:color w:val="000000" w:themeColor="text1"/>
                <w:kern w:val="24"/>
                <w:sz w:val="24"/>
                <w14:textFill>
                  <w14:solidFill>
                    <w14:schemeClr w14:val="tx1"/>
                  </w14:solidFill>
                </w14:textFill>
              </w:rPr>
              <w:t>08</w:t>
            </w:r>
            <w:r>
              <w:rPr>
                <w:snapToGrid w:val="0"/>
                <w:color w:val="000000" w:themeColor="text1"/>
                <w:kern w:val="24"/>
                <w:sz w:val="24"/>
                <w14:textFill>
                  <w14:solidFill>
                    <w14:schemeClr w14:val="tx1"/>
                  </w14:solidFill>
                </w14:textFill>
              </w:rPr>
              <w:t>kg/m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w:t>
            </w:r>
            <w:r>
              <w:rPr>
                <w:rFonts w:hAnsi="宋体"/>
                <w:snapToGrid w:val="0"/>
                <w:color w:val="000000" w:themeColor="text1"/>
                <w:kern w:val="24"/>
                <w:sz w:val="24"/>
                <w14:textFill>
                  <w14:solidFill>
                    <w14:schemeClr w14:val="tx1"/>
                  </w14:solidFill>
                </w14:textFill>
              </w:rPr>
              <w:t>通过量</w:t>
            </w:r>
            <w:r>
              <w:rPr>
                <w:rFonts w:hint="eastAsia" w:hAnsi="宋体"/>
                <w:snapToGrid w:val="0"/>
                <w:color w:val="000000" w:themeColor="text1"/>
                <w:kern w:val="24"/>
                <w:sz w:val="24"/>
                <w14:textFill>
                  <w14:solidFill>
                    <w14:schemeClr w14:val="tx1"/>
                  </w14:solidFill>
                </w14:textFill>
              </w:rPr>
              <w:t>，设置加油油气回收系统，回收效率可达95%。采用加油油气回收系统处理装置后，汽油加油作业油气损失量约为0.015</w:t>
            </w:r>
            <w:r>
              <w:rPr>
                <w:snapToGrid w:val="0"/>
                <w:color w:val="000000" w:themeColor="text1"/>
                <w:kern w:val="24"/>
                <w:sz w:val="24"/>
                <w14:textFill>
                  <w14:solidFill>
                    <w14:schemeClr w14:val="tx1"/>
                  </w14:solidFill>
                </w14:textFill>
              </w:rPr>
              <w:t>kg/m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w:t>
            </w:r>
            <w:r>
              <w:rPr>
                <w:rFonts w:hAnsi="宋体"/>
                <w:snapToGrid w:val="0"/>
                <w:color w:val="000000" w:themeColor="text1"/>
                <w:kern w:val="24"/>
                <w:sz w:val="24"/>
                <w14:textFill>
                  <w14:solidFill>
                    <w14:schemeClr w14:val="tx1"/>
                  </w14:solidFill>
                </w14:textFill>
              </w:rPr>
              <w:t>通过量</w:t>
            </w:r>
            <w:r>
              <w:rPr>
                <w:rFonts w:hint="eastAsia" w:hAnsi="宋体"/>
                <w:snapToGrid w:val="0"/>
                <w:color w:val="000000" w:themeColor="text1"/>
                <w:kern w:val="24"/>
                <w:sz w:val="24"/>
                <w14:textFill>
                  <w14:solidFill>
                    <w14:schemeClr w14:val="tx1"/>
                  </w14:solidFill>
                </w14:textFill>
              </w:rPr>
              <w:t>，柴油加油作业0.004</w:t>
            </w:r>
            <w:r>
              <w:rPr>
                <w:snapToGrid w:val="0"/>
                <w:color w:val="000000" w:themeColor="text1"/>
                <w:kern w:val="24"/>
                <w:sz w:val="24"/>
                <w14:textFill>
                  <w14:solidFill>
                    <w14:schemeClr w14:val="tx1"/>
                  </w14:solidFill>
                </w14:textFill>
              </w:rPr>
              <w:t>kg/m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w:t>
            </w:r>
            <w:r>
              <w:rPr>
                <w:rFonts w:hAnsi="宋体"/>
                <w:snapToGrid w:val="0"/>
                <w:color w:val="000000" w:themeColor="text1"/>
                <w:kern w:val="24"/>
                <w:sz w:val="24"/>
                <w14:textFill>
                  <w14:solidFill>
                    <w14:schemeClr w14:val="tx1"/>
                  </w14:solidFill>
                </w14:textFill>
              </w:rPr>
              <w:t>通过量</w:t>
            </w:r>
            <w:r>
              <w:rPr>
                <w:rFonts w:hint="eastAsia" w:hAnsi="宋体"/>
                <w:snapToGrid w:val="0"/>
                <w:color w:val="000000" w:themeColor="text1"/>
                <w:kern w:val="24"/>
                <w:sz w:val="24"/>
                <w14:textFill>
                  <w14:solidFill>
                    <w14:schemeClr w14:val="tx1"/>
                  </w14:solidFill>
                </w14:textFill>
              </w:rPr>
              <w:t>。</w:t>
            </w:r>
          </w:p>
          <w:p w14:paraId="7450B7F9">
            <w:pPr>
              <w:widowControl/>
              <w:spacing w:line="540" w:lineRule="exact"/>
              <w:ind w:firstLine="480" w:firstLineChars="200"/>
              <w:rPr>
                <w:rFonts w:hAnsi="宋体"/>
                <w:snapToGrid w:val="0"/>
                <w:color w:val="000000" w:themeColor="text1"/>
                <w:kern w:val="24"/>
                <w:sz w:val="24"/>
                <w14:textFill>
                  <w14:solidFill>
                    <w14:schemeClr w14:val="tx1"/>
                  </w14:solidFill>
                </w14:textFill>
              </w:rPr>
            </w:pPr>
            <w:r>
              <w:rPr>
                <w:rFonts w:ascii="宋体" w:hAnsi="宋体"/>
                <w:snapToGrid w:val="0"/>
                <w:color w:val="000000" w:themeColor="text1"/>
                <w:kern w:val="24"/>
                <w:sz w:val="24"/>
                <w14:textFill>
                  <w14:solidFill>
                    <w14:schemeClr w14:val="tx1"/>
                  </w14:solidFill>
                </w14:textFill>
              </w:rPr>
              <w:t>④</w:t>
            </w:r>
            <w:r>
              <w:rPr>
                <w:rFonts w:hAnsi="宋体"/>
                <w:snapToGrid w:val="0"/>
                <w:color w:val="000000" w:themeColor="text1"/>
                <w:kern w:val="24"/>
                <w:sz w:val="24"/>
                <w14:textFill>
                  <w14:solidFill>
                    <w14:schemeClr w14:val="tx1"/>
                  </w14:solidFill>
                </w14:textFill>
              </w:rPr>
              <w:t>在加油机作业过程中，不可避免地有一些成品油跑、冒、滴、漏现象的发生。跑冒滴漏量与加油站的管理、加油工人的操作水平等诸多因素有关，成品油的跑、冒、滴、漏一般平均损失量为</w:t>
            </w:r>
            <w:r>
              <w:rPr>
                <w:snapToGrid w:val="0"/>
                <w:color w:val="000000" w:themeColor="text1"/>
                <w:kern w:val="24"/>
                <w:sz w:val="24"/>
                <w14:textFill>
                  <w14:solidFill>
                    <w14:schemeClr w14:val="tx1"/>
                  </w14:solidFill>
                </w14:textFill>
              </w:rPr>
              <w:t>0.084kg/m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w:t>
            </w:r>
            <w:r>
              <w:rPr>
                <w:rFonts w:hAnsi="宋体"/>
                <w:snapToGrid w:val="0"/>
                <w:color w:val="000000" w:themeColor="text1"/>
                <w:kern w:val="24"/>
                <w:sz w:val="24"/>
                <w14:textFill>
                  <w14:solidFill>
                    <w14:schemeClr w14:val="tx1"/>
                  </w14:solidFill>
                </w14:textFill>
              </w:rPr>
              <w:t>通过量</w:t>
            </w:r>
            <w:r>
              <w:rPr>
                <w:rFonts w:hint="eastAsia" w:hAnsi="宋体"/>
                <w:snapToGrid w:val="0"/>
                <w:color w:val="000000" w:themeColor="text1"/>
                <w:kern w:val="24"/>
                <w:sz w:val="24"/>
                <w14:textFill>
                  <w14:solidFill>
                    <w14:schemeClr w14:val="tx1"/>
                  </w14:solidFill>
                </w14:textFill>
              </w:rPr>
              <w:t>。</w:t>
            </w:r>
          </w:p>
          <w:p w14:paraId="57AEBDA6">
            <w:pPr>
              <w:widowControl/>
              <w:spacing w:line="40" w:lineRule="exact"/>
              <w:ind w:firstLine="480" w:firstLineChars="200"/>
              <w:rPr>
                <w:rFonts w:hAnsi="宋体"/>
                <w:snapToGrid w:val="0"/>
                <w:color w:val="000000" w:themeColor="text1"/>
                <w:kern w:val="24"/>
                <w:sz w:val="24"/>
                <w14:textFill>
                  <w14:solidFill>
                    <w14:schemeClr w14:val="tx1"/>
                  </w14:solidFill>
                </w14:textFill>
              </w:rPr>
            </w:pPr>
          </w:p>
          <w:p w14:paraId="65AE5C40">
            <w:pPr>
              <w:widowControl/>
              <w:spacing w:line="40" w:lineRule="exact"/>
              <w:ind w:firstLine="480" w:firstLineChars="200"/>
              <w:rPr>
                <w:snapToGrid w:val="0"/>
                <w:color w:val="000000" w:themeColor="text1"/>
                <w:kern w:val="24"/>
                <w:sz w:val="24"/>
                <w14:textFill>
                  <w14:solidFill>
                    <w14:schemeClr w14:val="tx1"/>
                  </w14:solidFill>
                </w14:textFill>
              </w:rPr>
            </w:pPr>
          </w:p>
          <w:p w14:paraId="6D15E002">
            <w:pPr>
              <w:adjustRightInd w:val="0"/>
              <w:snapToGrid w:val="0"/>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该加油站运营后，年加油量为4600吨，其中汽油为4300吨、柴油300吨，汽油平均密度按0.725t/m³计，柴油平均密度按0.84t/m³计，则油品年通过量为6288.17m³，则可以计算出该加油站非甲烷总烃排放量，如下表所示：</w:t>
            </w:r>
          </w:p>
          <w:p w14:paraId="7B3FA7FB">
            <w:pPr>
              <w:pStyle w:val="12"/>
              <w:jc w:val="center"/>
              <w:rPr>
                <w:b/>
                <w:bCs/>
                <w:snapToGrid w:val="0"/>
                <w:color w:val="000000" w:themeColor="text1"/>
                <w:sz w:val="24"/>
                <w14:textFill>
                  <w14:solidFill>
                    <w14:schemeClr w14:val="tx1"/>
                  </w14:solidFill>
                </w14:textFill>
              </w:rPr>
            </w:pPr>
          </w:p>
          <w:p w14:paraId="541C40BE">
            <w:pPr>
              <w:pStyle w:val="12"/>
              <w:jc w:val="center"/>
              <w:rPr>
                <w:b/>
                <w:bCs/>
                <w:snapToGrid w:val="0"/>
                <w:color w:val="000000" w:themeColor="text1"/>
                <w:sz w:val="24"/>
                <w14:textFill>
                  <w14:solidFill>
                    <w14:schemeClr w14:val="tx1"/>
                  </w14:solidFill>
                </w14:textFill>
              </w:rPr>
            </w:pPr>
          </w:p>
          <w:p w14:paraId="5AEC9CE7">
            <w:pPr>
              <w:pStyle w:val="12"/>
              <w:jc w:val="center"/>
              <w:rPr>
                <w:b/>
                <w:bCs/>
                <w:snapToGrid w:val="0"/>
                <w:color w:val="000000" w:themeColor="text1"/>
                <w:sz w:val="24"/>
                <w14:textFill>
                  <w14:solidFill>
                    <w14:schemeClr w14:val="tx1"/>
                  </w14:solidFill>
                </w14:textFill>
              </w:rPr>
            </w:pPr>
            <w:r>
              <w:rPr>
                <w:rFonts w:hint="eastAsia"/>
                <w:b/>
                <w:bCs/>
                <w:snapToGrid w:val="0"/>
                <w:color w:val="000000" w:themeColor="text1"/>
                <w:sz w:val="24"/>
                <w14:textFill>
                  <w14:solidFill>
                    <w14:schemeClr w14:val="tx1"/>
                  </w14:solidFill>
                </w14:textFill>
              </w:rPr>
              <w:t>表4-3 非甲烷总烃排放量一览表</w:t>
            </w:r>
          </w:p>
          <w:tbl>
            <w:tblPr>
              <w:tblStyle w:val="27"/>
              <w:tblW w:w="4987"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2139"/>
              <w:gridCol w:w="2536"/>
              <w:gridCol w:w="1682"/>
              <w:gridCol w:w="1788"/>
            </w:tblGrid>
            <w:tr w14:paraId="1AFCFCC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778" w:type="pct"/>
                  <w:gridSpan w:val="2"/>
                  <w:tcBorders>
                    <w:top w:val="single" w:color="auto" w:sz="4" w:space="0"/>
                    <w:left w:val="single" w:color="auto" w:sz="4" w:space="0"/>
                    <w:bottom w:val="single" w:color="auto" w:sz="4" w:space="0"/>
                  </w:tcBorders>
                  <w:vAlign w:val="center"/>
                </w:tcPr>
                <w:p w14:paraId="424C28A1">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rFonts w:hAnsi="宋体"/>
                      <w:snapToGrid w:val="0"/>
                      <w:color w:val="000000" w:themeColor="text1"/>
                      <w:kern w:val="28"/>
                      <w:szCs w:val="21"/>
                      <w14:textFill>
                        <w14:solidFill>
                          <w14:schemeClr w14:val="tx1"/>
                        </w14:solidFill>
                      </w14:textFill>
                    </w:rPr>
                    <w:t>项目</w:t>
                  </w:r>
                </w:p>
              </w:tc>
              <w:tc>
                <w:tcPr>
                  <w:tcW w:w="1360" w:type="pct"/>
                  <w:tcBorders>
                    <w:top w:val="single" w:color="auto" w:sz="4" w:space="0"/>
                    <w:bottom w:val="single" w:color="auto" w:sz="4" w:space="0"/>
                  </w:tcBorders>
                  <w:vAlign w:val="center"/>
                </w:tcPr>
                <w:p w14:paraId="7EBF72BD">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rFonts w:hint="eastAsia" w:hAnsi="宋体"/>
                      <w:snapToGrid w:val="0"/>
                      <w:color w:val="000000" w:themeColor="text1"/>
                      <w:kern w:val="28"/>
                      <w:szCs w:val="21"/>
                      <w14:textFill>
                        <w14:solidFill>
                          <w14:schemeClr w14:val="tx1"/>
                        </w14:solidFill>
                      </w14:textFill>
                    </w:rPr>
                    <w:t>油气回收处理系统处理后</w:t>
                  </w:r>
                  <w:r>
                    <w:rPr>
                      <w:rFonts w:hAnsi="宋体"/>
                      <w:snapToGrid w:val="0"/>
                      <w:color w:val="000000" w:themeColor="text1"/>
                      <w:kern w:val="28"/>
                      <w:szCs w:val="21"/>
                      <w14:textFill>
                        <w14:solidFill>
                          <w14:schemeClr w14:val="tx1"/>
                        </w14:solidFill>
                      </w14:textFill>
                    </w:rPr>
                    <w:t>排放系数</w:t>
                  </w:r>
                </w:p>
              </w:tc>
              <w:tc>
                <w:tcPr>
                  <w:tcW w:w="902" w:type="pct"/>
                  <w:tcBorders>
                    <w:top w:val="single" w:color="auto" w:sz="4" w:space="0"/>
                    <w:bottom w:val="single" w:color="auto" w:sz="4" w:space="0"/>
                  </w:tcBorders>
                  <w:vAlign w:val="center"/>
                </w:tcPr>
                <w:p w14:paraId="11A1BD17">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rFonts w:hAnsi="宋体"/>
                      <w:snapToGrid w:val="0"/>
                      <w:color w:val="000000" w:themeColor="text1"/>
                      <w:kern w:val="28"/>
                      <w:szCs w:val="21"/>
                      <w14:textFill>
                        <w14:solidFill>
                          <w14:schemeClr w14:val="tx1"/>
                        </w14:solidFill>
                      </w14:textFill>
                    </w:rPr>
                    <w:t>通过量或转过量</w:t>
                  </w:r>
                </w:p>
              </w:tc>
              <w:tc>
                <w:tcPr>
                  <w:tcW w:w="959" w:type="pct"/>
                  <w:tcBorders>
                    <w:top w:val="single" w:color="auto" w:sz="4" w:space="0"/>
                    <w:bottom w:val="single" w:color="auto" w:sz="4" w:space="0"/>
                    <w:right w:val="single" w:color="auto" w:sz="4" w:space="0"/>
                  </w:tcBorders>
                  <w:vAlign w:val="center"/>
                </w:tcPr>
                <w:p w14:paraId="04DFDBB9">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rFonts w:hint="eastAsia" w:hAnsi="宋体"/>
                      <w:snapToGrid w:val="0"/>
                      <w:color w:val="000000" w:themeColor="text1"/>
                      <w:kern w:val="28"/>
                      <w:szCs w:val="21"/>
                      <w14:textFill>
                        <w14:solidFill>
                          <w14:schemeClr w14:val="tx1"/>
                        </w14:solidFill>
                      </w14:textFill>
                    </w:rPr>
                    <w:t>非甲烷总</w:t>
                  </w:r>
                  <w:r>
                    <w:rPr>
                      <w:rFonts w:hAnsi="宋体"/>
                      <w:snapToGrid w:val="0"/>
                      <w:color w:val="000000" w:themeColor="text1"/>
                      <w:kern w:val="28"/>
                      <w:szCs w:val="21"/>
                      <w14:textFill>
                        <w14:solidFill>
                          <w14:schemeClr w14:val="tx1"/>
                        </w14:solidFill>
                      </w14:textFill>
                    </w:rPr>
                    <w:t>烃排放量（</w:t>
                  </w:r>
                  <w:r>
                    <w:rPr>
                      <w:rFonts w:hint="eastAsia"/>
                      <w:snapToGrid w:val="0"/>
                      <w:color w:val="000000" w:themeColor="text1"/>
                      <w:kern w:val="28"/>
                      <w:szCs w:val="21"/>
                      <w14:textFill>
                        <w14:solidFill>
                          <w14:schemeClr w14:val="tx1"/>
                        </w14:solidFill>
                      </w14:textFill>
                    </w:rPr>
                    <w:t>t/a</w:t>
                  </w:r>
                  <w:r>
                    <w:rPr>
                      <w:rFonts w:hAnsi="宋体"/>
                      <w:snapToGrid w:val="0"/>
                      <w:color w:val="000000" w:themeColor="text1"/>
                      <w:kern w:val="28"/>
                      <w:szCs w:val="21"/>
                      <w14:textFill>
                        <w14:solidFill>
                          <w14:schemeClr w14:val="tx1"/>
                        </w14:solidFill>
                      </w14:textFill>
                    </w:rPr>
                    <w:t>）</w:t>
                  </w:r>
                </w:p>
              </w:tc>
            </w:tr>
            <w:tr w14:paraId="356E788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31" w:type="pct"/>
                  <w:tcBorders>
                    <w:top w:val="single" w:color="auto" w:sz="4" w:space="0"/>
                    <w:left w:val="single" w:color="auto" w:sz="4" w:space="0"/>
                    <w:bottom w:val="single" w:color="auto" w:sz="4" w:space="0"/>
                  </w:tcBorders>
                  <w:vAlign w:val="center"/>
                </w:tcPr>
                <w:p w14:paraId="767B584E">
                  <w:pPr>
                    <w:pStyle w:val="11"/>
                    <w:widowControl/>
                    <w:spacing w:line="240" w:lineRule="auto"/>
                    <w:jc w:val="center"/>
                    <w:rPr>
                      <w:snapToGrid w:val="0"/>
                      <w:color w:val="000000" w:themeColor="text1"/>
                      <w:kern w:val="28"/>
                      <w:szCs w:val="21"/>
                      <w14:textFill>
                        <w14:solidFill>
                          <w14:schemeClr w14:val="tx1"/>
                        </w14:solidFill>
                      </w14:textFill>
                    </w:rPr>
                  </w:pPr>
                  <w:r>
                    <w:rPr>
                      <w:rFonts w:hAnsi="宋体"/>
                      <w:snapToGrid w:val="0"/>
                      <w:color w:val="000000" w:themeColor="text1"/>
                      <w:kern w:val="28"/>
                      <w:szCs w:val="21"/>
                      <w14:textFill>
                        <w14:solidFill>
                          <w14:schemeClr w14:val="tx1"/>
                        </w14:solidFill>
                      </w14:textFill>
                    </w:rPr>
                    <w:t>储油罐</w:t>
                  </w:r>
                </w:p>
              </w:tc>
              <w:tc>
                <w:tcPr>
                  <w:tcW w:w="1146" w:type="pct"/>
                  <w:tcBorders>
                    <w:top w:val="single" w:color="auto" w:sz="4" w:space="0"/>
                    <w:bottom w:val="single" w:color="auto" w:sz="4" w:space="0"/>
                  </w:tcBorders>
                  <w:vAlign w:val="center"/>
                </w:tcPr>
                <w:p w14:paraId="74F790A2">
                  <w:pPr>
                    <w:pStyle w:val="11"/>
                    <w:widowControl/>
                    <w:spacing w:line="240" w:lineRule="auto"/>
                    <w:jc w:val="center"/>
                    <w:rPr>
                      <w:snapToGrid w:val="0"/>
                      <w:color w:val="000000" w:themeColor="text1"/>
                      <w:kern w:val="28"/>
                      <w:szCs w:val="21"/>
                      <w14:textFill>
                        <w14:solidFill>
                          <w14:schemeClr w14:val="tx1"/>
                        </w14:solidFill>
                      </w14:textFill>
                    </w:rPr>
                  </w:pPr>
                  <w:r>
                    <w:rPr>
                      <w:rFonts w:hAnsi="宋体"/>
                      <w:snapToGrid w:val="0"/>
                      <w:color w:val="000000" w:themeColor="text1"/>
                      <w:kern w:val="28"/>
                      <w:szCs w:val="21"/>
                      <w14:textFill>
                        <w14:solidFill>
                          <w14:schemeClr w14:val="tx1"/>
                        </w14:solidFill>
                      </w14:textFill>
                    </w:rPr>
                    <w:t>小呼吸损失</w:t>
                  </w:r>
                </w:p>
              </w:tc>
              <w:tc>
                <w:tcPr>
                  <w:tcW w:w="1360" w:type="pct"/>
                  <w:tcBorders>
                    <w:top w:val="single" w:color="auto" w:sz="4" w:space="0"/>
                    <w:bottom w:val="single" w:color="auto" w:sz="4" w:space="0"/>
                  </w:tcBorders>
                  <w:vAlign w:val="center"/>
                </w:tcPr>
                <w:p w14:paraId="5874910F">
                  <w:pPr>
                    <w:pStyle w:val="11"/>
                    <w:widowControl/>
                    <w:spacing w:line="240" w:lineRule="auto"/>
                    <w:jc w:val="center"/>
                    <w:rPr>
                      <w:rFonts w:hAnsi="宋体"/>
                      <w:snapToGrid w:val="0"/>
                      <w:color w:val="000000" w:themeColor="text1"/>
                      <w:kern w:val="28"/>
                      <w:szCs w:val="21"/>
                      <w14:textFill>
                        <w14:solidFill>
                          <w14:schemeClr w14:val="tx1"/>
                        </w14:solidFill>
                      </w14:textFill>
                    </w:rPr>
                  </w:pPr>
                  <w:r>
                    <w:rPr>
                      <w:rFonts w:hint="eastAsia" w:hAnsi="宋体"/>
                      <w:snapToGrid w:val="0"/>
                      <w:color w:val="000000" w:themeColor="text1"/>
                      <w:kern w:val="28"/>
                      <w:szCs w:val="21"/>
                      <w14:textFill>
                        <w14:solidFill>
                          <w14:schemeClr w14:val="tx1"/>
                        </w14:solidFill>
                      </w14:textFill>
                    </w:rPr>
                    <w:t>0.0005%损耗率</w:t>
                  </w:r>
                </w:p>
              </w:tc>
              <w:tc>
                <w:tcPr>
                  <w:tcW w:w="902" w:type="pct"/>
                  <w:tcBorders>
                    <w:top w:val="single" w:color="auto" w:sz="4" w:space="0"/>
                    <w:bottom w:val="single" w:color="auto" w:sz="4" w:space="0"/>
                  </w:tcBorders>
                  <w:vAlign w:val="center"/>
                </w:tcPr>
                <w:p w14:paraId="0AEDD02F">
                  <w:pPr>
                    <w:pStyle w:val="11"/>
                    <w:widowControl/>
                    <w:spacing w:line="240" w:lineRule="auto"/>
                    <w:jc w:val="center"/>
                    <w:rPr>
                      <w:snapToGrid w:val="0"/>
                      <w:color w:val="000000" w:themeColor="text1"/>
                      <w:kern w:val="28"/>
                      <w:szCs w:val="21"/>
                      <w14:textFill>
                        <w14:solidFill>
                          <w14:schemeClr w14:val="tx1"/>
                        </w14:solidFill>
                      </w14:textFill>
                    </w:rPr>
                  </w:pPr>
                  <w:r>
                    <w:rPr>
                      <w:rFonts w:hint="eastAsia"/>
                      <w:snapToGrid w:val="0"/>
                      <w:color w:val="000000" w:themeColor="text1"/>
                      <w:kern w:val="28"/>
                      <w:szCs w:val="21"/>
                      <w14:textFill>
                        <w14:solidFill>
                          <w14:schemeClr w14:val="tx1"/>
                        </w14:solidFill>
                      </w14:textFill>
                    </w:rPr>
                    <w:t>4600t/a</w:t>
                  </w:r>
                </w:p>
              </w:tc>
              <w:tc>
                <w:tcPr>
                  <w:tcW w:w="959" w:type="pct"/>
                  <w:tcBorders>
                    <w:top w:val="single" w:color="auto" w:sz="4" w:space="0"/>
                    <w:bottom w:val="single" w:color="auto" w:sz="4" w:space="0"/>
                    <w:right w:val="single" w:color="auto" w:sz="4" w:space="0"/>
                  </w:tcBorders>
                  <w:vAlign w:val="center"/>
                </w:tcPr>
                <w:p w14:paraId="6058457B">
                  <w:pPr>
                    <w:pStyle w:val="11"/>
                    <w:widowControl/>
                    <w:spacing w:line="240" w:lineRule="auto"/>
                    <w:jc w:val="center"/>
                    <w:rPr>
                      <w:snapToGrid w:val="0"/>
                      <w:color w:val="000000" w:themeColor="text1"/>
                      <w:kern w:val="28"/>
                      <w:szCs w:val="21"/>
                      <w14:textFill>
                        <w14:solidFill>
                          <w14:schemeClr w14:val="tx1"/>
                        </w14:solidFill>
                      </w14:textFill>
                    </w:rPr>
                  </w:pPr>
                  <w:r>
                    <w:rPr>
                      <w:rFonts w:hint="eastAsia"/>
                      <w:snapToGrid w:val="0"/>
                      <w:color w:val="000000" w:themeColor="text1"/>
                      <w:kern w:val="28"/>
                      <w:szCs w:val="21"/>
                      <w14:textFill>
                        <w14:solidFill>
                          <w14:schemeClr w14:val="tx1"/>
                        </w14:solidFill>
                      </w14:textFill>
                    </w:rPr>
                    <w:t>0.023</w:t>
                  </w:r>
                </w:p>
              </w:tc>
            </w:tr>
            <w:tr w14:paraId="64AE2D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31" w:type="pct"/>
                  <w:vMerge w:val="restart"/>
                  <w:tcBorders>
                    <w:top w:val="single" w:color="auto" w:sz="4" w:space="0"/>
                    <w:left w:val="single" w:color="auto" w:sz="4" w:space="0"/>
                    <w:bottom w:val="single" w:color="auto" w:sz="4" w:space="0"/>
                  </w:tcBorders>
                  <w:vAlign w:val="center"/>
                </w:tcPr>
                <w:p w14:paraId="6A1345CF">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rFonts w:hAnsi="宋体"/>
                      <w:snapToGrid w:val="0"/>
                      <w:color w:val="000000" w:themeColor="text1"/>
                      <w:kern w:val="28"/>
                      <w:szCs w:val="21"/>
                      <w14:textFill>
                        <w14:solidFill>
                          <w14:schemeClr w14:val="tx1"/>
                        </w14:solidFill>
                      </w14:textFill>
                    </w:rPr>
                    <w:t>加油站</w:t>
                  </w:r>
                </w:p>
              </w:tc>
              <w:tc>
                <w:tcPr>
                  <w:tcW w:w="1146" w:type="pct"/>
                  <w:tcBorders>
                    <w:top w:val="single" w:color="auto" w:sz="4" w:space="0"/>
                    <w:bottom w:val="single" w:color="auto" w:sz="4" w:space="0"/>
                  </w:tcBorders>
                  <w:vAlign w:val="center"/>
                </w:tcPr>
                <w:p w14:paraId="006A03D3">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rFonts w:hint="eastAsia" w:hAnsi="宋体"/>
                      <w:snapToGrid w:val="0"/>
                      <w:color w:val="000000" w:themeColor="text1"/>
                      <w:kern w:val="28"/>
                      <w:szCs w:val="21"/>
                      <w14:textFill>
                        <w14:solidFill>
                          <w14:schemeClr w14:val="tx1"/>
                        </w14:solidFill>
                      </w14:textFill>
                    </w:rPr>
                    <w:t>柴油</w:t>
                  </w:r>
                  <w:r>
                    <w:rPr>
                      <w:rFonts w:hAnsi="宋体"/>
                      <w:snapToGrid w:val="0"/>
                      <w:color w:val="000000" w:themeColor="text1"/>
                      <w:kern w:val="28"/>
                      <w:szCs w:val="21"/>
                      <w14:textFill>
                        <w14:solidFill>
                          <w14:schemeClr w14:val="tx1"/>
                        </w14:solidFill>
                      </w14:textFill>
                    </w:rPr>
                    <w:t>加油机作业损失</w:t>
                  </w:r>
                </w:p>
              </w:tc>
              <w:tc>
                <w:tcPr>
                  <w:tcW w:w="1360" w:type="pct"/>
                  <w:tcBorders>
                    <w:top w:val="single" w:color="auto" w:sz="4" w:space="0"/>
                    <w:bottom w:val="single" w:color="auto" w:sz="4" w:space="0"/>
                  </w:tcBorders>
                  <w:vAlign w:val="center"/>
                </w:tcPr>
                <w:p w14:paraId="7E215F29">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snapToGrid w:val="0"/>
                      <w:color w:val="000000" w:themeColor="text1"/>
                      <w:kern w:val="28"/>
                      <w:szCs w:val="21"/>
                      <w14:textFill>
                        <w14:solidFill>
                          <w14:schemeClr w14:val="tx1"/>
                        </w14:solidFill>
                      </w14:textFill>
                    </w:rPr>
                    <w:t>0.</w:t>
                  </w:r>
                  <w:r>
                    <w:rPr>
                      <w:rFonts w:hint="eastAsia"/>
                      <w:snapToGrid w:val="0"/>
                      <w:color w:val="000000" w:themeColor="text1"/>
                      <w:kern w:val="28"/>
                      <w:szCs w:val="21"/>
                      <w14:textFill>
                        <w14:solidFill>
                          <w14:schemeClr w14:val="tx1"/>
                        </w14:solidFill>
                      </w14:textFill>
                    </w:rPr>
                    <w:t>004</w:t>
                  </w:r>
                  <w:r>
                    <w:rPr>
                      <w:snapToGrid w:val="0"/>
                      <w:color w:val="000000" w:themeColor="text1"/>
                      <w:kern w:val="28"/>
                      <w:szCs w:val="21"/>
                      <w14:textFill>
                        <w14:solidFill>
                          <w14:schemeClr w14:val="tx1"/>
                        </w14:solidFill>
                      </w14:textFill>
                    </w:rPr>
                    <w:t>kg/m</w:t>
                  </w:r>
                  <w:r>
                    <w:rPr>
                      <w:snapToGrid w:val="0"/>
                      <w:color w:val="000000" w:themeColor="text1"/>
                      <w:kern w:val="28"/>
                      <w:szCs w:val="21"/>
                      <w:vertAlign w:val="superscript"/>
                      <w14:textFill>
                        <w14:solidFill>
                          <w14:schemeClr w14:val="tx1"/>
                        </w14:solidFill>
                      </w14:textFill>
                    </w:rPr>
                    <w:t>3</w:t>
                  </w:r>
                  <w:r>
                    <w:rPr>
                      <w:rFonts w:hAnsi="宋体"/>
                      <w:snapToGrid w:val="0"/>
                      <w:color w:val="000000" w:themeColor="text1"/>
                      <w:kern w:val="28"/>
                      <w:szCs w:val="21"/>
                      <w14:textFill>
                        <w14:solidFill>
                          <w14:schemeClr w14:val="tx1"/>
                        </w14:solidFill>
                      </w14:textFill>
                    </w:rPr>
                    <w:t>通过量</w:t>
                  </w:r>
                </w:p>
              </w:tc>
              <w:tc>
                <w:tcPr>
                  <w:tcW w:w="902" w:type="pct"/>
                  <w:tcBorders>
                    <w:top w:val="single" w:color="auto" w:sz="4" w:space="0"/>
                    <w:bottom w:val="single" w:color="auto" w:sz="4" w:space="0"/>
                  </w:tcBorders>
                  <w:vAlign w:val="center"/>
                </w:tcPr>
                <w:p w14:paraId="614C99DC">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rFonts w:hint="eastAsia"/>
                      <w:snapToGrid w:val="0"/>
                      <w:color w:val="000000" w:themeColor="text1"/>
                      <w:kern w:val="28"/>
                      <w:szCs w:val="21"/>
                      <w14:textFill>
                        <w14:solidFill>
                          <w14:schemeClr w14:val="tx1"/>
                        </w14:solidFill>
                      </w14:textFill>
                    </w:rPr>
                    <w:t>357.14m</w:t>
                  </w:r>
                  <w:r>
                    <w:rPr>
                      <w:rFonts w:hint="eastAsia"/>
                      <w:snapToGrid w:val="0"/>
                      <w:color w:val="000000" w:themeColor="text1"/>
                      <w:kern w:val="28"/>
                      <w:szCs w:val="21"/>
                      <w:vertAlign w:val="superscript"/>
                      <w14:textFill>
                        <w14:solidFill>
                          <w14:schemeClr w14:val="tx1"/>
                        </w14:solidFill>
                      </w14:textFill>
                    </w:rPr>
                    <w:t>3</w:t>
                  </w:r>
                  <w:r>
                    <w:rPr>
                      <w:rFonts w:hint="eastAsia"/>
                      <w:snapToGrid w:val="0"/>
                      <w:color w:val="000000" w:themeColor="text1"/>
                      <w:kern w:val="28"/>
                      <w:szCs w:val="21"/>
                      <w14:textFill>
                        <w14:solidFill>
                          <w14:schemeClr w14:val="tx1"/>
                        </w14:solidFill>
                      </w14:textFill>
                    </w:rPr>
                    <w:t>/a</w:t>
                  </w:r>
                </w:p>
              </w:tc>
              <w:tc>
                <w:tcPr>
                  <w:tcW w:w="959" w:type="pct"/>
                  <w:tcBorders>
                    <w:top w:val="single" w:color="auto" w:sz="4" w:space="0"/>
                    <w:bottom w:val="single" w:color="auto" w:sz="4" w:space="0"/>
                    <w:right w:val="single" w:color="auto" w:sz="4" w:space="0"/>
                  </w:tcBorders>
                  <w:vAlign w:val="center"/>
                </w:tcPr>
                <w:p w14:paraId="52B77FC9">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rFonts w:hint="eastAsia"/>
                      <w:snapToGrid w:val="0"/>
                      <w:color w:val="000000" w:themeColor="text1"/>
                      <w:kern w:val="28"/>
                      <w:szCs w:val="21"/>
                      <w14:textFill>
                        <w14:solidFill>
                          <w14:schemeClr w14:val="tx1"/>
                        </w14:solidFill>
                      </w14:textFill>
                    </w:rPr>
                    <w:t>0.0014</w:t>
                  </w:r>
                </w:p>
              </w:tc>
            </w:tr>
            <w:tr w14:paraId="46A564C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31" w:type="pct"/>
                  <w:vMerge w:val="continue"/>
                  <w:tcBorders>
                    <w:left w:val="single" w:color="auto" w:sz="4" w:space="0"/>
                  </w:tcBorders>
                  <w:vAlign w:val="center"/>
                </w:tcPr>
                <w:p w14:paraId="090D5A77">
                  <w:pPr>
                    <w:pStyle w:val="16"/>
                    <w:widowControl/>
                    <w:spacing w:after="0" w:line="240" w:lineRule="auto"/>
                    <w:ind w:left="0" w:leftChars="0"/>
                    <w:jc w:val="center"/>
                    <w:rPr>
                      <w:rFonts w:hAnsi="宋体"/>
                      <w:snapToGrid w:val="0"/>
                      <w:color w:val="000000" w:themeColor="text1"/>
                      <w:kern w:val="28"/>
                      <w:szCs w:val="21"/>
                      <w14:textFill>
                        <w14:solidFill>
                          <w14:schemeClr w14:val="tx1"/>
                        </w14:solidFill>
                      </w14:textFill>
                    </w:rPr>
                  </w:pPr>
                </w:p>
              </w:tc>
              <w:tc>
                <w:tcPr>
                  <w:tcW w:w="1146" w:type="pct"/>
                  <w:tcBorders>
                    <w:top w:val="single" w:color="auto" w:sz="4" w:space="0"/>
                    <w:bottom w:val="single" w:color="auto" w:sz="4" w:space="0"/>
                  </w:tcBorders>
                  <w:vAlign w:val="center"/>
                </w:tcPr>
                <w:p w14:paraId="60543922">
                  <w:pPr>
                    <w:pStyle w:val="16"/>
                    <w:widowControl/>
                    <w:spacing w:after="0" w:line="240" w:lineRule="auto"/>
                    <w:ind w:left="0" w:leftChars="0"/>
                    <w:jc w:val="center"/>
                    <w:rPr>
                      <w:rFonts w:hAnsi="宋体"/>
                      <w:snapToGrid w:val="0"/>
                      <w:color w:val="000000" w:themeColor="text1"/>
                      <w:kern w:val="28"/>
                      <w:szCs w:val="21"/>
                      <w14:textFill>
                        <w14:solidFill>
                          <w14:schemeClr w14:val="tx1"/>
                        </w14:solidFill>
                      </w14:textFill>
                    </w:rPr>
                  </w:pPr>
                  <w:r>
                    <w:rPr>
                      <w:rFonts w:hint="eastAsia" w:hAnsi="宋体"/>
                      <w:snapToGrid w:val="0"/>
                      <w:color w:val="000000" w:themeColor="text1"/>
                      <w:kern w:val="28"/>
                      <w:szCs w:val="21"/>
                      <w14:textFill>
                        <w14:solidFill>
                          <w14:schemeClr w14:val="tx1"/>
                        </w14:solidFill>
                      </w14:textFill>
                    </w:rPr>
                    <w:t>汽油加油机作业损失</w:t>
                  </w:r>
                </w:p>
              </w:tc>
              <w:tc>
                <w:tcPr>
                  <w:tcW w:w="1360" w:type="pct"/>
                  <w:tcBorders>
                    <w:top w:val="single" w:color="auto" w:sz="4" w:space="0"/>
                    <w:bottom w:val="single" w:color="auto" w:sz="4" w:space="0"/>
                  </w:tcBorders>
                  <w:vAlign w:val="center"/>
                </w:tcPr>
                <w:p w14:paraId="1A20A625">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rFonts w:hint="eastAsia"/>
                      <w:snapToGrid w:val="0"/>
                      <w:color w:val="000000" w:themeColor="text1"/>
                      <w:kern w:val="28"/>
                      <w:szCs w:val="21"/>
                      <w14:textFill>
                        <w14:solidFill>
                          <w14:schemeClr w14:val="tx1"/>
                        </w14:solidFill>
                      </w14:textFill>
                    </w:rPr>
                    <w:t>0.015</w:t>
                  </w:r>
                  <w:r>
                    <w:rPr>
                      <w:snapToGrid w:val="0"/>
                      <w:color w:val="000000" w:themeColor="text1"/>
                      <w:kern w:val="28"/>
                      <w:szCs w:val="21"/>
                      <w14:textFill>
                        <w14:solidFill>
                          <w14:schemeClr w14:val="tx1"/>
                        </w14:solidFill>
                      </w14:textFill>
                    </w:rPr>
                    <w:t>kg/m</w:t>
                  </w:r>
                  <w:r>
                    <w:rPr>
                      <w:snapToGrid w:val="0"/>
                      <w:color w:val="000000" w:themeColor="text1"/>
                      <w:kern w:val="28"/>
                      <w:szCs w:val="21"/>
                      <w:vertAlign w:val="superscript"/>
                      <w14:textFill>
                        <w14:solidFill>
                          <w14:schemeClr w14:val="tx1"/>
                        </w14:solidFill>
                      </w14:textFill>
                    </w:rPr>
                    <w:t>3</w:t>
                  </w:r>
                  <w:r>
                    <w:rPr>
                      <w:rFonts w:hAnsi="宋体"/>
                      <w:snapToGrid w:val="0"/>
                      <w:color w:val="000000" w:themeColor="text1"/>
                      <w:kern w:val="28"/>
                      <w:szCs w:val="21"/>
                      <w14:textFill>
                        <w14:solidFill>
                          <w14:schemeClr w14:val="tx1"/>
                        </w14:solidFill>
                      </w14:textFill>
                    </w:rPr>
                    <w:t>通过量</w:t>
                  </w:r>
                </w:p>
              </w:tc>
              <w:tc>
                <w:tcPr>
                  <w:tcW w:w="902" w:type="pct"/>
                  <w:tcBorders>
                    <w:top w:val="single" w:color="auto" w:sz="4" w:space="0"/>
                    <w:bottom w:val="single" w:color="auto" w:sz="4" w:space="0"/>
                  </w:tcBorders>
                  <w:vAlign w:val="center"/>
                </w:tcPr>
                <w:p w14:paraId="71929648">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rFonts w:hint="eastAsia"/>
                      <w:snapToGrid w:val="0"/>
                      <w:color w:val="000000" w:themeColor="text1"/>
                      <w:kern w:val="28"/>
                      <w:szCs w:val="21"/>
                      <w14:textFill>
                        <w14:solidFill>
                          <w14:schemeClr w14:val="tx1"/>
                        </w14:solidFill>
                      </w14:textFill>
                    </w:rPr>
                    <w:t>5931.03m</w:t>
                  </w:r>
                  <w:r>
                    <w:rPr>
                      <w:rFonts w:hint="eastAsia"/>
                      <w:snapToGrid w:val="0"/>
                      <w:color w:val="000000" w:themeColor="text1"/>
                      <w:kern w:val="28"/>
                      <w:szCs w:val="21"/>
                      <w:vertAlign w:val="superscript"/>
                      <w14:textFill>
                        <w14:solidFill>
                          <w14:schemeClr w14:val="tx1"/>
                        </w14:solidFill>
                      </w14:textFill>
                    </w:rPr>
                    <w:t>3</w:t>
                  </w:r>
                  <w:r>
                    <w:rPr>
                      <w:rFonts w:hint="eastAsia"/>
                      <w:snapToGrid w:val="0"/>
                      <w:color w:val="000000" w:themeColor="text1"/>
                      <w:kern w:val="28"/>
                      <w:szCs w:val="21"/>
                      <w14:textFill>
                        <w14:solidFill>
                          <w14:schemeClr w14:val="tx1"/>
                        </w14:solidFill>
                      </w14:textFill>
                    </w:rPr>
                    <w:t>/a</w:t>
                  </w:r>
                </w:p>
              </w:tc>
              <w:tc>
                <w:tcPr>
                  <w:tcW w:w="959" w:type="pct"/>
                  <w:tcBorders>
                    <w:top w:val="single" w:color="auto" w:sz="4" w:space="0"/>
                    <w:bottom w:val="single" w:color="auto" w:sz="4" w:space="0"/>
                    <w:right w:val="single" w:color="auto" w:sz="4" w:space="0"/>
                  </w:tcBorders>
                  <w:vAlign w:val="center"/>
                </w:tcPr>
                <w:p w14:paraId="1F9C34E1">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rFonts w:hint="eastAsia"/>
                      <w:snapToGrid w:val="0"/>
                      <w:color w:val="000000" w:themeColor="text1"/>
                      <w:kern w:val="28"/>
                      <w:szCs w:val="21"/>
                      <w14:textFill>
                        <w14:solidFill>
                          <w14:schemeClr w14:val="tx1"/>
                        </w14:solidFill>
                      </w14:textFill>
                    </w:rPr>
                    <w:t>0.089</w:t>
                  </w:r>
                </w:p>
              </w:tc>
            </w:tr>
            <w:tr w14:paraId="554281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exact"/>
                <w:jc w:val="center"/>
              </w:trPr>
              <w:tc>
                <w:tcPr>
                  <w:tcW w:w="631" w:type="pct"/>
                  <w:vMerge w:val="continue"/>
                  <w:tcBorders>
                    <w:top w:val="single" w:color="auto" w:sz="4" w:space="0"/>
                    <w:left w:val="single" w:color="auto" w:sz="4" w:space="0"/>
                    <w:bottom w:val="single" w:color="auto" w:sz="4" w:space="0"/>
                  </w:tcBorders>
                  <w:vAlign w:val="center"/>
                </w:tcPr>
                <w:p w14:paraId="52189D68">
                  <w:pPr>
                    <w:pStyle w:val="16"/>
                    <w:widowControl/>
                    <w:spacing w:after="0" w:line="240" w:lineRule="auto"/>
                    <w:jc w:val="center"/>
                    <w:rPr>
                      <w:snapToGrid w:val="0"/>
                      <w:color w:val="000000" w:themeColor="text1"/>
                      <w:kern w:val="28"/>
                      <w:szCs w:val="21"/>
                      <w14:textFill>
                        <w14:solidFill>
                          <w14:schemeClr w14:val="tx1"/>
                        </w14:solidFill>
                      </w14:textFill>
                    </w:rPr>
                  </w:pPr>
                </w:p>
              </w:tc>
              <w:tc>
                <w:tcPr>
                  <w:tcW w:w="1146" w:type="pct"/>
                  <w:tcBorders>
                    <w:top w:val="single" w:color="auto" w:sz="4" w:space="0"/>
                    <w:bottom w:val="single" w:color="auto" w:sz="4" w:space="0"/>
                  </w:tcBorders>
                  <w:vAlign w:val="center"/>
                </w:tcPr>
                <w:p w14:paraId="155B7A92">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rFonts w:hAnsi="宋体"/>
                      <w:snapToGrid w:val="0"/>
                      <w:color w:val="000000" w:themeColor="text1"/>
                      <w:kern w:val="28"/>
                      <w:szCs w:val="21"/>
                      <w14:textFill>
                        <w14:solidFill>
                          <w14:schemeClr w14:val="tx1"/>
                        </w14:solidFill>
                      </w14:textFill>
                    </w:rPr>
                    <w:t>加油机作业跑冒滴漏损失</w:t>
                  </w:r>
                </w:p>
              </w:tc>
              <w:tc>
                <w:tcPr>
                  <w:tcW w:w="1360" w:type="pct"/>
                  <w:tcBorders>
                    <w:top w:val="single" w:color="auto" w:sz="4" w:space="0"/>
                    <w:bottom w:val="single" w:color="auto" w:sz="4" w:space="0"/>
                  </w:tcBorders>
                  <w:vAlign w:val="center"/>
                </w:tcPr>
                <w:p w14:paraId="7179FA12">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snapToGrid w:val="0"/>
                      <w:color w:val="000000" w:themeColor="text1"/>
                      <w:kern w:val="28"/>
                      <w:szCs w:val="21"/>
                      <w14:textFill>
                        <w14:solidFill>
                          <w14:schemeClr w14:val="tx1"/>
                        </w14:solidFill>
                      </w14:textFill>
                    </w:rPr>
                    <w:t>0.084kg/m</w:t>
                  </w:r>
                  <w:r>
                    <w:rPr>
                      <w:snapToGrid w:val="0"/>
                      <w:color w:val="000000" w:themeColor="text1"/>
                      <w:kern w:val="28"/>
                      <w:szCs w:val="21"/>
                      <w:vertAlign w:val="superscript"/>
                      <w14:textFill>
                        <w14:solidFill>
                          <w14:schemeClr w14:val="tx1"/>
                        </w14:solidFill>
                      </w14:textFill>
                    </w:rPr>
                    <w:t>3</w:t>
                  </w:r>
                  <w:r>
                    <w:rPr>
                      <w:rFonts w:hAnsi="宋体"/>
                      <w:snapToGrid w:val="0"/>
                      <w:color w:val="000000" w:themeColor="text1"/>
                      <w:kern w:val="28"/>
                      <w:szCs w:val="21"/>
                      <w14:textFill>
                        <w14:solidFill>
                          <w14:schemeClr w14:val="tx1"/>
                        </w14:solidFill>
                      </w14:textFill>
                    </w:rPr>
                    <w:t>通过量</w:t>
                  </w:r>
                </w:p>
              </w:tc>
              <w:tc>
                <w:tcPr>
                  <w:tcW w:w="902" w:type="pct"/>
                  <w:tcBorders>
                    <w:top w:val="single" w:color="auto" w:sz="4" w:space="0"/>
                    <w:bottom w:val="single" w:color="auto" w:sz="4" w:space="0"/>
                  </w:tcBorders>
                  <w:vAlign w:val="center"/>
                </w:tcPr>
                <w:p w14:paraId="6F7B65DE">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rFonts w:hint="eastAsia"/>
                      <w:snapToGrid w:val="0"/>
                      <w:color w:val="000000" w:themeColor="text1"/>
                      <w:kern w:val="28"/>
                      <w:szCs w:val="21"/>
                      <w14:textFill>
                        <w14:solidFill>
                          <w14:schemeClr w14:val="tx1"/>
                        </w14:solidFill>
                      </w14:textFill>
                    </w:rPr>
                    <w:t>6288.17m</w:t>
                  </w:r>
                  <w:r>
                    <w:rPr>
                      <w:rFonts w:hint="eastAsia"/>
                      <w:snapToGrid w:val="0"/>
                      <w:color w:val="000000" w:themeColor="text1"/>
                      <w:kern w:val="28"/>
                      <w:szCs w:val="21"/>
                      <w:vertAlign w:val="superscript"/>
                      <w14:textFill>
                        <w14:solidFill>
                          <w14:schemeClr w14:val="tx1"/>
                        </w14:solidFill>
                      </w14:textFill>
                    </w:rPr>
                    <w:t>3</w:t>
                  </w:r>
                  <w:r>
                    <w:rPr>
                      <w:rFonts w:hint="eastAsia"/>
                      <w:snapToGrid w:val="0"/>
                      <w:color w:val="000000" w:themeColor="text1"/>
                      <w:kern w:val="28"/>
                      <w:szCs w:val="21"/>
                      <w14:textFill>
                        <w14:solidFill>
                          <w14:schemeClr w14:val="tx1"/>
                        </w14:solidFill>
                      </w14:textFill>
                    </w:rPr>
                    <w:t>/a</w:t>
                  </w:r>
                </w:p>
              </w:tc>
              <w:tc>
                <w:tcPr>
                  <w:tcW w:w="959" w:type="pct"/>
                  <w:tcBorders>
                    <w:top w:val="single" w:color="auto" w:sz="4" w:space="0"/>
                    <w:bottom w:val="single" w:color="auto" w:sz="4" w:space="0"/>
                    <w:right w:val="single" w:color="auto" w:sz="4" w:space="0"/>
                  </w:tcBorders>
                  <w:vAlign w:val="center"/>
                </w:tcPr>
                <w:p w14:paraId="6BFFF40D">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rFonts w:hint="eastAsia"/>
                      <w:snapToGrid w:val="0"/>
                      <w:color w:val="000000" w:themeColor="text1"/>
                      <w:kern w:val="28"/>
                      <w:szCs w:val="21"/>
                      <w14:textFill>
                        <w14:solidFill>
                          <w14:schemeClr w14:val="tx1"/>
                        </w14:solidFill>
                      </w14:textFill>
                    </w:rPr>
                    <w:t>0.53</w:t>
                  </w:r>
                </w:p>
              </w:tc>
            </w:tr>
            <w:tr w14:paraId="32F5451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4040" w:type="pct"/>
                  <w:gridSpan w:val="4"/>
                  <w:tcBorders>
                    <w:top w:val="single" w:color="auto" w:sz="4" w:space="0"/>
                    <w:left w:val="single" w:color="auto" w:sz="4" w:space="0"/>
                    <w:bottom w:val="single" w:color="auto" w:sz="4" w:space="0"/>
                  </w:tcBorders>
                  <w:vAlign w:val="center"/>
                </w:tcPr>
                <w:p w14:paraId="735D799B">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rFonts w:hAnsi="宋体"/>
                      <w:snapToGrid w:val="0"/>
                      <w:color w:val="000000" w:themeColor="text1"/>
                      <w:kern w:val="28"/>
                      <w:szCs w:val="21"/>
                      <w14:textFill>
                        <w14:solidFill>
                          <w14:schemeClr w14:val="tx1"/>
                        </w14:solidFill>
                      </w14:textFill>
                    </w:rPr>
                    <w:t>合计</w:t>
                  </w:r>
                </w:p>
              </w:tc>
              <w:tc>
                <w:tcPr>
                  <w:tcW w:w="959" w:type="pct"/>
                  <w:tcBorders>
                    <w:top w:val="single" w:color="auto" w:sz="4" w:space="0"/>
                    <w:bottom w:val="single" w:color="auto" w:sz="4" w:space="0"/>
                    <w:right w:val="single" w:color="auto" w:sz="4" w:space="0"/>
                  </w:tcBorders>
                  <w:vAlign w:val="center"/>
                </w:tcPr>
                <w:p w14:paraId="640F1DC0">
                  <w:pPr>
                    <w:pStyle w:val="16"/>
                    <w:widowControl/>
                    <w:spacing w:after="0" w:line="240" w:lineRule="auto"/>
                    <w:ind w:left="0" w:leftChars="0"/>
                    <w:jc w:val="center"/>
                    <w:rPr>
                      <w:snapToGrid w:val="0"/>
                      <w:color w:val="000000" w:themeColor="text1"/>
                      <w:kern w:val="28"/>
                      <w:szCs w:val="21"/>
                      <w14:textFill>
                        <w14:solidFill>
                          <w14:schemeClr w14:val="tx1"/>
                        </w14:solidFill>
                      </w14:textFill>
                    </w:rPr>
                  </w:pPr>
                  <w:r>
                    <w:rPr>
                      <w:rFonts w:hint="eastAsia"/>
                      <w:snapToGrid w:val="0"/>
                      <w:color w:val="000000" w:themeColor="text1"/>
                      <w:kern w:val="28"/>
                      <w:szCs w:val="21"/>
                      <w14:textFill>
                        <w14:solidFill>
                          <w14:schemeClr w14:val="tx1"/>
                        </w14:solidFill>
                      </w14:textFill>
                    </w:rPr>
                    <w:t>0.6434</w:t>
                  </w:r>
                </w:p>
              </w:tc>
            </w:tr>
          </w:tbl>
          <w:p w14:paraId="06674963">
            <w:pPr>
              <w:spacing w:line="50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根据《加油站大气污染物排放标准》中相关技术措施要求，加油站卸油、储油和加油时排放的油气，应采用以密闭收集为基础的油气回收方法进行控制，本项目以密闭</w:t>
            </w:r>
            <w:r>
              <w:rPr>
                <w:rFonts w:hint="eastAsia" w:ascii="宋体" w:hAnsi="宋体" w:cs="宋体"/>
                <w:color w:val="000000" w:themeColor="text1"/>
                <w:sz w:val="24"/>
                <w14:textFill>
                  <w14:solidFill>
                    <w14:schemeClr w14:val="tx1"/>
                  </w14:solidFill>
                </w14:textFill>
              </w:rPr>
              <w:t>管道回流至油罐车内实现零排放，加油及油罐大小呼吸设置</w:t>
            </w:r>
            <w:r>
              <w:rPr>
                <w:rFonts w:ascii="宋体" w:hAnsi="宋体" w:cs="宋体"/>
                <w:color w:val="000000" w:themeColor="text1"/>
                <w:sz w:val="24"/>
                <w14:textFill>
                  <w14:solidFill>
                    <w14:schemeClr w14:val="tx1"/>
                  </w14:solidFill>
                </w14:textFill>
              </w:rPr>
              <w:t>油气回收</w:t>
            </w:r>
            <w:r>
              <w:rPr>
                <w:rFonts w:hint="eastAsia" w:ascii="宋体" w:hAnsi="宋体" w:cs="宋体"/>
                <w:color w:val="000000" w:themeColor="text1"/>
                <w:sz w:val="24"/>
                <w14:textFill>
                  <w14:solidFill>
                    <w14:schemeClr w14:val="tx1"/>
                  </w14:solidFill>
                </w14:textFill>
              </w:rPr>
              <w:t>系统，</w:t>
            </w:r>
            <w:r>
              <w:rPr>
                <w:rFonts w:ascii="宋体" w:hAnsi="宋体" w:cs="宋体"/>
                <w:color w:val="000000" w:themeColor="text1"/>
                <w:sz w:val="24"/>
                <w14:textFill>
                  <w14:solidFill>
                    <w14:schemeClr w14:val="tx1"/>
                  </w14:solidFill>
                </w14:textFill>
              </w:rPr>
              <w:t>处理效率为95%，经处理后的废气VOCs（以非甲烷总烃计）排放量为</w:t>
            </w:r>
            <w:r>
              <w:rPr>
                <w:rFonts w:hint="eastAsia" w:ascii="宋体" w:hAnsi="宋体" w:cs="宋体"/>
                <w:color w:val="000000" w:themeColor="text1"/>
                <w:sz w:val="24"/>
                <w14:textFill>
                  <w14:solidFill>
                    <w14:schemeClr w14:val="tx1"/>
                  </w14:solidFill>
                </w14:textFill>
              </w:rPr>
              <w:t>0.6434</w:t>
            </w:r>
            <w:r>
              <w:rPr>
                <w:rFonts w:ascii="宋体" w:hAnsi="宋体" w:cs="宋体"/>
                <w:color w:val="000000" w:themeColor="text1"/>
                <w:sz w:val="24"/>
                <w14:textFill>
                  <w14:solidFill>
                    <w14:schemeClr w14:val="tx1"/>
                  </w14:solidFill>
                </w14:textFill>
              </w:rPr>
              <w:t>t/a。</w:t>
            </w:r>
          </w:p>
          <w:p w14:paraId="437714E2">
            <w:pPr>
              <w:tabs>
                <w:tab w:val="left" w:pos="1620"/>
              </w:tabs>
              <w:adjustRightInd w:val="0"/>
              <w:snapToGrid w:val="0"/>
              <w:spacing w:line="400" w:lineRule="exact"/>
              <w:ind w:firstLine="482" w:firstLineChars="200"/>
              <w:rPr>
                <w:b/>
                <w:snapToGrid w:val="0"/>
                <w:color w:val="000000" w:themeColor="text1"/>
                <w:kern w:val="0"/>
                <w:sz w:val="24"/>
                <w14:textFill>
                  <w14:solidFill>
                    <w14:schemeClr w14:val="tx1"/>
                  </w14:solidFill>
                </w14:textFill>
              </w:rPr>
            </w:pPr>
            <w:r>
              <w:rPr>
                <w:rFonts w:hint="eastAsia"/>
                <w:b/>
                <w:snapToGrid w:val="0"/>
                <w:color w:val="000000" w:themeColor="text1"/>
                <w:kern w:val="0"/>
                <w:sz w:val="24"/>
                <w14:textFill>
                  <w14:solidFill>
                    <w14:schemeClr w14:val="tx1"/>
                  </w14:solidFill>
                </w14:textFill>
              </w:rPr>
              <w:t>废气产生及排放情况：</w:t>
            </w:r>
          </w:p>
          <w:p w14:paraId="4A690B9A">
            <w:pPr>
              <w:spacing w:line="400" w:lineRule="exact"/>
              <w:jc w:val="center"/>
              <w:rPr>
                <w:color w:val="000000" w:themeColor="text1"/>
                <w14:textFill>
                  <w14:solidFill>
                    <w14:schemeClr w14:val="tx1"/>
                  </w14:solidFill>
                </w14:textFill>
              </w:rPr>
            </w:pPr>
            <w:r>
              <w:rPr>
                <w:rFonts w:hint="eastAsia"/>
                <w:b/>
                <w:color w:val="000000" w:themeColor="text1"/>
                <w:sz w:val="24"/>
                <w14:textFill>
                  <w14:solidFill>
                    <w14:schemeClr w14:val="tx1"/>
                  </w14:solidFill>
                </w14:textFill>
              </w:rPr>
              <w:t>表4-4    无组织废气污染源强参数表</w:t>
            </w:r>
          </w:p>
          <w:tbl>
            <w:tblPr>
              <w:tblStyle w:val="27"/>
              <w:tblW w:w="4975"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605"/>
              <w:gridCol w:w="604"/>
              <w:gridCol w:w="614"/>
              <w:gridCol w:w="825"/>
              <w:gridCol w:w="825"/>
              <w:gridCol w:w="974"/>
              <w:gridCol w:w="1520"/>
              <w:gridCol w:w="1220"/>
              <w:gridCol w:w="793"/>
              <w:gridCol w:w="752"/>
              <w:gridCol w:w="586"/>
            </w:tblGrid>
            <w:tr w14:paraId="2B5711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325" w:type="pct"/>
                  <w:vMerge w:val="restart"/>
                  <w:tcBorders>
                    <w:top w:val="single" w:color="auto" w:sz="4" w:space="0"/>
                    <w:left w:val="single" w:color="auto" w:sz="2" w:space="0"/>
                    <w:right w:val="single" w:color="auto" w:sz="2" w:space="0"/>
                  </w:tcBorders>
                  <w:vAlign w:val="center"/>
                </w:tcPr>
                <w:p w14:paraId="3AEEE332">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面源</w:t>
                  </w:r>
                </w:p>
              </w:tc>
              <w:tc>
                <w:tcPr>
                  <w:tcW w:w="653" w:type="pct"/>
                  <w:gridSpan w:val="2"/>
                  <w:tcBorders>
                    <w:top w:val="single" w:color="auto" w:sz="4" w:space="0"/>
                    <w:left w:val="single" w:color="auto" w:sz="2" w:space="0"/>
                    <w:bottom w:val="single" w:color="auto" w:sz="2" w:space="0"/>
                    <w:right w:val="single" w:color="auto" w:sz="2" w:space="0"/>
                  </w:tcBorders>
                  <w:vAlign w:val="center"/>
                </w:tcPr>
                <w:p w14:paraId="798EBD3E">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面源起点坐标</w:t>
                  </w:r>
                </w:p>
              </w:tc>
              <w:tc>
                <w:tcPr>
                  <w:tcW w:w="442" w:type="pct"/>
                  <w:vMerge w:val="restart"/>
                  <w:tcBorders>
                    <w:top w:val="single" w:color="auto" w:sz="4" w:space="0"/>
                    <w:left w:val="single" w:color="auto" w:sz="2" w:space="0"/>
                    <w:right w:val="single" w:color="auto" w:sz="2" w:space="0"/>
                  </w:tcBorders>
                  <w:vAlign w:val="center"/>
                </w:tcPr>
                <w:p w14:paraId="73FEE9AF">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面源长度</w:t>
                  </w:r>
                </w:p>
              </w:tc>
              <w:tc>
                <w:tcPr>
                  <w:tcW w:w="442" w:type="pct"/>
                  <w:vMerge w:val="restart"/>
                  <w:tcBorders>
                    <w:top w:val="single" w:color="auto" w:sz="4" w:space="0"/>
                    <w:left w:val="single" w:color="auto" w:sz="2" w:space="0"/>
                    <w:right w:val="single" w:color="auto" w:sz="2" w:space="0"/>
                  </w:tcBorders>
                  <w:vAlign w:val="center"/>
                </w:tcPr>
                <w:p w14:paraId="1557C9A6">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面源宽度</w:t>
                  </w:r>
                </w:p>
              </w:tc>
              <w:tc>
                <w:tcPr>
                  <w:tcW w:w="522" w:type="pct"/>
                  <w:vMerge w:val="restart"/>
                  <w:tcBorders>
                    <w:top w:val="single" w:color="auto" w:sz="4" w:space="0"/>
                    <w:left w:val="single" w:color="auto" w:sz="2" w:space="0"/>
                    <w:right w:val="single" w:color="auto" w:sz="2" w:space="0"/>
                  </w:tcBorders>
                  <w:vAlign w:val="center"/>
                </w:tcPr>
                <w:p w14:paraId="63DFAE82">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与正北夹角</w:t>
                  </w:r>
                </w:p>
              </w:tc>
              <w:tc>
                <w:tcPr>
                  <w:tcW w:w="815" w:type="pct"/>
                  <w:vMerge w:val="restart"/>
                  <w:tcBorders>
                    <w:top w:val="single" w:color="auto" w:sz="4" w:space="0"/>
                    <w:left w:val="single" w:color="auto" w:sz="2" w:space="0"/>
                    <w:right w:val="single" w:color="auto" w:sz="2" w:space="0"/>
                  </w:tcBorders>
                  <w:vAlign w:val="center"/>
                </w:tcPr>
                <w:p w14:paraId="17369CD4">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面源有效排放高度</w:t>
                  </w:r>
                </w:p>
              </w:tc>
              <w:tc>
                <w:tcPr>
                  <w:tcW w:w="654" w:type="pct"/>
                  <w:vMerge w:val="restart"/>
                  <w:tcBorders>
                    <w:top w:val="single" w:color="auto" w:sz="4" w:space="0"/>
                    <w:left w:val="single" w:color="auto" w:sz="2" w:space="0"/>
                    <w:right w:val="single" w:color="auto" w:sz="2" w:space="0"/>
                  </w:tcBorders>
                  <w:vAlign w:val="center"/>
                </w:tcPr>
                <w:p w14:paraId="252B1E33">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年排放小时数</w:t>
                  </w:r>
                </w:p>
              </w:tc>
              <w:tc>
                <w:tcPr>
                  <w:tcW w:w="425" w:type="pct"/>
                  <w:vMerge w:val="restart"/>
                  <w:tcBorders>
                    <w:top w:val="single" w:color="auto" w:sz="4" w:space="0"/>
                    <w:left w:val="single" w:color="auto" w:sz="2" w:space="0"/>
                    <w:right w:val="single" w:color="auto" w:sz="2" w:space="0"/>
                  </w:tcBorders>
                  <w:vAlign w:val="center"/>
                </w:tcPr>
                <w:p w14:paraId="02325250">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排放工况</w:t>
                  </w:r>
                </w:p>
              </w:tc>
              <w:tc>
                <w:tcPr>
                  <w:tcW w:w="717" w:type="pct"/>
                  <w:gridSpan w:val="2"/>
                  <w:vMerge w:val="restart"/>
                  <w:tcBorders>
                    <w:top w:val="single" w:color="auto" w:sz="4" w:space="0"/>
                    <w:left w:val="single" w:color="auto" w:sz="2" w:space="0"/>
                    <w:right w:val="single" w:color="auto" w:sz="4" w:space="0"/>
                  </w:tcBorders>
                  <w:vAlign w:val="center"/>
                </w:tcPr>
                <w:p w14:paraId="5F8C7AFC">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评价因子源强</w:t>
                  </w:r>
                </w:p>
              </w:tc>
            </w:tr>
            <w:tr w14:paraId="3098E0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325" w:type="pct"/>
                  <w:vMerge w:val="continue"/>
                  <w:tcBorders>
                    <w:left w:val="single" w:color="auto" w:sz="2" w:space="0"/>
                    <w:right w:val="single" w:color="auto" w:sz="2" w:space="0"/>
                  </w:tcBorders>
                  <w:vAlign w:val="center"/>
                </w:tcPr>
                <w:p w14:paraId="46353793">
                  <w:pPr>
                    <w:ind w:left="-105" w:leftChars="-50" w:right="-105" w:rightChars="-50"/>
                    <w:jc w:val="center"/>
                    <w:rPr>
                      <w:snapToGrid w:val="0"/>
                      <w:color w:val="000000" w:themeColor="text1"/>
                      <w:kern w:val="0"/>
                      <w:szCs w:val="21"/>
                      <w14:textFill>
                        <w14:solidFill>
                          <w14:schemeClr w14:val="tx1"/>
                        </w14:solidFill>
                      </w14:textFill>
                    </w:rPr>
                  </w:pPr>
                </w:p>
              </w:tc>
              <w:tc>
                <w:tcPr>
                  <w:tcW w:w="324" w:type="pct"/>
                  <w:tcBorders>
                    <w:top w:val="single" w:color="auto" w:sz="4" w:space="0"/>
                    <w:left w:val="single" w:color="auto" w:sz="2" w:space="0"/>
                    <w:bottom w:val="single" w:color="auto" w:sz="2" w:space="0"/>
                    <w:right w:val="single" w:color="auto" w:sz="2" w:space="0"/>
                  </w:tcBorders>
                  <w:vAlign w:val="center"/>
                </w:tcPr>
                <w:p w14:paraId="02A1C9D0">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X</w:t>
                  </w:r>
                </w:p>
              </w:tc>
              <w:tc>
                <w:tcPr>
                  <w:tcW w:w="329" w:type="pct"/>
                  <w:tcBorders>
                    <w:top w:val="single" w:color="auto" w:sz="4" w:space="0"/>
                    <w:left w:val="single" w:color="auto" w:sz="2" w:space="0"/>
                    <w:bottom w:val="single" w:color="auto" w:sz="2" w:space="0"/>
                    <w:right w:val="single" w:color="auto" w:sz="2" w:space="0"/>
                  </w:tcBorders>
                  <w:vAlign w:val="center"/>
                </w:tcPr>
                <w:p w14:paraId="13C7E803">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 xml:space="preserve">Y </w:t>
                  </w:r>
                </w:p>
              </w:tc>
              <w:tc>
                <w:tcPr>
                  <w:tcW w:w="442" w:type="pct"/>
                  <w:vMerge w:val="continue"/>
                  <w:tcBorders>
                    <w:left w:val="single" w:color="auto" w:sz="2" w:space="0"/>
                    <w:bottom w:val="single" w:color="auto" w:sz="2" w:space="0"/>
                    <w:right w:val="single" w:color="auto" w:sz="2" w:space="0"/>
                  </w:tcBorders>
                  <w:vAlign w:val="center"/>
                </w:tcPr>
                <w:p w14:paraId="771C7E73">
                  <w:pPr>
                    <w:ind w:left="-105" w:leftChars="-50" w:right="-105" w:rightChars="-50"/>
                    <w:jc w:val="center"/>
                    <w:rPr>
                      <w:snapToGrid w:val="0"/>
                      <w:color w:val="000000" w:themeColor="text1"/>
                      <w:kern w:val="0"/>
                      <w:szCs w:val="21"/>
                      <w14:textFill>
                        <w14:solidFill>
                          <w14:schemeClr w14:val="tx1"/>
                        </w14:solidFill>
                      </w14:textFill>
                    </w:rPr>
                  </w:pPr>
                </w:p>
              </w:tc>
              <w:tc>
                <w:tcPr>
                  <w:tcW w:w="442" w:type="pct"/>
                  <w:vMerge w:val="continue"/>
                  <w:tcBorders>
                    <w:left w:val="single" w:color="auto" w:sz="2" w:space="0"/>
                    <w:bottom w:val="single" w:color="auto" w:sz="2" w:space="0"/>
                    <w:right w:val="single" w:color="auto" w:sz="2" w:space="0"/>
                  </w:tcBorders>
                  <w:vAlign w:val="center"/>
                </w:tcPr>
                <w:p w14:paraId="1B2BFDF0">
                  <w:pPr>
                    <w:ind w:left="-105" w:leftChars="-50" w:right="-105" w:rightChars="-50"/>
                    <w:jc w:val="center"/>
                    <w:rPr>
                      <w:snapToGrid w:val="0"/>
                      <w:color w:val="000000" w:themeColor="text1"/>
                      <w:kern w:val="0"/>
                      <w:szCs w:val="21"/>
                      <w14:textFill>
                        <w14:solidFill>
                          <w14:schemeClr w14:val="tx1"/>
                        </w14:solidFill>
                      </w14:textFill>
                    </w:rPr>
                  </w:pPr>
                </w:p>
              </w:tc>
              <w:tc>
                <w:tcPr>
                  <w:tcW w:w="522" w:type="pct"/>
                  <w:vMerge w:val="continue"/>
                  <w:tcBorders>
                    <w:left w:val="single" w:color="auto" w:sz="2" w:space="0"/>
                    <w:bottom w:val="single" w:color="auto" w:sz="2" w:space="0"/>
                    <w:right w:val="single" w:color="auto" w:sz="2" w:space="0"/>
                  </w:tcBorders>
                  <w:vAlign w:val="center"/>
                </w:tcPr>
                <w:p w14:paraId="01B992EB">
                  <w:pPr>
                    <w:ind w:left="-105" w:leftChars="-50" w:right="-105" w:rightChars="-50"/>
                    <w:jc w:val="center"/>
                    <w:rPr>
                      <w:snapToGrid w:val="0"/>
                      <w:color w:val="000000" w:themeColor="text1"/>
                      <w:kern w:val="0"/>
                      <w:szCs w:val="21"/>
                      <w14:textFill>
                        <w14:solidFill>
                          <w14:schemeClr w14:val="tx1"/>
                        </w14:solidFill>
                      </w14:textFill>
                    </w:rPr>
                  </w:pPr>
                </w:p>
              </w:tc>
              <w:tc>
                <w:tcPr>
                  <w:tcW w:w="815" w:type="pct"/>
                  <w:vMerge w:val="continue"/>
                  <w:tcBorders>
                    <w:left w:val="single" w:color="auto" w:sz="2" w:space="0"/>
                    <w:bottom w:val="single" w:color="auto" w:sz="2" w:space="0"/>
                    <w:right w:val="single" w:color="auto" w:sz="2" w:space="0"/>
                  </w:tcBorders>
                  <w:vAlign w:val="center"/>
                </w:tcPr>
                <w:p w14:paraId="4745F3B9">
                  <w:pPr>
                    <w:ind w:left="-105" w:leftChars="-50" w:right="-105" w:rightChars="-50"/>
                    <w:jc w:val="center"/>
                    <w:rPr>
                      <w:snapToGrid w:val="0"/>
                      <w:color w:val="000000" w:themeColor="text1"/>
                      <w:kern w:val="0"/>
                      <w:szCs w:val="21"/>
                      <w14:textFill>
                        <w14:solidFill>
                          <w14:schemeClr w14:val="tx1"/>
                        </w14:solidFill>
                      </w14:textFill>
                    </w:rPr>
                  </w:pPr>
                </w:p>
              </w:tc>
              <w:tc>
                <w:tcPr>
                  <w:tcW w:w="654" w:type="pct"/>
                  <w:vMerge w:val="continue"/>
                  <w:tcBorders>
                    <w:left w:val="single" w:color="auto" w:sz="2" w:space="0"/>
                    <w:bottom w:val="single" w:color="auto" w:sz="2" w:space="0"/>
                    <w:right w:val="single" w:color="auto" w:sz="2" w:space="0"/>
                  </w:tcBorders>
                  <w:vAlign w:val="center"/>
                </w:tcPr>
                <w:p w14:paraId="61A3DC72">
                  <w:pPr>
                    <w:ind w:left="-105" w:leftChars="-50" w:right="-105" w:rightChars="-50"/>
                    <w:jc w:val="center"/>
                    <w:rPr>
                      <w:snapToGrid w:val="0"/>
                      <w:color w:val="000000" w:themeColor="text1"/>
                      <w:kern w:val="0"/>
                      <w:szCs w:val="21"/>
                      <w14:textFill>
                        <w14:solidFill>
                          <w14:schemeClr w14:val="tx1"/>
                        </w14:solidFill>
                      </w14:textFill>
                    </w:rPr>
                  </w:pPr>
                </w:p>
              </w:tc>
              <w:tc>
                <w:tcPr>
                  <w:tcW w:w="425" w:type="pct"/>
                  <w:vMerge w:val="continue"/>
                  <w:tcBorders>
                    <w:left w:val="single" w:color="auto" w:sz="2" w:space="0"/>
                    <w:bottom w:val="single" w:color="auto" w:sz="2" w:space="0"/>
                    <w:right w:val="single" w:color="auto" w:sz="2" w:space="0"/>
                  </w:tcBorders>
                  <w:vAlign w:val="center"/>
                </w:tcPr>
                <w:p w14:paraId="664CE2E5">
                  <w:pPr>
                    <w:ind w:left="-105" w:leftChars="-50" w:right="-105" w:rightChars="-50"/>
                    <w:jc w:val="center"/>
                    <w:rPr>
                      <w:snapToGrid w:val="0"/>
                      <w:color w:val="000000" w:themeColor="text1"/>
                      <w:kern w:val="0"/>
                      <w:szCs w:val="21"/>
                      <w14:textFill>
                        <w14:solidFill>
                          <w14:schemeClr w14:val="tx1"/>
                        </w14:solidFill>
                      </w14:textFill>
                    </w:rPr>
                  </w:pPr>
                </w:p>
              </w:tc>
              <w:tc>
                <w:tcPr>
                  <w:tcW w:w="717" w:type="pct"/>
                  <w:gridSpan w:val="2"/>
                  <w:vMerge w:val="continue"/>
                  <w:tcBorders>
                    <w:left w:val="single" w:color="auto" w:sz="2" w:space="0"/>
                    <w:bottom w:val="single" w:color="auto" w:sz="2" w:space="0"/>
                    <w:right w:val="single" w:color="auto" w:sz="4" w:space="0"/>
                  </w:tcBorders>
                  <w:vAlign w:val="center"/>
                </w:tcPr>
                <w:p w14:paraId="2EA95118">
                  <w:pPr>
                    <w:ind w:left="-105" w:leftChars="-50" w:right="-105" w:rightChars="-50"/>
                    <w:jc w:val="center"/>
                    <w:rPr>
                      <w:snapToGrid w:val="0"/>
                      <w:color w:val="000000" w:themeColor="text1"/>
                      <w:kern w:val="0"/>
                      <w:szCs w:val="21"/>
                      <w14:textFill>
                        <w14:solidFill>
                          <w14:schemeClr w14:val="tx1"/>
                        </w14:solidFill>
                      </w14:textFill>
                    </w:rPr>
                  </w:pPr>
                </w:p>
              </w:tc>
            </w:tr>
            <w:tr w14:paraId="25221B1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325" w:type="pct"/>
                  <w:vMerge w:val="continue"/>
                  <w:tcBorders>
                    <w:left w:val="single" w:color="auto" w:sz="2" w:space="0"/>
                    <w:bottom w:val="single" w:color="auto" w:sz="2" w:space="0"/>
                    <w:right w:val="single" w:color="auto" w:sz="2" w:space="0"/>
                  </w:tcBorders>
                  <w:vAlign w:val="center"/>
                </w:tcPr>
                <w:p w14:paraId="73F3408D">
                  <w:pPr>
                    <w:ind w:left="-105" w:leftChars="-50" w:right="-105" w:rightChars="-50"/>
                    <w:jc w:val="center"/>
                    <w:rPr>
                      <w:snapToGrid w:val="0"/>
                      <w:color w:val="000000" w:themeColor="text1"/>
                      <w:kern w:val="0"/>
                      <w:szCs w:val="21"/>
                      <w14:textFill>
                        <w14:solidFill>
                          <w14:schemeClr w14:val="tx1"/>
                        </w14:solidFill>
                      </w14:textFill>
                    </w:rPr>
                  </w:pPr>
                </w:p>
              </w:tc>
              <w:tc>
                <w:tcPr>
                  <w:tcW w:w="324" w:type="pct"/>
                  <w:tcBorders>
                    <w:top w:val="single" w:color="auto" w:sz="2" w:space="0"/>
                    <w:left w:val="single" w:color="auto" w:sz="2" w:space="0"/>
                    <w:bottom w:val="single" w:color="auto" w:sz="2" w:space="0"/>
                    <w:right w:val="single" w:color="auto" w:sz="2" w:space="0"/>
                  </w:tcBorders>
                  <w:vAlign w:val="center"/>
                </w:tcPr>
                <w:p w14:paraId="56004567">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m</w:t>
                  </w:r>
                </w:p>
              </w:tc>
              <w:tc>
                <w:tcPr>
                  <w:tcW w:w="329" w:type="pct"/>
                  <w:tcBorders>
                    <w:top w:val="single" w:color="auto" w:sz="2" w:space="0"/>
                    <w:left w:val="single" w:color="auto" w:sz="2" w:space="0"/>
                    <w:bottom w:val="single" w:color="auto" w:sz="2" w:space="0"/>
                    <w:right w:val="single" w:color="auto" w:sz="2" w:space="0"/>
                  </w:tcBorders>
                  <w:vAlign w:val="center"/>
                </w:tcPr>
                <w:p w14:paraId="637354B6">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m</w:t>
                  </w:r>
                </w:p>
              </w:tc>
              <w:tc>
                <w:tcPr>
                  <w:tcW w:w="442" w:type="pct"/>
                  <w:tcBorders>
                    <w:top w:val="single" w:color="auto" w:sz="2" w:space="0"/>
                    <w:left w:val="single" w:color="auto" w:sz="2" w:space="0"/>
                    <w:bottom w:val="single" w:color="auto" w:sz="2" w:space="0"/>
                    <w:right w:val="single" w:color="auto" w:sz="2" w:space="0"/>
                  </w:tcBorders>
                  <w:vAlign w:val="center"/>
                </w:tcPr>
                <w:p w14:paraId="5A85B138">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m</w:t>
                  </w:r>
                </w:p>
              </w:tc>
              <w:tc>
                <w:tcPr>
                  <w:tcW w:w="442" w:type="pct"/>
                  <w:tcBorders>
                    <w:top w:val="single" w:color="auto" w:sz="2" w:space="0"/>
                    <w:left w:val="single" w:color="auto" w:sz="2" w:space="0"/>
                    <w:bottom w:val="single" w:color="auto" w:sz="2" w:space="0"/>
                    <w:right w:val="single" w:color="auto" w:sz="2" w:space="0"/>
                  </w:tcBorders>
                  <w:vAlign w:val="center"/>
                </w:tcPr>
                <w:p w14:paraId="55EC88C9">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m</w:t>
                  </w:r>
                </w:p>
              </w:tc>
              <w:tc>
                <w:tcPr>
                  <w:tcW w:w="522" w:type="pct"/>
                  <w:tcBorders>
                    <w:top w:val="single" w:color="auto" w:sz="2" w:space="0"/>
                    <w:left w:val="single" w:color="auto" w:sz="2" w:space="0"/>
                    <w:bottom w:val="single" w:color="auto" w:sz="2" w:space="0"/>
                    <w:right w:val="single" w:color="auto" w:sz="2" w:space="0"/>
                  </w:tcBorders>
                  <w:vAlign w:val="center"/>
                </w:tcPr>
                <w:p w14:paraId="6E485FE2">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o</w:t>
                  </w:r>
                </w:p>
              </w:tc>
              <w:tc>
                <w:tcPr>
                  <w:tcW w:w="815" w:type="pct"/>
                  <w:tcBorders>
                    <w:top w:val="single" w:color="auto" w:sz="2" w:space="0"/>
                    <w:left w:val="single" w:color="auto" w:sz="2" w:space="0"/>
                    <w:bottom w:val="single" w:color="auto" w:sz="2" w:space="0"/>
                    <w:right w:val="single" w:color="auto" w:sz="2" w:space="0"/>
                  </w:tcBorders>
                  <w:vAlign w:val="center"/>
                </w:tcPr>
                <w:p w14:paraId="69934B46">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m</w:t>
                  </w:r>
                </w:p>
              </w:tc>
              <w:tc>
                <w:tcPr>
                  <w:tcW w:w="654" w:type="pct"/>
                  <w:tcBorders>
                    <w:top w:val="single" w:color="auto" w:sz="2" w:space="0"/>
                    <w:left w:val="single" w:color="auto" w:sz="2" w:space="0"/>
                    <w:bottom w:val="single" w:color="auto" w:sz="2" w:space="0"/>
                    <w:right w:val="single" w:color="auto" w:sz="2" w:space="0"/>
                  </w:tcBorders>
                  <w:vAlign w:val="center"/>
                </w:tcPr>
                <w:p w14:paraId="52BBA51B">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h</w:t>
                  </w:r>
                </w:p>
              </w:tc>
              <w:tc>
                <w:tcPr>
                  <w:tcW w:w="425" w:type="pct"/>
                  <w:tcBorders>
                    <w:top w:val="single" w:color="auto" w:sz="2" w:space="0"/>
                    <w:left w:val="single" w:color="auto" w:sz="2" w:space="0"/>
                    <w:bottom w:val="single" w:color="auto" w:sz="2" w:space="0"/>
                    <w:right w:val="single" w:color="auto" w:sz="2" w:space="0"/>
                  </w:tcBorders>
                  <w:vAlign w:val="center"/>
                </w:tcPr>
                <w:p w14:paraId="03B9CD23">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m</w:t>
                  </w:r>
                </w:p>
              </w:tc>
              <w:tc>
                <w:tcPr>
                  <w:tcW w:w="717" w:type="pct"/>
                  <w:gridSpan w:val="2"/>
                  <w:tcBorders>
                    <w:top w:val="single" w:color="auto" w:sz="2" w:space="0"/>
                    <w:left w:val="single" w:color="auto" w:sz="2" w:space="0"/>
                    <w:bottom w:val="single" w:color="auto" w:sz="2" w:space="0"/>
                    <w:right w:val="single" w:color="auto" w:sz="4" w:space="0"/>
                  </w:tcBorders>
                  <w:vAlign w:val="center"/>
                </w:tcPr>
                <w:p w14:paraId="09FF6068">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kg/h</w:t>
                  </w:r>
                </w:p>
              </w:tc>
            </w:tr>
            <w:tr w14:paraId="1B9238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32" w:hRule="atLeast"/>
                <w:jc w:val="center"/>
              </w:trPr>
              <w:tc>
                <w:tcPr>
                  <w:tcW w:w="325" w:type="pct"/>
                  <w:tcBorders>
                    <w:top w:val="single" w:color="auto" w:sz="2" w:space="0"/>
                    <w:left w:val="single" w:color="auto" w:sz="2" w:space="0"/>
                    <w:right w:val="single" w:color="auto" w:sz="2" w:space="0"/>
                  </w:tcBorders>
                  <w:vAlign w:val="center"/>
                </w:tcPr>
                <w:p w14:paraId="28765318">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车间</w:t>
                  </w:r>
                </w:p>
              </w:tc>
              <w:tc>
                <w:tcPr>
                  <w:tcW w:w="324" w:type="pct"/>
                  <w:tcBorders>
                    <w:top w:val="single" w:color="auto" w:sz="2" w:space="0"/>
                    <w:left w:val="single" w:color="auto" w:sz="2" w:space="0"/>
                    <w:right w:val="single" w:color="auto" w:sz="2" w:space="0"/>
                  </w:tcBorders>
                  <w:vAlign w:val="center"/>
                </w:tcPr>
                <w:p w14:paraId="5E5E7E5B">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329" w:type="pct"/>
                  <w:tcBorders>
                    <w:top w:val="single" w:color="auto" w:sz="2" w:space="0"/>
                    <w:left w:val="single" w:color="auto" w:sz="2" w:space="0"/>
                    <w:right w:val="single" w:color="auto" w:sz="2" w:space="0"/>
                  </w:tcBorders>
                  <w:vAlign w:val="center"/>
                </w:tcPr>
                <w:p w14:paraId="6A226390">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42" w:type="pct"/>
                  <w:tcBorders>
                    <w:top w:val="single" w:color="auto" w:sz="2" w:space="0"/>
                    <w:left w:val="single" w:color="auto" w:sz="2" w:space="0"/>
                    <w:right w:val="single" w:color="auto" w:sz="2" w:space="0"/>
                  </w:tcBorders>
                  <w:vAlign w:val="center"/>
                </w:tcPr>
                <w:p w14:paraId="44528AD7">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25</w:t>
                  </w:r>
                </w:p>
              </w:tc>
              <w:tc>
                <w:tcPr>
                  <w:tcW w:w="442" w:type="pct"/>
                  <w:tcBorders>
                    <w:top w:val="single" w:color="auto" w:sz="2" w:space="0"/>
                    <w:left w:val="single" w:color="auto" w:sz="2" w:space="0"/>
                    <w:right w:val="single" w:color="auto" w:sz="2" w:space="0"/>
                  </w:tcBorders>
                  <w:vAlign w:val="center"/>
                </w:tcPr>
                <w:p w14:paraId="2DA539CA">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30</w:t>
                  </w:r>
                </w:p>
              </w:tc>
              <w:tc>
                <w:tcPr>
                  <w:tcW w:w="522" w:type="pct"/>
                  <w:tcBorders>
                    <w:top w:val="single" w:color="auto" w:sz="2" w:space="0"/>
                    <w:left w:val="single" w:color="auto" w:sz="2" w:space="0"/>
                    <w:right w:val="single" w:color="auto" w:sz="2" w:space="0"/>
                  </w:tcBorders>
                  <w:vAlign w:val="center"/>
                </w:tcPr>
                <w:p w14:paraId="36A6D280">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30</w:t>
                  </w:r>
                </w:p>
              </w:tc>
              <w:tc>
                <w:tcPr>
                  <w:tcW w:w="815" w:type="pct"/>
                  <w:tcBorders>
                    <w:top w:val="single" w:color="auto" w:sz="2" w:space="0"/>
                    <w:left w:val="single" w:color="auto" w:sz="2" w:space="0"/>
                    <w:right w:val="single" w:color="auto" w:sz="2" w:space="0"/>
                  </w:tcBorders>
                  <w:vAlign w:val="center"/>
                </w:tcPr>
                <w:p w14:paraId="38E6435B">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9</w:t>
                  </w:r>
                </w:p>
              </w:tc>
              <w:tc>
                <w:tcPr>
                  <w:tcW w:w="654" w:type="pct"/>
                  <w:tcBorders>
                    <w:top w:val="single" w:color="auto" w:sz="2" w:space="0"/>
                    <w:left w:val="single" w:color="auto" w:sz="2" w:space="0"/>
                    <w:right w:val="single" w:color="auto" w:sz="2" w:space="0"/>
                  </w:tcBorders>
                  <w:vAlign w:val="center"/>
                </w:tcPr>
                <w:p w14:paraId="74B2BF24">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8760</w:t>
                  </w:r>
                </w:p>
              </w:tc>
              <w:tc>
                <w:tcPr>
                  <w:tcW w:w="425" w:type="pct"/>
                  <w:tcBorders>
                    <w:top w:val="single" w:color="auto" w:sz="2" w:space="0"/>
                    <w:left w:val="single" w:color="auto" w:sz="2" w:space="0"/>
                    <w:right w:val="single" w:color="auto" w:sz="2" w:space="0"/>
                  </w:tcBorders>
                  <w:vAlign w:val="center"/>
                </w:tcPr>
                <w:p w14:paraId="085BB40E">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正常</w:t>
                  </w:r>
                </w:p>
              </w:tc>
              <w:tc>
                <w:tcPr>
                  <w:tcW w:w="403" w:type="pct"/>
                  <w:tcBorders>
                    <w:top w:val="single" w:color="auto" w:sz="2" w:space="0"/>
                    <w:left w:val="single" w:color="auto" w:sz="2" w:space="0"/>
                    <w:right w:val="single" w:color="auto" w:sz="4" w:space="0"/>
                  </w:tcBorders>
                  <w:vAlign w:val="center"/>
                </w:tcPr>
                <w:p w14:paraId="411726D2">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非甲烷总烃</w:t>
                  </w:r>
                </w:p>
              </w:tc>
              <w:tc>
                <w:tcPr>
                  <w:tcW w:w="313" w:type="pct"/>
                  <w:tcBorders>
                    <w:top w:val="single" w:color="auto" w:sz="2" w:space="0"/>
                    <w:left w:val="single" w:color="auto" w:sz="4" w:space="0"/>
                    <w:right w:val="single" w:color="auto" w:sz="4" w:space="0"/>
                  </w:tcBorders>
                  <w:vAlign w:val="center"/>
                </w:tcPr>
                <w:p w14:paraId="303926CC">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0.073</w:t>
                  </w:r>
                </w:p>
              </w:tc>
            </w:tr>
          </w:tbl>
          <w:p w14:paraId="5380F40D">
            <w:pPr>
              <w:spacing w:line="4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注：以项目所在厂区西南角为坐标原点。</w:t>
            </w:r>
          </w:p>
          <w:p w14:paraId="151F864B">
            <w:pPr>
              <w:tabs>
                <w:tab w:val="left" w:pos="1620"/>
              </w:tabs>
              <w:adjustRightInd w:val="0"/>
              <w:snapToGrid w:val="0"/>
              <w:spacing w:line="360" w:lineRule="atLeast"/>
              <w:ind w:firstLine="482" w:firstLineChars="200"/>
              <w:jc w:val="center"/>
              <w:rPr>
                <w:b/>
                <w:snapToGrid w:val="0"/>
                <w:color w:val="000000" w:themeColor="text1"/>
                <w:kern w:val="0"/>
                <w:sz w:val="24"/>
                <w14:textFill>
                  <w14:solidFill>
                    <w14:schemeClr w14:val="tx1"/>
                  </w14:solidFill>
                </w14:textFill>
              </w:rPr>
            </w:pPr>
            <w:r>
              <w:rPr>
                <w:b/>
                <w:snapToGrid w:val="0"/>
                <w:color w:val="000000" w:themeColor="text1"/>
                <w:kern w:val="0"/>
                <w:sz w:val="24"/>
                <w14:textFill>
                  <w14:solidFill>
                    <w14:schemeClr w14:val="tx1"/>
                  </w14:solidFill>
                </w14:textFill>
              </w:rPr>
              <w:t>表4-</w:t>
            </w:r>
            <w:r>
              <w:rPr>
                <w:rFonts w:hint="eastAsia"/>
                <w:b/>
                <w:snapToGrid w:val="0"/>
                <w:color w:val="000000" w:themeColor="text1"/>
                <w:kern w:val="0"/>
                <w:sz w:val="24"/>
                <w14:textFill>
                  <w14:solidFill>
                    <w14:schemeClr w14:val="tx1"/>
                  </w14:solidFill>
                </w14:textFill>
              </w:rPr>
              <w:t>5</w:t>
            </w:r>
            <w:r>
              <w:rPr>
                <w:b/>
                <w:snapToGrid w:val="0"/>
                <w:color w:val="000000" w:themeColor="text1"/>
                <w:kern w:val="0"/>
                <w:sz w:val="24"/>
                <w14:textFill>
                  <w14:solidFill>
                    <w14:schemeClr w14:val="tx1"/>
                  </w14:solidFill>
                </w14:textFill>
              </w:rPr>
              <w:t xml:space="preserve">   </w:t>
            </w:r>
            <w:r>
              <w:rPr>
                <w:rFonts w:hint="eastAsia"/>
                <w:b/>
                <w:snapToGrid w:val="0"/>
                <w:color w:val="000000" w:themeColor="text1"/>
                <w:kern w:val="0"/>
                <w:sz w:val="24"/>
                <w14:textFill>
                  <w14:solidFill>
                    <w14:schemeClr w14:val="tx1"/>
                  </w14:solidFill>
                </w14:textFill>
              </w:rPr>
              <w:t>无组织废气排放情况一览表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169"/>
              <w:gridCol w:w="1281"/>
              <w:gridCol w:w="1244"/>
              <w:gridCol w:w="1004"/>
              <w:gridCol w:w="1010"/>
              <w:gridCol w:w="1139"/>
              <w:gridCol w:w="815"/>
              <w:gridCol w:w="1036"/>
            </w:tblGrid>
            <w:tr w14:paraId="7498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Merge w:val="restart"/>
                  <w:vAlign w:val="center"/>
                </w:tcPr>
                <w:p w14:paraId="756FB07A">
                  <w:pPr>
                    <w:ind w:left="-101" w:leftChars="-48" w:right="-145" w:rightChars="-69"/>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污染物名称</w:t>
                  </w:r>
                </w:p>
              </w:tc>
              <w:tc>
                <w:tcPr>
                  <w:tcW w:w="624" w:type="pct"/>
                  <w:vMerge w:val="restart"/>
                  <w:vAlign w:val="center"/>
                </w:tcPr>
                <w:p w14:paraId="58D2323A">
                  <w:pPr>
                    <w:ind w:left="-246" w:leftChars="-118" w:right="-277" w:rightChars="-132" w:hanging="2"/>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污染物</w:t>
                  </w:r>
                </w:p>
                <w:p w14:paraId="12DDC94B">
                  <w:pPr>
                    <w:ind w:left="-246" w:leftChars="-118" w:right="-277" w:rightChars="-132" w:hanging="2"/>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位置</w:t>
                  </w:r>
                </w:p>
              </w:tc>
              <w:tc>
                <w:tcPr>
                  <w:tcW w:w="1348" w:type="pct"/>
                  <w:gridSpan w:val="2"/>
                  <w:vAlign w:val="center"/>
                </w:tcPr>
                <w:p w14:paraId="617FFD23">
                  <w:pPr>
                    <w:jc w:val="center"/>
                    <w:rPr>
                      <w:color w:val="000000" w:themeColor="text1"/>
                      <w:kern w:val="24"/>
                      <w:szCs w:val="21"/>
                      <w14:textFill>
                        <w14:solidFill>
                          <w14:schemeClr w14:val="tx1"/>
                        </w14:solidFill>
                      </w14:textFill>
                    </w:rPr>
                  </w:pPr>
                  <w:r>
                    <w:rPr>
                      <w:snapToGrid w:val="0"/>
                      <w:color w:val="000000" w:themeColor="text1"/>
                      <w:kern w:val="0"/>
                      <w14:textFill>
                        <w14:solidFill>
                          <w14:schemeClr w14:val="tx1"/>
                        </w14:solidFill>
                      </w14:textFill>
                    </w:rPr>
                    <w:t>面源</w:t>
                  </w:r>
                  <w:r>
                    <w:rPr>
                      <w:color w:val="000000" w:themeColor="text1"/>
                      <w:kern w:val="0"/>
                      <w:szCs w:val="21"/>
                      <w14:textFill>
                        <w14:solidFill>
                          <w14:schemeClr w14:val="tx1"/>
                        </w14:solidFill>
                      </w14:textFill>
                    </w:rPr>
                    <w:t>中心经纬度</w:t>
                  </w:r>
                </w:p>
              </w:tc>
              <w:tc>
                <w:tcPr>
                  <w:tcW w:w="536" w:type="pct"/>
                  <w:vMerge w:val="restart"/>
                  <w:vAlign w:val="center"/>
                </w:tcPr>
                <w:p w14:paraId="061F1F14">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排放量</w:t>
                  </w:r>
                </w:p>
                <w:p w14:paraId="72F8034D">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（t/a）</w:t>
                  </w:r>
                </w:p>
              </w:tc>
              <w:tc>
                <w:tcPr>
                  <w:tcW w:w="539" w:type="pct"/>
                  <w:vMerge w:val="restart"/>
                  <w:vAlign w:val="center"/>
                </w:tcPr>
                <w:p w14:paraId="2FA3944A">
                  <w:pPr>
                    <w:ind w:left="-99" w:leftChars="-47" w:right="-71" w:rightChars="-34"/>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产生速率</w:t>
                  </w:r>
                </w:p>
                <w:p w14:paraId="317CA357">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（kg/h）</w:t>
                  </w:r>
                </w:p>
              </w:tc>
              <w:tc>
                <w:tcPr>
                  <w:tcW w:w="608" w:type="pct"/>
                  <w:vMerge w:val="restart"/>
                  <w:vAlign w:val="center"/>
                </w:tcPr>
                <w:p w14:paraId="15930CE3">
                  <w:pPr>
                    <w:ind w:left="-141" w:leftChars="-68" w:right="-115" w:rightChars="-55" w:hanging="2"/>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源的释放高度（m）</w:t>
                  </w:r>
                </w:p>
              </w:tc>
              <w:tc>
                <w:tcPr>
                  <w:tcW w:w="435" w:type="pct"/>
                  <w:vMerge w:val="restart"/>
                  <w:vAlign w:val="center"/>
                </w:tcPr>
                <w:p w14:paraId="4562107E">
                  <w:pPr>
                    <w:ind w:left="-99" w:leftChars="-47" w:right="-105" w:rightChars="-50"/>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面源</w:t>
                  </w:r>
                  <w:r>
                    <w:rPr>
                      <w:rFonts w:hint="eastAsia"/>
                      <w:color w:val="000000" w:themeColor="text1"/>
                      <w:kern w:val="24"/>
                      <w:szCs w:val="21"/>
                      <w14:textFill>
                        <w14:solidFill>
                          <w14:schemeClr w14:val="tx1"/>
                        </w14:solidFill>
                      </w14:textFill>
                    </w:rPr>
                    <w:t>面积</w:t>
                  </w:r>
                  <w:r>
                    <w:rPr>
                      <w:color w:val="000000" w:themeColor="text1"/>
                      <w:kern w:val="24"/>
                      <w:szCs w:val="21"/>
                      <w14:textFill>
                        <w14:solidFill>
                          <w14:schemeClr w14:val="tx1"/>
                        </w14:solidFill>
                      </w14:textFill>
                    </w:rPr>
                    <w:t>（m</w:t>
                  </w:r>
                  <w:r>
                    <w:rPr>
                      <w:color w:val="000000" w:themeColor="text1"/>
                      <w:kern w:val="24"/>
                      <w:szCs w:val="21"/>
                      <w:vertAlign w:val="superscript"/>
                      <w14:textFill>
                        <w14:solidFill>
                          <w14:schemeClr w14:val="tx1"/>
                        </w14:solidFill>
                      </w14:textFill>
                    </w:rPr>
                    <w:t>2</w:t>
                  </w:r>
                  <w:r>
                    <w:rPr>
                      <w:color w:val="000000" w:themeColor="text1"/>
                      <w:kern w:val="24"/>
                      <w:szCs w:val="21"/>
                      <w14:textFill>
                        <w14:solidFill>
                          <w14:schemeClr w14:val="tx1"/>
                        </w14:solidFill>
                      </w14:textFill>
                    </w:rPr>
                    <w:t>）</w:t>
                  </w:r>
                </w:p>
              </w:tc>
              <w:tc>
                <w:tcPr>
                  <w:tcW w:w="553" w:type="pct"/>
                  <w:vMerge w:val="restart"/>
                  <w:vAlign w:val="center"/>
                </w:tcPr>
                <w:p w14:paraId="5E1F9C2C">
                  <w:pPr>
                    <w:ind w:left="-105" w:leftChars="-50" w:right="-105" w:rightChars="-50"/>
                    <w:jc w:val="center"/>
                    <w:rPr>
                      <w:snapToGrid w:val="0"/>
                      <w:color w:val="000000" w:themeColor="text1"/>
                      <w:kern w:val="0"/>
                      <w14:textFill>
                        <w14:solidFill>
                          <w14:schemeClr w14:val="tx1"/>
                        </w14:solidFill>
                      </w14:textFill>
                    </w:rPr>
                  </w:pPr>
                  <w:r>
                    <w:rPr>
                      <w:rFonts w:hint="eastAsia"/>
                      <w:snapToGrid w:val="0"/>
                      <w:color w:val="000000" w:themeColor="text1"/>
                      <w:kern w:val="0"/>
                      <w14:textFill>
                        <w14:solidFill>
                          <w14:schemeClr w14:val="tx1"/>
                        </w14:solidFill>
                      </w14:textFill>
                    </w:rPr>
                    <w:t>排放时间</w:t>
                  </w:r>
                </w:p>
                <w:p w14:paraId="7DB71B1F">
                  <w:pPr>
                    <w:ind w:left="-168" w:leftChars="-81" w:right="-204" w:rightChars="-97" w:hanging="2"/>
                    <w:jc w:val="center"/>
                    <w:rPr>
                      <w:color w:val="000000" w:themeColor="text1"/>
                      <w:kern w:val="24"/>
                      <w:szCs w:val="21"/>
                      <w14:textFill>
                        <w14:solidFill>
                          <w14:schemeClr w14:val="tx1"/>
                        </w14:solidFill>
                      </w14:textFill>
                    </w:rPr>
                  </w:pPr>
                  <w:r>
                    <w:rPr>
                      <w:rFonts w:hint="eastAsia"/>
                      <w:snapToGrid w:val="0"/>
                      <w:color w:val="000000" w:themeColor="text1"/>
                      <w:kern w:val="0"/>
                      <w14:textFill>
                        <w14:solidFill>
                          <w14:schemeClr w14:val="tx1"/>
                        </w14:solidFill>
                      </w14:textFill>
                    </w:rPr>
                    <w:t>（</w:t>
                  </w:r>
                  <w:r>
                    <w:rPr>
                      <w:snapToGrid w:val="0"/>
                      <w:color w:val="000000" w:themeColor="text1"/>
                      <w:kern w:val="0"/>
                      <w14:textFill>
                        <w14:solidFill>
                          <w14:schemeClr w14:val="tx1"/>
                        </w14:solidFill>
                      </w14:textFill>
                    </w:rPr>
                    <w:t>h</w:t>
                  </w:r>
                  <w:r>
                    <w:rPr>
                      <w:rFonts w:hint="eastAsia"/>
                      <w:snapToGrid w:val="0"/>
                      <w:color w:val="000000" w:themeColor="text1"/>
                      <w:kern w:val="0"/>
                      <w14:textFill>
                        <w14:solidFill>
                          <w14:schemeClr w14:val="tx1"/>
                        </w14:solidFill>
                      </w14:textFill>
                    </w:rPr>
                    <w:t>）</w:t>
                  </w:r>
                </w:p>
              </w:tc>
            </w:tr>
            <w:tr w14:paraId="6FED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Merge w:val="continue"/>
                  <w:vAlign w:val="center"/>
                </w:tcPr>
                <w:p w14:paraId="1925DAA1">
                  <w:pPr>
                    <w:jc w:val="center"/>
                    <w:rPr>
                      <w:color w:val="000000" w:themeColor="text1"/>
                      <w:kern w:val="24"/>
                      <w:szCs w:val="21"/>
                      <w14:textFill>
                        <w14:solidFill>
                          <w14:schemeClr w14:val="tx1"/>
                        </w14:solidFill>
                      </w14:textFill>
                    </w:rPr>
                  </w:pPr>
                </w:p>
              </w:tc>
              <w:tc>
                <w:tcPr>
                  <w:tcW w:w="624" w:type="pct"/>
                  <w:vMerge w:val="continue"/>
                  <w:vAlign w:val="center"/>
                </w:tcPr>
                <w:p w14:paraId="5C41213D">
                  <w:pPr>
                    <w:jc w:val="center"/>
                    <w:rPr>
                      <w:color w:val="000000" w:themeColor="text1"/>
                      <w:kern w:val="24"/>
                      <w:szCs w:val="21"/>
                      <w14:textFill>
                        <w14:solidFill>
                          <w14:schemeClr w14:val="tx1"/>
                        </w14:solidFill>
                      </w14:textFill>
                    </w:rPr>
                  </w:pPr>
                </w:p>
              </w:tc>
              <w:tc>
                <w:tcPr>
                  <w:tcW w:w="684" w:type="pct"/>
                  <w:vAlign w:val="center"/>
                </w:tcPr>
                <w:p w14:paraId="49A4F754">
                  <w:pPr>
                    <w:spacing w:line="240" w:lineRule="exact"/>
                    <w:ind w:left="-62" w:leftChars="-30" w:hanging="1"/>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经度</w:t>
                  </w:r>
                  <w:r>
                    <w:rPr>
                      <w:color w:val="000000" w:themeColor="text1"/>
                      <w:spacing w:val="-28"/>
                      <w:szCs w:val="21"/>
                      <w14:textFill>
                        <w14:solidFill>
                          <w14:schemeClr w14:val="tx1"/>
                        </w14:solidFill>
                      </w14:textFill>
                    </w:rPr>
                    <w:t>E°</w:t>
                  </w:r>
                </w:p>
              </w:tc>
              <w:tc>
                <w:tcPr>
                  <w:tcW w:w="663" w:type="pct"/>
                  <w:vAlign w:val="center"/>
                </w:tcPr>
                <w:p w14:paraId="58B12702">
                  <w:pPr>
                    <w:spacing w:line="240" w:lineRule="exact"/>
                    <w:ind w:right="-82" w:rightChars="-39"/>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纬度</w:t>
                  </w:r>
                  <w:r>
                    <w:rPr>
                      <w:color w:val="000000" w:themeColor="text1"/>
                      <w:spacing w:val="-28"/>
                      <w:szCs w:val="21"/>
                      <w14:textFill>
                        <w14:solidFill>
                          <w14:schemeClr w14:val="tx1"/>
                        </w14:solidFill>
                      </w14:textFill>
                    </w:rPr>
                    <w:t>N°</w:t>
                  </w:r>
                </w:p>
              </w:tc>
              <w:tc>
                <w:tcPr>
                  <w:tcW w:w="536" w:type="pct"/>
                  <w:vMerge w:val="continue"/>
                  <w:vAlign w:val="center"/>
                </w:tcPr>
                <w:p w14:paraId="1F325B3C">
                  <w:pPr>
                    <w:jc w:val="center"/>
                    <w:rPr>
                      <w:color w:val="000000" w:themeColor="text1"/>
                      <w:kern w:val="24"/>
                      <w:szCs w:val="21"/>
                      <w14:textFill>
                        <w14:solidFill>
                          <w14:schemeClr w14:val="tx1"/>
                        </w14:solidFill>
                      </w14:textFill>
                    </w:rPr>
                  </w:pPr>
                </w:p>
              </w:tc>
              <w:tc>
                <w:tcPr>
                  <w:tcW w:w="539" w:type="pct"/>
                  <w:vMerge w:val="continue"/>
                  <w:vAlign w:val="center"/>
                </w:tcPr>
                <w:p w14:paraId="69E2C8AA">
                  <w:pPr>
                    <w:jc w:val="center"/>
                    <w:rPr>
                      <w:color w:val="000000" w:themeColor="text1"/>
                      <w:kern w:val="24"/>
                      <w:szCs w:val="21"/>
                      <w14:textFill>
                        <w14:solidFill>
                          <w14:schemeClr w14:val="tx1"/>
                        </w14:solidFill>
                      </w14:textFill>
                    </w:rPr>
                  </w:pPr>
                </w:p>
              </w:tc>
              <w:tc>
                <w:tcPr>
                  <w:tcW w:w="608" w:type="pct"/>
                  <w:vMerge w:val="continue"/>
                  <w:vAlign w:val="center"/>
                </w:tcPr>
                <w:p w14:paraId="3C39009E">
                  <w:pPr>
                    <w:jc w:val="center"/>
                    <w:rPr>
                      <w:color w:val="000000" w:themeColor="text1"/>
                      <w:kern w:val="24"/>
                      <w:szCs w:val="21"/>
                      <w14:textFill>
                        <w14:solidFill>
                          <w14:schemeClr w14:val="tx1"/>
                        </w14:solidFill>
                      </w14:textFill>
                    </w:rPr>
                  </w:pPr>
                </w:p>
              </w:tc>
              <w:tc>
                <w:tcPr>
                  <w:tcW w:w="435" w:type="pct"/>
                  <w:vMerge w:val="continue"/>
                  <w:vAlign w:val="center"/>
                </w:tcPr>
                <w:p w14:paraId="71D98596">
                  <w:pPr>
                    <w:jc w:val="center"/>
                    <w:rPr>
                      <w:color w:val="000000" w:themeColor="text1"/>
                      <w:kern w:val="24"/>
                      <w:szCs w:val="21"/>
                      <w14:textFill>
                        <w14:solidFill>
                          <w14:schemeClr w14:val="tx1"/>
                        </w14:solidFill>
                      </w14:textFill>
                    </w:rPr>
                  </w:pPr>
                </w:p>
              </w:tc>
              <w:tc>
                <w:tcPr>
                  <w:tcW w:w="553" w:type="pct"/>
                  <w:vMerge w:val="continue"/>
                  <w:vAlign w:val="center"/>
                </w:tcPr>
                <w:p w14:paraId="40E6C3AD">
                  <w:pPr>
                    <w:jc w:val="center"/>
                    <w:rPr>
                      <w:color w:val="000000" w:themeColor="text1"/>
                      <w:kern w:val="24"/>
                      <w:szCs w:val="21"/>
                      <w14:textFill>
                        <w14:solidFill>
                          <w14:schemeClr w14:val="tx1"/>
                        </w14:solidFill>
                      </w14:textFill>
                    </w:rPr>
                  </w:pPr>
                </w:p>
              </w:tc>
            </w:tr>
            <w:tr w14:paraId="5FA8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53" w:type="pct"/>
                  <w:vAlign w:val="center"/>
                </w:tcPr>
                <w:p w14:paraId="0BCCA356">
                  <w:pPr>
                    <w:ind w:left="-101" w:leftChars="-48" w:right="-145" w:rightChars="-69"/>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非甲烷总烃</w:t>
                  </w:r>
                </w:p>
              </w:tc>
              <w:tc>
                <w:tcPr>
                  <w:tcW w:w="624" w:type="pct"/>
                  <w:vAlign w:val="center"/>
                </w:tcPr>
                <w:p w14:paraId="44A2C088">
                  <w:pPr>
                    <w:ind w:left="-105" w:leftChars="-50" w:right="-134" w:rightChars="-64"/>
                    <w:jc w:val="center"/>
                    <w:rPr>
                      <w:color w:val="000000" w:themeColor="text1"/>
                      <w:kern w:val="24"/>
                      <w:szCs w:val="21"/>
                      <w14:textFill>
                        <w14:solidFill>
                          <w14:schemeClr w14:val="tx1"/>
                        </w14:solidFill>
                      </w14:textFill>
                    </w:rPr>
                  </w:pPr>
                  <w:r>
                    <w:rPr>
                      <w:rFonts w:hint="eastAsia"/>
                      <w:snapToGrid w:val="0"/>
                      <w:color w:val="000000" w:themeColor="text1"/>
                      <w:kern w:val="24"/>
                      <w:szCs w:val="21"/>
                      <w14:textFill>
                        <w14:solidFill>
                          <w14:schemeClr w14:val="tx1"/>
                        </w14:solidFill>
                      </w14:textFill>
                    </w:rPr>
                    <w:t>加油站</w:t>
                  </w:r>
                </w:p>
              </w:tc>
              <w:tc>
                <w:tcPr>
                  <w:tcW w:w="684" w:type="pct"/>
                  <w:vAlign w:val="center"/>
                </w:tcPr>
                <w:p w14:paraId="32C0F447">
                  <w:pPr>
                    <w:widowControl/>
                    <w:jc w:val="center"/>
                    <w:rPr>
                      <w:color w:val="000000" w:themeColor="text1"/>
                      <w14:textFill>
                        <w14:solidFill>
                          <w14:schemeClr w14:val="tx1"/>
                        </w14:solidFill>
                      </w14:textFill>
                    </w:rPr>
                  </w:pPr>
                  <w:r>
                    <w:rPr>
                      <w:rFonts w:hint="eastAsia"/>
                      <w:smallCaps/>
                      <w:color w:val="000000" w:themeColor="text1"/>
                      <w:szCs w:val="21"/>
                      <w14:textFill>
                        <w14:solidFill>
                          <w14:schemeClr w14:val="tx1"/>
                        </w14:solidFill>
                      </w14:textFill>
                    </w:rPr>
                    <w:t>117.326557</w:t>
                  </w:r>
                </w:p>
              </w:tc>
              <w:tc>
                <w:tcPr>
                  <w:tcW w:w="663" w:type="pct"/>
                  <w:vAlign w:val="center"/>
                </w:tcPr>
                <w:p w14:paraId="2F681D96">
                  <w:pPr>
                    <w:widowControl/>
                    <w:jc w:val="center"/>
                    <w:rPr>
                      <w:color w:val="000000" w:themeColor="text1"/>
                      <w14:textFill>
                        <w14:solidFill>
                          <w14:schemeClr w14:val="tx1"/>
                        </w14:solidFill>
                      </w14:textFill>
                    </w:rPr>
                  </w:pPr>
                  <w:r>
                    <w:rPr>
                      <w:rFonts w:hint="eastAsia"/>
                      <w:smallCaps/>
                      <w:color w:val="000000" w:themeColor="text1"/>
                      <w:szCs w:val="21"/>
                      <w14:textFill>
                        <w14:solidFill>
                          <w14:schemeClr w14:val="tx1"/>
                        </w14:solidFill>
                      </w14:textFill>
                    </w:rPr>
                    <w:t xml:space="preserve"> 33.321592</w:t>
                  </w:r>
                </w:p>
              </w:tc>
              <w:tc>
                <w:tcPr>
                  <w:tcW w:w="536" w:type="pct"/>
                  <w:vAlign w:val="center"/>
                </w:tcPr>
                <w:p w14:paraId="4843DC82">
                  <w:pPr>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0.6434</w:t>
                  </w:r>
                </w:p>
              </w:tc>
              <w:tc>
                <w:tcPr>
                  <w:tcW w:w="539" w:type="pct"/>
                  <w:vAlign w:val="center"/>
                </w:tcPr>
                <w:p w14:paraId="6E6F38F9">
                  <w:pPr>
                    <w:ind w:left="-105" w:leftChars="-50" w:right="-105" w:rightChars="-50"/>
                    <w:jc w:val="center"/>
                    <w:rPr>
                      <w:color w:val="000000" w:themeColor="text1"/>
                      <w:kern w:val="24"/>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0.073</w:t>
                  </w:r>
                </w:p>
              </w:tc>
              <w:tc>
                <w:tcPr>
                  <w:tcW w:w="608" w:type="pct"/>
                  <w:vAlign w:val="center"/>
                </w:tcPr>
                <w:p w14:paraId="3BE988D1">
                  <w:pPr>
                    <w:jc w:val="center"/>
                    <w:rPr>
                      <w:snapToGrid w:val="0"/>
                      <w:color w:val="000000" w:themeColor="text1"/>
                      <w:kern w:val="24"/>
                      <w:szCs w:val="21"/>
                      <w14:textFill>
                        <w14:solidFill>
                          <w14:schemeClr w14:val="tx1"/>
                        </w14:solidFill>
                      </w14:textFill>
                    </w:rPr>
                  </w:pPr>
                  <w:r>
                    <w:rPr>
                      <w:rFonts w:hint="eastAsia"/>
                      <w:snapToGrid w:val="0"/>
                      <w:color w:val="000000" w:themeColor="text1"/>
                      <w:kern w:val="24"/>
                      <w:szCs w:val="21"/>
                      <w14:textFill>
                        <w14:solidFill>
                          <w14:schemeClr w14:val="tx1"/>
                        </w14:solidFill>
                      </w14:textFill>
                    </w:rPr>
                    <w:t>5</w:t>
                  </w:r>
                </w:p>
              </w:tc>
              <w:tc>
                <w:tcPr>
                  <w:tcW w:w="435" w:type="pct"/>
                  <w:vAlign w:val="center"/>
                </w:tcPr>
                <w:p w14:paraId="0932842F">
                  <w:pPr>
                    <w:jc w:val="center"/>
                    <w:rPr>
                      <w:snapToGrid w:val="0"/>
                      <w:color w:val="000000" w:themeColor="text1"/>
                      <w:kern w:val="24"/>
                      <w:szCs w:val="21"/>
                      <w14:textFill>
                        <w14:solidFill>
                          <w14:schemeClr w14:val="tx1"/>
                        </w14:solidFill>
                      </w14:textFill>
                    </w:rPr>
                  </w:pPr>
                  <w:r>
                    <w:rPr>
                      <w:rFonts w:hint="eastAsia"/>
                      <w:snapToGrid w:val="0"/>
                      <w:color w:val="000000" w:themeColor="text1"/>
                      <w:kern w:val="24"/>
                      <w:szCs w:val="21"/>
                      <w14:textFill>
                        <w14:solidFill>
                          <w14:schemeClr w14:val="tx1"/>
                        </w14:solidFill>
                      </w14:textFill>
                    </w:rPr>
                    <w:t>750</w:t>
                  </w:r>
                </w:p>
              </w:tc>
              <w:tc>
                <w:tcPr>
                  <w:tcW w:w="553" w:type="pct"/>
                  <w:vAlign w:val="center"/>
                </w:tcPr>
                <w:p w14:paraId="7205B2C6">
                  <w:pPr>
                    <w:jc w:val="center"/>
                    <w:rPr>
                      <w:snapToGrid w:val="0"/>
                      <w:color w:val="000000" w:themeColor="text1"/>
                      <w:kern w:val="24"/>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8760</w:t>
                  </w:r>
                </w:p>
              </w:tc>
            </w:tr>
          </w:tbl>
          <w:p w14:paraId="54261454">
            <w:pPr>
              <w:tabs>
                <w:tab w:val="left" w:pos="1620"/>
              </w:tabs>
              <w:adjustRightInd w:val="0"/>
              <w:snapToGrid w:val="0"/>
              <w:spacing w:line="500" w:lineRule="atLeast"/>
              <w:ind w:firstLine="482" w:firstLineChars="200"/>
              <w:jc w:val="center"/>
              <w:rPr>
                <w:b/>
                <w:snapToGrid w:val="0"/>
                <w:color w:val="000000" w:themeColor="text1"/>
                <w:kern w:val="0"/>
                <w:sz w:val="24"/>
                <w14:textFill>
                  <w14:solidFill>
                    <w14:schemeClr w14:val="tx1"/>
                  </w14:solidFill>
                </w14:textFill>
              </w:rPr>
            </w:pPr>
            <w:r>
              <w:rPr>
                <w:rFonts w:hint="eastAsia"/>
                <w:b/>
                <w:snapToGrid w:val="0"/>
                <w:color w:val="000000" w:themeColor="text1"/>
                <w:kern w:val="0"/>
                <w:sz w:val="24"/>
                <w14:textFill>
                  <w14:solidFill>
                    <w14:schemeClr w14:val="tx1"/>
                  </w14:solidFill>
                </w14:textFill>
              </w:rPr>
              <w:t xml:space="preserve">表4-6 </w:t>
            </w:r>
            <w:r>
              <w:rPr>
                <w:b/>
                <w:snapToGrid w:val="0"/>
                <w:color w:val="000000" w:themeColor="text1"/>
                <w:kern w:val="0"/>
                <w:sz w:val="24"/>
                <w14:textFill>
                  <w14:solidFill>
                    <w14:schemeClr w14:val="tx1"/>
                  </w14:solidFill>
                </w14:textFill>
              </w:rPr>
              <w:t xml:space="preserve">  </w:t>
            </w:r>
            <w:r>
              <w:rPr>
                <w:rFonts w:hint="eastAsia"/>
                <w:b/>
                <w:snapToGrid w:val="0"/>
                <w:color w:val="000000" w:themeColor="text1"/>
                <w:kern w:val="0"/>
                <w:sz w:val="24"/>
                <w14:textFill>
                  <w14:solidFill>
                    <w14:schemeClr w14:val="tx1"/>
                  </w14:solidFill>
                </w14:textFill>
              </w:rPr>
              <w:t>大气污染物年排放量核算表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3"/>
              <w:gridCol w:w="4585"/>
              <w:gridCol w:w="2217"/>
            </w:tblGrid>
            <w:tr w14:paraId="0694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tcBorders>
                    <w:top w:val="single" w:color="auto" w:sz="4" w:space="0"/>
                    <w:left w:val="single" w:color="auto" w:sz="4" w:space="0"/>
                    <w:bottom w:val="single" w:color="auto" w:sz="4" w:space="0"/>
                    <w:right w:val="single" w:color="auto" w:sz="4" w:space="0"/>
                  </w:tcBorders>
                </w:tcPr>
                <w:p w14:paraId="53E6B0D5">
                  <w:pPr>
                    <w:jc w:val="center"/>
                    <w:rPr>
                      <w:snapToGrid w:val="0"/>
                      <w:color w:val="000000" w:themeColor="text1"/>
                      <w:kern w:val="28"/>
                      <w14:textFill>
                        <w14:solidFill>
                          <w14:schemeClr w14:val="tx1"/>
                        </w14:solidFill>
                      </w14:textFill>
                    </w:rPr>
                  </w:pPr>
                  <w:r>
                    <w:rPr>
                      <w:rFonts w:hint="eastAsia"/>
                      <w:snapToGrid w:val="0"/>
                      <w:color w:val="000000" w:themeColor="text1"/>
                      <w:kern w:val="28"/>
                      <w14:textFill>
                        <w14:solidFill>
                          <w14:schemeClr w14:val="tx1"/>
                        </w14:solidFill>
                      </w14:textFill>
                    </w:rPr>
                    <w:t>序号</w:t>
                  </w:r>
                </w:p>
              </w:tc>
              <w:tc>
                <w:tcPr>
                  <w:tcW w:w="2447" w:type="pct"/>
                  <w:tcBorders>
                    <w:top w:val="single" w:color="auto" w:sz="4" w:space="0"/>
                    <w:left w:val="single" w:color="auto" w:sz="4" w:space="0"/>
                    <w:bottom w:val="single" w:color="auto" w:sz="4" w:space="0"/>
                    <w:right w:val="single" w:color="auto" w:sz="4" w:space="0"/>
                  </w:tcBorders>
                </w:tcPr>
                <w:p w14:paraId="541ABECF">
                  <w:pPr>
                    <w:jc w:val="center"/>
                    <w:rPr>
                      <w:snapToGrid w:val="0"/>
                      <w:color w:val="000000" w:themeColor="text1"/>
                      <w:kern w:val="28"/>
                      <w14:textFill>
                        <w14:solidFill>
                          <w14:schemeClr w14:val="tx1"/>
                        </w14:solidFill>
                      </w14:textFill>
                    </w:rPr>
                  </w:pPr>
                  <w:r>
                    <w:rPr>
                      <w:rFonts w:hint="eastAsia"/>
                      <w:snapToGrid w:val="0"/>
                      <w:color w:val="000000" w:themeColor="text1"/>
                      <w:kern w:val="28"/>
                      <w14:textFill>
                        <w14:solidFill>
                          <w14:schemeClr w14:val="tx1"/>
                        </w14:solidFill>
                      </w14:textFill>
                    </w:rPr>
                    <w:t>污染物</w:t>
                  </w:r>
                </w:p>
              </w:tc>
              <w:tc>
                <w:tcPr>
                  <w:tcW w:w="1183" w:type="pct"/>
                  <w:tcBorders>
                    <w:top w:val="single" w:color="auto" w:sz="4" w:space="0"/>
                    <w:left w:val="single" w:color="auto" w:sz="4" w:space="0"/>
                    <w:bottom w:val="single" w:color="auto" w:sz="4" w:space="0"/>
                    <w:right w:val="single" w:color="auto" w:sz="4" w:space="0"/>
                  </w:tcBorders>
                </w:tcPr>
                <w:p w14:paraId="2116E677">
                  <w:pPr>
                    <w:jc w:val="center"/>
                    <w:rPr>
                      <w:snapToGrid w:val="0"/>
                      <w:color w:val="000000" w:themeColor="text1"/>
                      <w:kern w:val="28"/>
                      <w14:textFill>
                        <w14:solidFill>
                          <w14:schemeClr w14:val="tx1"/>
                        </w14:solidFill>
                      </w14:textFill>
                    </w:rPr>
                  </w:pPr>
                  <w:r>
                    <w:rPr>
                      <w:rFonts w:hint="eastAsia"/>
                      <w:snapToGrid w:val="0"/>
                      <w:color w:val="000000" w:themeColor="text1"/>
                      <w:kern w:val="28"/>
                      <w14:textFill>
                        <w14:solidFill>
                          <w14:schemeClr w14:val="tx1"/>
                        </w14:solidFill>
                      </w14:textFill>
                    </w:rPr>
                    <w:t>年排放量（t/a）</w:t>
                  </w:r>
                </w:p>
              </w:tc>
            </w:tr>
            <w:tr w14:paraId="66272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tcBorders>
                    <w:top w:val="single" w:color="auto" w:sz="4" w:space="0"/>
                    <w:left w:val="single" w:color="auto" w:sz="4" w:space="0"/>
                    <w:bottom w:val="single" w:color="auto" w:sz="4" w:space="0"/>
                    <w:right w:val="single" w:color="auto" w:sz="4" w:space="0"/>
                  </w:tcBorders>
                </w:tcPr>
                <w:p w14:paraId="7B969FA5">
                  <w:pPr>
                    <w:jc w:val="center"/>
                    <w:rPr>
                      <w:snapToGrid w:val="0"/>
                      <w:color w:val="000000" w:themeColor="text1"/>
                      <w:kern w:val="28"/>
                      <w14:textFill>
                        <w14:solidFill>
                          <w14:schemeClr w14:val="tx1"/>
                        </w14:solidFill>
                      </w14:textFill>
                    </w:rPr>
                  </w:pPr>
                  <w:r>
                    <w:rPr>
                      <w:rFonts w:hint="eastAsia"/>
                      <w:snapToGrid w:val="0"/>
                      <w:color w:val="000000" w:themeColor="text1"/>
                      <w:kern w:val="28"/>
                      <w14:textFill>
                        <w14:solidFill>
                          <w14:schemeClr w14:val="tx1"/>
                        </w14:solidFill>
                      </w14:textFill>
                    </w:rPr>
                    <w:t>1</w:t>
                  </w:r>
                </w:p>
              </w:tc>
              <w:tc>
                <w:tcPr>
                  <w:tcW w:w="2447" w:type="pct"/>
                  <w:tcBorders>
                    <w:top w:val="single" w:color="auto" w:sz="4" w:space="0"/>
                    <w:left w:val="single" w:color="auto" w:sz="4" w:space="0"/>
                    <w:bottom w:val="single" w:color="auto" w:sz="4" w:space="0"/>
                    <w:right w:val="single" w:color="auto" w:sz="4" w:space="0"/>
                  </w:tcBorders>
                </w:tcPr>
                <w:p w14:paraId="5C7778A6">
                  <w:pPr>
                    <w:jc w:val="center"/>
                    <w:rPr>
                      <w:snapToGrid w:val="0"/>
                      <w:color w:val="000000" w:themeColor="text1"/>
                      <w:kern w:val="28"/>
                      <w:szCs w:val="21"/>
                      <w14:textFill>
                        <w14:solidFill>
                          <w14:schemeClr w14:val="tx1"/>
                        </w14:solidFill>
                      </w14:textFill>
                    </w:rPr>
                  </w:pPr>
                  <w:r>
                    <w:rPr>
                      <w:rFonts w:hint="eastAsia"/>
                      <w:snapToGrid w:val="0"/>
                      <w:color w:val="000000" w:themeColor="text1"/>
                      <w:kern w:val="28"/>
                      <w:szCs w:val="21"/>
                      <w14:textFill>
                        <w14:solidFill>
                          <w14:schemeClr w14:val="tx1"/>
                        </w14:solidFill>
                      </w14:textFill>
                    </w:rPr>
                    <w:t>非甲烷总烃</w:t>
                  </w:r>
                </w:p>
              </w:tc>
              <w:tc>
                <w:tcPr>
                  <w:tcW w:w="1183" w:type="pct"/>
                  <w:tcBorders>
                    <w:top w:val="single" w:color="auto" w:sz="4" w:space="0"/>
                    <w:left w:val="single" w:color="auto" w:sz="4" w:space="0"/>
                    <w:bottom w:val="single" w:color="auto" w:sz="4" w:space="0"/>
                    <w:right w:val="single" w:color="auto" w:sz="4" w:space="0"/>
                  </w:tcBorders>
                  <w:vAlign w:val="center"/>
                </w:tcPr>
                <w:p w14:paraId="6E5C4DF2">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0.6434</w:t>
                  </w:r>
                </w:p>
              </w:tc>
            </w:tr>
          </w:tbl>
          <w:p w14:paraId="082A3333">
            <w:pPr>
              <w:spacing w:line="50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2</w:t>
            </w:r>
            <w:r>
              <w:rPr>
                <w:rFonts w:hint="eastAsia"/>
                <w:snapToGrid w:val="0"/>
                <w:color w:val="000000" w:themeColor="text1"/>
                <w:kern w:val="0"/>
                <w:sz w:val="24"/>
                <w14:textFill>
                  <w14:solidFill>
                    <w14:schemeClr w14:val="tx1"/>
                  </w14:solidFill>
                </w14:textFill>
              </w:rPr>
              <w:t>、防治措施可行性及达标分析</w:t>
            </w:r>
          </w:p>
          <w:p w14:paraId="55FAF2B5">
            <w:pPr>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对照</w:t>
            </w:r>
            <w:r>
              <w:rPr>
                <w:rFonts w:ascii="宋体" w:hAnsi="宋体" w:cs="宋体"/>
                <w:color w:val="000000" w:themeColor="text1"/>
                <w:sz w:val="24"/>
                <w14:textFill>
                  <w14:solidFill>
                    <w14:schemeClr w14:val="tx1"/>
                  </w14:solidFill>
                </w14:textFill>
              </w:rPr>
              <w:t>《排污许可证申请与核发技术规范储油库、加油站》（HJ1118-2020）</w:t>
            </w:r>
            <w:r>
              <w:rPr>
                <w:rFonts w:hint="eastAsia" w:ascii="宋体" w:hAnsi="宋体" w:cs="宋体"/>
                <w:color w:val="000000" w:themeColor="text1"/>
                <w:sz w:val="24"/>
                <w14:textFill>
                  <w14:solidFill>
                    <w14:schemeClr w14:val="tx1"/>
                  </w14:solidFill>
                </w14:textFill>
              </w:rPr>
              <w:t>表7，如下所示：</w:t>
            </w:r>
          </w:p>
          <w:p w14:paraId="173DF906">
            <w:pPr>
              <w:spacing w:line="500" w:lineRule="exact"/>
              <w:ind w:firstLine="480" w:firstLineChars="200"/>
              <w:rPr>
                <w:rFonts w:ascii="宋体" w:hAnsi="宋体" w:cs="宋体"/>
                <w:color w:val="000000" w:themeColor="text1"/>
                <w:sz w:val="24"/>
                <w14:textFill>
                  <w14:solidFill>
                    <w14:schemeClr w14:val="tx1"/>
                  </w14:solidFill>
                </w14:textFill>
              </w:rPr>
            </w:pPr>
          </w:p>
          <w:p w14:paraId="3F872AE7">
            <w:pPr>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drawing>
                <wp:anchor distT="0" distB="0" distL="114300" distR="114300" simplePos="0" relativeHeight="251687936" behindDoc="0" locked="0" layoutInCell="1" allowOverlap="1">
                  <wp:simplePos x="0" y="0"/>
                  <wp:positionH relativeFrom="column">
                    <wp:posOffset>110490</wp:posOffset>
                  </wp:positionH>
                  <wp:positionV relativeFrom="paragraph">
                    <wp:posOffset>24765</wp:posOffset>
                  </wp:positionV>
                  <wp:extent cx="5699760" cy="2185670"/>
                  <wp:effectExtent l="0" t="0" r="0" b="8890"/>
                  <wp:wrapNone/>
                  <wp:docPr id="27" name="图片 2" descr="169268805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1692688058345"/>
                          <pic:cNvPicPr>
                            <a:picLocks noChangeAspect="1"/>
                          </pic:cNvPicPr>
                        </pic:nvPicPr>
                        <pic:blipFill>
                          <a:blip r:embed="rId19"/>
                          <a:stretch>
                            <a:fillRect/>
                          </a:stretch>
                        </pic:blipFill>
                        <pic:spPr>
                          <a:xfrm>
                            <a:off x="0" y="0"/>
                            <a:ext cx="5699760" cy="2185670"/>
                          </a:xfrm>
                          <a:prstGeom prst="rect">
                            <a:avLst/>
                          </a:prstGeom>
                          <a:noFill/>
                          <a:ln>
                            <a:noFill/>
                          </a:ln>
                        </pic:spPr>
                      </pic:pic>
                    </a:graphicData>
                  </a:graphic>
                </wp:anchor>
              </w:drawing>
            </w:r>
          </w:p>
          <w:p w14:paraId="3F85C3F3">
            <w:pPr>
              <w:spacing w:line="500" w:lineRule="exact"/>
              <w:ind w:firstLine="480" w:firstLineChars="200"/>
              <w:rPr>
                <w:rFonts w:ascii="宋体" w:hAnsi="宋体" w:cs="宋体"/>
                <w:color w:val="000000" w:themeColor="text1"/>
                <w:sz w:val="24"/>
                <w14:textFill>
                  <w14:solidFill>
                    <w14:schemeClr w14:val="tx1"/>
                  </w14:solidFill>
                </w14:textFill>
              </w:rPr>
            </w:pPr>
          </w:p>
          <w:p w14:paraId="09BB0790">
            <w:pPr>
              <w:spacing w:line="500" w:lineRule="exact"/>
              <w:ind w:firstLine="480" w:firstLineChars="200"/>
              <w:rPr>
                <w:rFonts w:ascii="宋体" w:hAnsi="宋体" w:cs="宋体"/>
                <w:color w:val="000000" w:themeColor="text1"/>
                <w:sz w:val="24"/>
                <w14:textFill>
                  <w14:solidFill>
                    <w14:schemeClr w14:val="tx1"/>
                  </w14:solidFill>
                </w14:textFill>
              </w:rPr>
            </w:pPr>
          </w:p>
          <w:p w14:paraId="57CD4B1A">
            <w:pPr>
              <w:pStyle w:val="12"/>
            </w:pPr>
          </w:p>
          <w:p w14:paraId="671DE153">
            <w:pPr>
              <w:spacing w:line="500" w:lineRule="exact"/>
              <w:ind w:firstLine="480" w:firstLineChars="200"/>
              <w:rPr>
                <w:rFonts w:ascii="宋体" w:hAnsi="宋体" w:cs="宋体"/>
                <w:color w:val="000000" w:themeColor="text1"/>
                <w:sz w:val="24"/>
                <w14:textFill>
                  <w14:solidFill>
                    <w14:schemeClr w14:val="tx1"/>
                  </w14:solidFill>
                </w14:textFill>
              </w:rPr>
            </w:pPr>
          </w:p>
          <w:p w14:paraId="005A07F8">
            <w:pPr>
              <w:spacing w:line="500" w:lineRule="exact"/>
              <w:rPr>
                <w:rFonts w:ascii="宋体" w:hAnsi="宋体" w:cs="宋体"/>
                <w:color w:val="000000" w:themeColor="text1"/>
                <w:sz w:val="24"/>
                <w14:textFill>
                  <w14:solidFill>
                    <w14:schemeClr w14:val="tx1"/>
                  </w14:solidFill>
                </w14:textFill>
              </w:rPr>
            </w:pPr>
          </w:p>
          <w:p w14:paraId="18F06E44">
            <w:pPr>
              <w:spacing w:line="500" w:lineRule="exact"/>
              <w:rPr>
                <w:rFonts w:ascii="宋体" w:hAnsi="宋体" w:cs="宋体"/>
                <w:color w:val="000000" w:themeColor="text1"/>
                <w:sz w:val="24"/>
                <w14:textFill>
                  <w14:solidFill>
                    <w14:schemeClr w14:val="tx1"/>
                  </w14:solidFill>
                </w14:textFill>
              </w:rPr>
            </w:pPr>
          </w:p>
          <w:p w14:paraId="5AC2F0E2">
            <w:pPr>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本项目汽油储罐采用卸油油气回收系统属于油气平衡污染治理工艺；汽油加油枪采用加油油气回收系统属于油气回收污染治理工艺。</w:t>
            </w:r>
          </w:p>
          <w:p w14:paraId="039FEF92">
            <w:pPr>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根据上表所示本项目防治措施是可行的</w:t>
            </w:r>
            <w:r>
              <w:rPr>
                <w:rFonts w:ascii="宋体" w:hAnsi="宋体" w:cs="宋体"/>
                <w:color w:val="000000" w:themeColor="text1"/>
                <w:sz w:val="24"/>
                <w14:textFill>
                  <w14:solidFill>
                    <w14:schemeClr w14:val="tx1"/>
                  </w14:solidFill>
                </w14:textFill>
              </w:rPr>
              <w:t>。</w:t>
            </w:r>
          </w:p>
          <w:p w14:paraId="29B65516">
            <w:pPr>
              <w:spacing w:line="500" w:lineRule="exac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3、</w:t>
            </w:r>
            <w:r>
              <w:rPr>
                <w:snapToGrid w:val="0"/>
                <w:color w:val="000000" w:themeColor="text1"/>
                <w:kern w:val="0"/>
                <w:sz w:val="24"/>
                <w14:textFill>
                  <w14:solidFill>
                    <w14:schemeClr w14:val="tx1"/>
                  </w14:solidFill>
                </w14:textFill>
              </w:rPr>
              <w:t>大气环境监测计划</w:t>
            </w:r>
          </w:p>
          <w:p w14:paraId="52EAE470">
            <w:pPr>
              <w:spacing w:line="500" w:lineRule="exact"/>
              <w:ind w:firstLine="480" w:firstLineChars="200"/>
              <w:rPr>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项目参考《排污许可证申请与核发技术规范储油库、加油站》（HJ1118-2020）中规定，本项目废气监测情况见下表。</w:t>
            </w:r>
          </w:p>
          <w:p w14:paraId="184A866A">
            <w:pPr>
              <w:spacing w:line="480" w:lineRule="atLeast"/>
              <w:ind w:firstLine="482" w:firstLineChars="200"/>
              <w:jc w:val="center"/>
              <w:rPr>
                <w:b/>
                <w:bCs/>
                <w:color w:val="000000" w:themeColor="text1"/>
                <w:kern w:val="28"/>
                <w:sz w:val="24"/>
                <w14:textFill>
                  <w14:solidFill>
                    <w14:schemeClr w14:val="tx1"/>
                  </w14:solidFill>
                </w14:textFill>
              </w:rPr>
            </w:pPr>
            <w:r>
              <w:rPr>
                <w:b/>
                <w:bCs/>
                <w:color w:val="000000" w:themeColor="text1"/>
                <w:kern w:val="28"/>
                <w:sz w:val="24"/>
                <w14:textFill>
                  <w14:solidFill>
                    <w14:schemeClr w14:val="tx1"/>
                  </w14:solidFill>
                </w14:textFill>
              </w:rPr>
              <w:t>表4-</w:t>
            </w:r>
            <w:r>
              <w:rPr>
                <w:rFonts w:hint="eastAsia"/>
                <w:b/>
                <w:bCs/>
                <w:color w:val="000000" w:themeColor="text1"/>
                <w:kern w:val="28"/>
                <w:sz w:val="24"/>
                <w14:textFill>
                  <w14:solidFill>
                    <w14:schemeClr w14:val="tx1"/>
                  </w14:solidFill>
                </w14:textFill>
              </w:rPr>
              <w:t>7</w:t>
            </w:r>
            <w:r>
              <w:rPr>
                <w:b/>
                <w:bCs/>
                <w:color w:val="000000" w:themeColor="text1"/>
                <w:kern w:val="28"/>
                <w:sz w:val="24"/>
                <w14:textFill>
                  <w14:solidFill>
                    <w14:schemeClr w14:val="tx1"/>
                  </w14:solidFill>
                </w14:textFill>
              </w:rPr>
              <w:t xml:space="preserve">   </w:t>
            </w:r>
            <w:r>
              <w:rPr>
                <w:rFonts w:hint="eastAsia"/>
                <w:b/>
                <w:bCs/>
                <w:color w:val="000000" w:themeColor="text1"/>
                <w:kern w:val="28"/>
                <w:sz w:val="24"/>
                <w14:textFill>
                  <w14:solidFill>
                    <w14:schemeClr w14:val="tx1"/>
                  </w14:solidFill>
                </w14:textFill>
              </w:rPr>
              <w:t>环境</w:t>
            </w:r>
            <w:r>
              <w:rPr>
                <w:b/>
                <w:bCs/>
                <w:color w:val="000000" w:themeColor="text1"/>
                <w:kern w:val="28"/>
                <w:sz w:val="24"/>
                <w14:textFill>
                  <w14:solidFill>
                    <w14:schemeClr w14:val="tx1"/>
                  </w14:solidFill>
                </w14:textFill>
              </w:rPr>
              <w:t>监测计划及记录信息表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1302"/>
              <w:gridCol w:w="1848"/>
              <w:gridCol w:w="854"/>
              <w:gridCol w:w="4764"/>
            </w:tblGrid>
            <w:tr w14:paraId="2404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vAlign w:val="center"/>
                </w:tcPr>
                <w:p w14:paraId="7E134F4B">
                  <w:pPr>
                    <w:ind w:left="-101" w:leftChars="-48" w:right="-80" w:rightChars="-38"/>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项目</w:t>
                  </w:r>
                </w:p>
              </w:tc>
              <w:tc>
                <w:tcPr>
                  <w:tcW w:w="695" w:type="pct"/>
                  <w:vAlign w:val="center"/>
                </w:tcPr>
                <w:p w14:paraId="45D5F8B1">
                  <w:pPr>
                    <w:ind w:left="-105" w:leftChars="-50" w:right="-105" w:rightChars="-50"/>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监测点位</w:t>
                  </w:r>
                </w:p>
              </w:tc>
              <w:tc>
                <w:tcPr>
                  <w:tcW w:w="987" w:type="pct"/>
                  <w:vAlign w:val="bottom"/>
                </w:tcPr>
                <w:p w14:paraId="3CB26F4C">
                  <w:pPr>
                    <w:ind w:left="-107" w:leftChars="-51" w:right="-107" w:rightChars="-51"/>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监测项目</w:t>
                  </w:r>
                </w:p>
              </w:tc>
              <w:tc>
                <w:tcPr>
                  <w:tcW w:w="456" w:type="pct"/>
                  <w:vAlign w:val="center"/>
                </w:tcPr>
                <w:p w14:paraId="24649E03">
                  <w:pPr>
                    <w:ind w:left="-107" w:leftChars="-51" w:right="-105" w:rightChars="-50"/>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监测频次</w:t>
                  </w:r>
                </w:p>
              </w:tc>
              <w:tc>
                <w:tcPr>
                  <w:tcW w:w="2544" w:type="pct"/>
                  <w:vAlign w:val="center"/>
                </w:tcPr>
                <w:p w14:paraId="430EA60B">
                  <w:pPr>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执行</w:t>
                  </w:r>
                  <w:r>
                    <w:rPr>
                      <w:color w:val="000000" w:themeColor="text1"/>
                      <w:kern w:val="24"/>
                      <w:szCs w:val="21"/>
                      <w14:textFill>
                        <w14:solidFill>
                          <w14:schemeClr w14:val="tx1"/>
                        </w14:solidFill>
                      </w14:textFill>
                    </w:rPr>
                    <w:t>排放标准</w:t>
                  </w:r>
                </w:p>
              </w:tc>
            </w:tr>
            <w:tr w14:paraId="09D9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5" w:type="pct"/>
                  <w:vMerge w:val="restart"/>
                  <w:vAlign w:val="center"/>
                </w:tcPr>
                <w:p w14:paraId="64BB9A8C">
                  <w:pPr>
                    <w:ind w:left="-101" w:leftChars="-48" w:right="-80" w:rightChars="-38"/>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废气</w:t>
                  </w:r>
                </w:p>
              </w:tc>
              <w:tc>
                <w:tcPr>
                  <w:tcW w:w="695" w:type="pct"/>
                  <w:vAlign w:val="center"/>
                </w:tcPr>
                <w:p w14:paraId="0C24C760">
                  <w:pPr>
                    <w:jc w:val="center"/>
                    <w:rPr>
                      <w:rFonts w:hint="default" w:eastAsia="宋体"/>
                      <w:snapToGrid w:val="0"/>
                      <w:color w:val="000000" w:themeColor="text1"/>
                      <w:kern w:val="24"/>
                      <w:szCs w:val="21"/>
                      <w:lang w:val="en-US" w:eastAsia="zh-CN"/>
                      <w14:textFill>
                        <w14:solidFill>
                          <w14:schemeClr w14:val="tx1"/>
                        </w14:solidFill>
                      </w14:textFill>
                    </w:rPr>
                  </w:pPr>
                  <w:r>
                    <w:rPr>
                      <w:rFonts w:hint="eastAsia"/>
                      <w:snapToGrid w:val="0"/>
                      <w:color w:val="000000" w:themeColor="text1"/>
                      <w:kern w:val="24"/>
                      <w:szCs w:val="21"/>
                      <w:lang w:val="en-US" w:eastAsia="zh-CN"/>
                      <w14:textFill>
                        <w14:solidFill>
                          <w14:schemeClr w14:val="tx1"/>
                        </w14:solidFill>
                      </w14:textFill>
                    </w:rPr>
                    <w:t>企业边界</w:t>
                  </w:r>
                </w:p>
              </w:tc>
              <w:tc>
                <w:tcPr>
                  <w:tcW w:w="987" w:type="pct"/>
                  <w:vMerge w:val="restart"/>
                  <w:vAlign w:val="center"/>
                </w:tcPr>
                <w:p w14:paraId="7A017188">
                  <w:pPr>
                    <w:jc w:val="center"/>
                    <w:rPr>
                      <w:snapToGrid w:val="0"/>
                      <w:color w:val="000000" w:themeColor="text1"/>
                      <w:kern w:val="24"/>
                      <w:szCs w:val="21"/>
                      <w14:textFill>
                        <w14:solidFill>
                          <w14:schemeClr w14:val="tx1"/>
                        </w14:solidFill>
                      </w14:textFill>
                    </w:rPr>
                  </w:pPr>
                  <w:r>
                    <w:rPr>
                      <w:rFonts w:hint="eastAsia"/>
                      <w:snapToGrid w:val="0"/>
                      <w:color w:val="000000" w:themeColor="text1"/>
                      <w:kern w:val="24"/>
                      <w:szCs w:val="21"/>
                      <w14:textFill>
                        <w14:solidFill>
                          <w14:schemeClr w14:val="tx1"/>
                        </w14:solidFill>
                      </w14:textFill>
                    </w:rPr>
                    <w:t>非甲烷总烃、气液比、液阻、密闭性</w:t>
                  </w:r>
                </w:p>
              </w:tc>
              <w:tc>
                <w:tcPr>
                  <w:tcW w:w="456" w:type="pct"/>
                  <w:vMerge w:val="restart"/>
                  <w:vAlign w:val="center"/>
                </w:tcPr>
                <w:p w14:paraId="246D6F6F">
                  <w:pPr>
                    <w:jc w:val="center"/>
                    <w:rPr>
                      <w:snapToGrid w:val="0"/>
                      <w:color w:val="000000" w:themeColor="text1"/>
                      <w:kern w:val="24"/>
                      <w:szCs w:val="21"/>
                      <w14:textFill>
                        <w14:solidFill>
                          <w14:schemeClr w14:val="tx1"/>
                        </w14:solidFill>
                      </w14:textFill>
                    </w:rPr>
                  </w:pPr>
                  <w:r>
                    <w:rPr>
                      <w:snapToGrid w:val="0"/>
                      <w:color w:val="000000" w:themeColor="text1"/>
                      <w:kern w:val="24"/>
                      <w:szCs w:val="21"/>
                      <w14:textFill>
                        <w14:solidFill>
                          <w14:schemeClr w14:val="tx1"/>
                        </w14:solidFill>
                      </w14:textFill>
                    </w:rPr>
                    <w:t>1次/年</w:t>
                  </w:r>
                </w:p>
              </w:tc>
              <w:tc>
                <w:tcPr>
                  <w:tcW w:w="2544" w:type="pct"/>
                  <w:vMerge w:val="restart"/>
                  <w:vAlign w:val="center"/>
                </w:tcPr>
                <w:p w14:paraId="1558C713">
                  <w:pPr>
                    <w:jc w:val="center"/>
                    <w:rPr>
                      <w:snapToGrid w:val="0"/>
                      <w:color w:val="000000" w:themeColor="text1"/>
                      <w:kern w:val="24"/>
                      <w:szCs w:val="21"/>
                      <w14:textFill>
                        <w14:solidFill>
                          <w14:schemeClr w14:val="tx1"/>
                        </w14:solidFill>
                      </w14:textFill>
                    </w:rPr>
                  </w:pPr>
                  <w:r>
                    <w:rPr>
                      <w:rFonts w:hint="eastAsia"/>
                      <w:snapToGrid w:val="0"/>
                      <w:color w:val="000000" w:themeColor="text1"/>
                      <w:kern w:val="24"/>
                      <w:szCs w:val="21"/>
                      <w14:textFill>
                        <w14:solidFill>
                          <w14:schemeClr w14:val="tx1"/>
                        </w14:solidFill>
                      </w14:textFill>
                    </w:rPr>
                    <w:t>《加油站大气污染物排放标准》 （GB20952-2020）表3油气浓度无组织排放限值。油气回收系统排放控制执行《加油站大气污染物排放标准》（GB20952-2020）中的相关标准</w:t>
                  </w:r>
                </w:p>
              </w:tc>
            </w:tr>
            <w:tr w14:paraId="14D0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vMerge w:val="continue"/>
                  <w:vAlign w:val="center"/>
                </w:tcPr>
                <w:p w14:paraId="06228AAA">
                  <w:pPr>
                    <w:ind w:left="-101" w:leftChars="-48" w:right="-80" w:rightChars="-38"/>
                    <w:jc w:val="center"/>
                    <w:rPr>
                      <w:color w:val="000000" w:themeColor="text1"/>
                      <w:kern w:val="24"/>
                      <w:szCs w:val="21"/>
                      <w14:textFill>
                        <w14:solidFill>
                          <w14:schemeClr w14:val="tx1"/>
                        </w14:solidFill>
                      </w14:textFill>
                    </w:rPr>
                  </w:pPr>
                </w:p>
              </w:tc>
              <w:tc>
                <w:tcPr>
                  <w:tcW w:w="695" w:type="pct"/>
                  <w:vAlign w:val="center"/>
                </w:tcPr>
                <w:p w14:paraId="762E4185">
                  <w:pPr>
                    <w:jc w:val="center"/>
                    <w:rPr>
                      <w:snapToGrid w:val="0"/>
                      <w:color w:val="000000" w:themeColor="text1"/>
                      <w:kern w:val="24"/>
                      <w:szCs w:val="21"/>
                      <w14:textFill>
                        <w14:solidFill>
                          <w14:schemeClr w14:val="tx1"/>
                        </w14:solidFill>
                      </w14:textFill>
                    </w:rPr>
                  </w:pPr>
                  <w:r>
                    <w:rPr>
                      <w:rFonts w:hint="eastAsia"/>
                      <w:snapToGrid w:val="0"/>
                      <w:color w:val="000000" w:themeColor="text1"/>
                      <w:kern w:val="24"/>
                      <w:szCs w:val="21"/>
                      <w14:textFill>
                        <w14:solidFill>
                          <w14:schemeClr w14:val="tx1"/>
                        </w14:solidFill>
                      </w14:textFill>
                    </w:rPr>
                    <w:t>油气回收装置</w:t>
                  </w:r>
                </w:p>
              </w:tc>
              <w:tc>
                <w:tcPr>
                  <w:tcW w:w="987" w:type="pct"/>
                  <w:vMerge w:val="continue"/>
                  <w:vAlign w:val="center"/>
                </w:tcPr>
                <w:p w14:paraId="67947A22">
                  <w:pPr>
                    <w:jc w:val="center"/>
                    <w:rPr>
                      <w:snapToGrid w:val="0"/>
                      <w:color w:val="000000" w:themeColor="text1"/>
                      <w:kern w:val="24"/>
                      <w:szCs w:val="21"/>
                      <w14:textFill>
                        <w14:solidFill>
                          <w14:schemeClr w14:val="tx1"/>
                        </w14:solidFill>
                      </w14:textFill>
                    </w:rPr>
                  </w:pPr>
                </w:p>
              </w:tc>
              <w:tc>
                <w:tcPr>
                  <w:tcW w:w="456" w:type="pct"/>
                  <w:vMerge w:val="continue"/>
                  <w:vAlign w:val="center"/>
                </w:tcPr>
                <w:p w14:paraId="461E5D11">
                  <w:pPr>
                    <w:jc w:val="center"/>
                    <w:rPr>
                      <w:snapToGrid w:val="0"/>
                      <w:color w:val="000000" w:themeColor="text1"/>
                      <w:kern w:val="24"/>
                      <w:szCs w:val="21"/>
                      <w14:textFill>
                        <w14:solidFill>
                          <w14:schemeClr w14:val="tx1"/>
                        </w14:solidFill>
                      </w14:textFill>
                    </w:rPr>
                  </w:pPr>
                </w:p>
              </w:tc>
              <w:tc>
                <w:tcPr>
                  <w:tcW w:w="2544" w:type="pct"/>
                  <w:vMerge w:val="continue"/>
                  <w:vAlign w:val="center"/>
                </w:tcPr>
                <w:p w14:paraId="15E5328A">
                  <w:pPr>
                    <w:jc w:val="center"/>
                    <w:rPr>
                      <w:color w:val="000000" w:themeColor="text1"/>
                      <w:szCs w:val="21"/>
                      <w14:textFill>
                        <w14:solidFill>
                          <w14:schemeClr w14:val="tx1"/>
                        </w14:solidFill>
                      </w14:textFill>
                    </w:rPr>
                  </w:pPr>
                </w:p>
              </w:tc>
            </w:tr>
          </w:tbl>
          <w:p w14:paraId="2165DBE1">
            <w:pPr>
              <w:spacing w:line="50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4</w:t>
            </w:r>
            <w:r>
              <w:rPr>
                <w:rFonts w:hint="eastAsia"/>
                <w:snapToGrid w:val="0"/>
                <w:color w:val="000000" w:themeColor="text1"/>
                <w:kern w:val="0"/>
                <w:sz w:val="24"/>
                <w14:textFill>
                  <w14:solidFill>
                    <w14:schemeClr w14:val="tx1"/>
                  </w14:solidFill>
                </w14:textFill>
              </w:rPr>
              <w:t>、非正常工况</w:t>
            </w:r>
          </w:p>
          <w:p w14:paraId="5BB10035">
            <w:pPr>
              <w:spacing w:line="500" w:lineRule="exact"/>
              <w:ind w:firstLine="480" w:firstLineChars="200"/>
              <w:rPr>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①安排专人负责环保设备的日常维护和管理，每个固定时间检查、汇报情况，及时发现废气处理设备的隐患，确保废气处理系统正常运行；</w:t>
            </w:r>
            <w:r>
              <w:rPr>
                <w:rFonts w:hint="eastAsia" w:ascii="宋体" w:hAnsi="宋体" w:cs="宋体"/>
                <w:color w:val="000000" w:themeColor="text1"/>
                <w:sz w:val="24"/>
                <w14:textFill>
                  <w14:solidFill>
                    <w14:schemeClr w14:val="tx1"/>
                  </w14:solidFill>
                </w14:textFill>
              </w:rPr>
              <w:t>②</w:t>
            </w:r>
            <w:r>
              <w:rPr>
                <w:rFonts w:ascii="宋体" w:hAnsi="宋体" w:cs="宋体"/>
                <w:color w:val="000000" w:themeColor="text1"/>
                <w:sz w:val="24"/>
                <w14:textFill>
                  <w14:solidFill>
                    <w14:schemeClr w14:val="tx1"/>
                  </w14:solidFill>
                </w14:textFill>
              </w:rPr>
              <w:t>建立健全的环保管理机构，对环保管理人员和技术人员进行岗位培训，委托具有专业资质的环境检测单位对项目排放的各类污染物进行定期检测；</w:t>
            </w:r>
            <w:r>
              <w:rPr>
                <w:rFonts w:hint="eastAsia" w:ascii="宋体" w:hAnsi="宋体" w:cs="宋体"/>
                <w:color w:val="000000" w:themeColor="text1"/>
                <w:sz w:val="24"/>
                <w14:textFill>
                  <w14:solidFill>
                    <w14:schemeClr w14:val="tx1"/>
                  </w14:solidFill>
                </w14:textFill>
              </w:rPr>
              <w:t>③</w:t>
            </w:r>
            <w:r>
              <w:rPr>
                <w:rFonts w:ascii="宋体" w:hAnsi="宋体" w:cs="宋体"/>
                <w:color w:val="000000" w:themeColor="text1"/>
                <w:sz w:val="24"/>
                <w14:textFill>
                  <w14:solidFill>
                    <w14:schemeClr w14:val="tx1"/>
                  </w14:solidFill>
                </w14:textFill>
              </w:rPr>
              <w:t>应定期维护、检修废气净化装置，以保持废气处理装置的净化能力和净化容量。</w:t>
            </w:r>
          </w:p>
          <w:p w14:paraId="3061D74F">
            <w:pPr>
              <w:tabs>
                <w:tab w:val="left" w:pos="-160"/>
              </w:tabs>
              <w:spacing w:line="500" w:lineRule="exact"/>
              <w:ind w:firstLine="479" w:firstLineChars="199"/>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二</w:t>
            </w:r>
            <w:r>
              <w:rPr>
                <w:b/>
                <w:color w:val="000000" w:themeColor="text1"/>
                <w:sz w:val="24"/>
                <w14:textFill>
                  <w14:solidFill>
                    <w14:schemeClr w14:val="tx1"/>
                  </w14:solidFill>
                </w14:textFill>
              </w:rPr>
              <w:t>、废水</w:t>
            </w:r>
          </w:p>
          <w:p w14:paraId="348DB450">
            <w:pPr>
              <w:widowControl/>
              <w:tabs>
                <w:tab w:val="left" w:pos="180"/>
              </w:tabs>
              <w:adjustRightInd w:val="0"/>
              <w:snapToGrid w:val="0"/>
              <w:spacing w:line="540" w:lineRule="exact"/>
              <w:ind w:firstLine="480" w:firstLineChars="200"/>
              <w:rPr>
                <w:rFonts w:ascii="宋体" w:hAnsi="宋体"/>
                <w:snapToGrid w:val="0"/>
                <w:color w:val="000000" w:themeColor="text1"/>
                <w:kern w:val="24"/>
                <w:sz w:val="24"/>
                <w14:textFill>
                  <w14:solidFill>
                    <w14:schemeClr w14:val="tx1"/>
                  </w14:solidFill>
                </w14:textFill>
              </w:rPr>
            </w:pPr>
            <w:r>
              <w:rPr>
                <w:rFonts w:hint="eastAsia" w:ascii="宋体" w:hAnsi="宋体"/>
                <w:snapToGrid w:val="0"/>
                <w:color w:val="000000" w:themeColor="text1"/>
                <w:kern w:val="24"/>
                <w:sz w:val="24"/>
                <w14:textFill>
                  <w14:solidFill>
                    <w14:schemeClr w14:val="tx1"/>
                  </w14:solidFill>
                </w14:textFill>
              </w:rPr>
              <w:t>项目建成后废水主要是工作人员及往来加油顾客产生的生活污水和少量地面清洗废水。</w:t>
            </w:r>
          </w:p>
          <w:p w14:paraId="3B4B26E5">
            <w:pPr>
              <w:widowControl/>
              <w:spacing w:line="520" w:lineRule="exact"/>
              <w:ind w:firstLine="480" w:firstLineChars="200"/>
              <w:rPr>
                <w:rFonts w:ascii="宋体" w:hAnsi="宋体"/>
                <w:snapToGrid w:val="0"/>
                <w:color w:val="000000" w:themeColor="text1"/>
                <w:kern w:val="24"/>
                <w:sz w:val="24"/>
                <w14:textFill>
                  <w14:solidFill>
                    <w14:schemeClr w14:val="tx1"/>
                  </w14:solidFill>
                </w14:textFill>
              </w:rPr>
            </w:pPr>
            <w:r>
              <w:rPr>
                <w:rFonts w:hint="eastAsia" w:ascii="宋体" w:hAnsi="宋体"/>
                <w:snapToGrid w:val="0"/>
                <w:color w:val="000000" w:themeColor="text1"/>
                <w:kern w:val="24"/>
                <w:sz w:val="24"/>
                <w14:textFill>
                  <w14:solidFill>
                    <w14:schemeClr w14:val="tx1"/>
                  </w14:solidFill>
                </w14:textFill>
              </w:rPr>
              <w:t>1、地面清洗废水</w:t>
            </w:r>
          </w:p>
          <w:p w14:paraId="4D20041F">
            <w:pPr>
              <w:widowControl/>
              <w:spacing w:line="520" w:lineRule="exact"/>
              <w:ind w:firstLine="480" w:firstLineChars="200"/>
              <w:rPr>
                <w:rFonts w:ascii="宋体" w:hAnsi="宋体"/>
                <w:snapToGrid w:val="0"/>
                <w:color w:val="000000" w:themeColor="text1"/>
                <w:kern w:val="24"/>
                <w:sz w:val="24"/>
                <w14:textFill>
                  <w14:solidFill>
                    <w14:schemeClr w14:val="tx1"/>
                  </w14:solidFill>
                </w14:textFill>
              </w:rPr>
            </w:pPr>
            <w:r>
              <w:rPr>
                <w:rFonts w:ascii="宋体" w:hAnsi="宋体"/>
                <w:snapToGrid w:val="0"/>
                <w:color w:val="000000" w:themeColor="text1"/>
                <w:kern w:val="24"/>
                <w:sz w:val="24"/>
                <w14:textFill>
                  <w14:solidFill>
                    <w14:schemeClr w14:val="tx1"/>
                  </w14:solidFill>
                </w14:textFill>
              </w:rPr>
              <w:t>本项目</w:t>
            </w:r>
            <w:r>
              <w:rPr>
                <w:rFonts w:hint="eastAsia" w:ascii="宋体" w:hAnsi="宋体"/>
                <w:snapToGrid w:val="0"/>
                <w:color w:val="000000" w:themeColor="text1"/>
                <w:kern w:val="24"/>
                <w:sz w:val="24"/>
                <w14:textFill>
                  <w14:solidFill>
                    <w14:schemeClr w14:val="tx1"/>
                  </w14:solidFill>
                </w14:textFill>
              </w:rPr>
              <w:t>建成后加油、卸油过程中操作失误或违章操作会滴漏的少量油品，建设单位采用吸油毡吸附，然后再用清水清洗。地面清洗会产生少量废水。</w:t>
            </w:r>
          </w:p>
          <w:p w14:paraId="604AE670">
            <w:pPr>
              <w:widowControl/>
              <w:spacing w:line="520" w:lineRule="exact"/>
              <w:ind w:firstLine="480" w:firstLineChars="200"/>
              <w:rPr>
                <w:rFonts w:hAnsi="宋体"/>
                <w:snapToGrid w:val="0"/>
                <w:color w:val="000000" w:themeColor="text1"/>
                <w:kern w:val="24"/>
                <w:sz w:val="24"/>
                <w14:textFill>
                  <w14:solidFill>
                    <w14:schemeClr w14:val="tx1"/>
                  </w14:solidFill>
                </w14:textFill>
              </w:rPr>
            </w:pPr>
            <w:r>
              <w:rPr>
                <w:rFonts w:hint="eastAsia" w:hAnsi="宋体"/>
                <w:snapToGrid w:val="0"/>
                <w:color w:val="000000" w:themeColor="text1"/>
                <w:kern w:val="24"/>
                <w:sz w:val="24"/>
                <w14:textFill>
                  <w14:solidFill>
                    <w14:schemeClr w14:val="tx1"/>
                  </w14:solidFill>
                </w14:textFill>
              </w:rPr>
              <w:t>参照《建筑给水排水设计规范2009版》中停车库冲洗用水量（每m</w:t>
            </w:r>
            <w:r>
              <w:rPr>
                <w:rFonts w:hint="eastAsia" w:hAnsi="宋体"/>
                <w:snapToGrid w:val="0"/>
                <w:color w:val="000000" w:themeColor="text1"/>
                <w:kern w:val="24"/>
                <w:sz w:val="24"/>
                <w:vertAlign w:val="superscript"/>
                <w14:textFill>
                  <w14:solidFill>
                    <w14:schemeClr w14:val="tx1"/>
                  </w14:solidFill>
                </w14:textFill>
              </w:rPr>
              <w:t>2</w:t>
            </w:r>
            <w:r>
              <w:rPr>
                <w:rFonts w:hint="eastAsia" w:hAnsi="宋体"/>
                <w:snapToGrid w:val="0"/>
                <w:color w:val="000000" w:themeColor="text1"/>
                <w:kern w:val="24"/>
                <w:sz w:val="24"/>
                <w14:textFill>
                  <w14:solidFill>
                    <w14:schemeClr w14:val="tx1"/>
                  </w14:solidFill>
                </w14:textFill>
              </w:rPr>
              <w:t>每次2~3L），本项目建成后平均每天清洗一次，清洗区域面积以600m</w:t>
            </w:r>
            <w:r>
              <w:rPr>
                <w:rFonts w:hint="eastAsia" w:hAnsi="宋体"/>
                <w:snapToGrid w:val="0"/>
                <w:color w:val="000000" w:themeColor="text1"/>
                <w:kern w:val="24"/>
                <w:sz w:val="24"/>
                <w:vertAlign w:val="superscript"/>
                <w14:textFill>
                  <w14:solidFill>
                    <w14:schemeClr w14:val="tx1"/>
                  </w14:solidFill>
                </w14:textFill>
              </w:rPr>
              <w:t>2</w:t>
            </w:r>
            <w:r>
              <w:rPr>
                <w:rFonts w:hint="eastAsia" w:hAnsi="宋体"/>
                <w:snapToGrid w:val="0"/>
                <w:color w:val="000000" w:themeColor="text1"/>
                <w:kern w:val="24"/>
                <w:sz w:val="24"/>
                <w14:textFill>
                  <w14:solidFill>
                    <w14:schemeClr w14:val="tx1"/>
                  </w14:solidFill>
                </w14:textFill>
              </w:rPr>
              <w:t>计（本次评价取2L/m</w:t>
            </w:r>
            <w:r>
              <w:rPr>
                <w:rFonts w:hint="eastAsia" w:ascii="宋体" w:hAnsi="宋体"/>
                <w:snapToGrid w:val="0"/>
                <w:color w:val="000000" w:themeColor="text1"/>
                <w:kern w:val="24"/>
                <w:sz w:val="24"/>
                <w:vertAlign w:val="superscript"/>
                <w14:textFill>
                  <w14:solidFill>
                    <w14:schemeClr w14:val="tx1"/>
                  </w14:solidFill>
                </w14:textFill>
              </w:rPr>
              <w:t>2</w:t>
            </w:r>
            <w:r>
              <w:rPr>
                <w:rFonts w:hint="eastAsia" w:ascii="宋体" w:hAnsi="宋体"/>
                <w:snapToGrid w:val="0"/>
                <w:color w:val="000000" w:themeColor="text1"/>
                <w:kern w:val="24"/>
                <w:sz w:val="24"/>
                <w14:textFill>
                  <w14:solidFill>
                    <w14:schemeClr w14:val="tx1"/>
                  </w14:solidFill>
                </w14:textFill>
              </w:rPr>
              <w:t>·</w:t>
            </w:r>
            <w:r>
              <w:rPr>
                <w:rFonts w:hint="eastAsia" w:hAnsi="宋体"/>
                <w:snapToGrid w:val="0"/>
                <w:color w:val="000000" w:themeColor="text1"/>
                <w:kern w:val="24"/>
                <w:sz w:val="24"/>
                <w14:textFill>
                  <w14:solidFill>
                    <w14:schemeClr w14:val="tx1"/>
                  </w14:solidFill>
                </w14:textFill>
              </w:rPr>
              <w:t>次），则清洗水用量为1.2</w:t>
            </w:r>
            <w:r>
              <w:rPr>
                <w:snapToGrid w:val="0"/>
                <w:color w:val="000000" w:themeColor="text1"/>
                <w:kern w:val="24"/>
                <w:sz w:val="24"/>
                <w14:textFill>
                  <w14:solidFill>
                    <w14:schemeClr w14:val="tx1"/>
                  </w14:solidFill>
                </w14:textFill>
              </w:rPr>
              <w:t>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/d</w:t>
            </w:r>
            <w:r>
              <w:rPr>
                <w:rFonts w:hAnsi="宋体"/>
                <w:snapToGrid w:val="0"/>
                <w:color w:val="000000" w:themeColor="text1"/>
                <w:kern w:val="24"/>
                <w:sz w:val="24"/>
                <w14:textFill>
                  <w14:solidFill>
                    <w14:schemeClr w14:val="tx1"/>
                  </w14:solidFill>
                </w14:textFill>
              </w:rPr>
              <w:t>（</w:t>
            </w:r>
            <w:r>
              <w:rPr>
                <w:rFonts w:hint="eastAsia"/>
                <w:snapToGrid w:val="0"/>
                <w:color w:val="000000" w:themeColor="text1"/>
                <w:kern w:val="24"/>
                <w:sz w:val="24"/>
                <w14:textFill>
                  <w14:solidFill>
                    <w14:schemeClr w14:val="tx1"/>
                  </w14:solidFill>
                </w14:textFill>
              </w:rPr>
              <w:t>438</w:t>
            </w:r>
            <w:r>
              <w:rPr>
                <w:snapToGrid w:val="0"/>
                <w:color w:val="000000" w:themeColor="text1"/>
                <w:kern w:val="24"/>
                <w:sz w:val="24"/>
                <w14:textFill>
                  <w14:solidFill>
                    <w14:schemeClr w14:val="tx1"/>
                  </w14:solidFill>
                </w14:textFill>
              </w:rPr>
              <w:t>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/a</w:t>
            </w:r>
            <w:r>
              <w:rPr>
                <w:rFonts w:hAnsi="宋体"/>
                <w:snapToGrid w:val="0"/>
                <w:color w:val="000000" w:themeColor="text1"/>
                <w:kern w:val="24"/>
                <w:sz w:val="24"/>
                <w14:textFill>
                  <w14:solidFill>
                    <w14:schemeClr w14:val="tx1"/>
                  </w14:solidFill>
                </w14:textFill>
              </w:rPr>
              <w:t>）</w:t>
            </w:r>
            <w:r>
              <w:rPr>
                <w:rFonts w:hint="eastAsia" w:hAnsi="宋体"/>
                <w:snapToGrid w:val="0"/>
                <w:color w:val="000000" w:themeColor="text1"/>
                <w:kern w:val="24"/>
                <w:sz w:val="24"/>
                <w14:textFill>
                  <w14:solidFill>
                    <w14:schemeClr w14:val="tx1"/>
                  </w14:solidFill>
                </w14:textFill>
              </w:rPr>
              <w:t>，</w:t>
            </w:r>
            <w:r>
              <w:rPr>
                <w:rFonts w:hAnsi="宋体"/>
                <w:snapToGrid w:val="0"/>
                <w:color w:val="000000" w:themeColor="text1"/>
                <w:kern w:val="24"/>
                <w:sz w:val="24"/>
                <w14:textFill>
                  <w14:solidFill>
                    <w14:schemeClr w14:val="tx1"/>
                  </w14:solidFill>
                </w14:textFill>
              </w:rPr>
              <w:t>排水系数取</w:t>
            </w:r>
            <w:r>
              <w:rPr>
                <w:snapToGrid w:val="0"/>
                <w:color w:val="000000" w:themeColor="text1"/>
                <w:kern w:val="24"/>
                <w:sz w:val="24"/>
                <w14:textFill>
                  <w14:solidFill>
                    <w14:schemeClr w14:val="tx1"/>
                  </w14:solidFill>
                </w14:textFill>
              </w:rPr>
              <w:t>0.8</w:t>
            </w:r>
            <w:r>
              <w:rPr>
                <w:rFonts w:hAnsi="宋体"/>
                <w:snapToGrid w:val="0"/>
                <w:color w:val="000000" w:themeColor="text1"/>
                <w:kern w:val="24"/>
                <w:sz w:val="24"/>
                <w14:textFill>
                  <w14:solidFill>
                    <w14:schemeClr w14:val="tx1"/>
                  </w14:solidFill>
                </w14:textFill>
              </w:rPr>
              <w:t>，产生</w:t>
            </w:r>
            <w:r>
              <w:rPr>
                <w:rFonts w:hint="eastAsia" w:hAnsi="宋体"/>
                <w:snapToGrid w:val="0"/>
                <w:color w:val="000000" w:themeColor="text1"/>
                <w:kern w:val="24"/>
                <w:sz w:val="24"/>
                <w14:textFill>
                  <w14:solidFill>
                    <w14:schemeClr w14:val="tx1"/>
                  </w14:solidFill>
                </w14:textFill>
              </w:rPr>
              <w:t>的</w:t>
            </w:r>
            <w:r>
              <w:rPr>
                <w:rFonts w:hAnsi="宋体"/>
                <w:snapToGrid w:val="0"/>
                <w:color w:val="000000" w:themeColor="text1"/>
                <w:kern w:val="24"/>
                <w:sz w:val="24"/>
                <w14:textFill>
                  <w14:solidFill>
                    <w14:schemeClr w14:val="tx1"/>
                  </w14:solidFill>
                </w14:textFill>
              </w:rPr>
              <w:t>污水量为</w:t>
            </w:r>
            <w:r>
              <w:rPr>
                <w:snapToGrid w:val="0"/>
                <w:color w:val="000000" w:themeColor="text1"/>
                <w:kern w:val="24"/>
                <w:sz w:val="24"/>
                <w14:textFill>
                  <w14:solidFill>
                    <w14:schemeClr w14:val="tx1"/>
                  </w14:solidFill>
                </w14:textFill>
              </w:rPr>
              <w:t>0.</w:t>
            </w:r>
            <w:r>
              <w:rPr>
                <w:rFonts w:hint="eastAsia"/>
                <w:snapToGrid w:val="0"/>
                <w:color w:val="000000" w:themeColor="text1"/>
                <w:kern w:val="24"/>
                <w:sz w:val="24"/>
                <w14:textFill>
                  <w14:solidFill>
                    <w14:schemeClr w14:val="tx1"/>
                  </w14:solidFill>
                </w14:textFill>
              </w:rPr>
              <w:t>96</w:t>
            </w:r>
            <w:r>
              <w:rPr>
                <w:snapToGrid w:val="0"/>
                <w:color w:val="000000" w:themeColor="text1"/>
                <w:kern w:val="24"/>
                <w:sz w:val="24"/>
                <w14:textFill>
                  <w14:solidFill>
                    <w14:schemeClr w14:val="tx1"/>
                  </w14:solidFill>
                </w14:textFill>
              </w:rPr>
              <w:t>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 xml:space="preserve"> /d</w:t>
            </w:r>
            <w:r>
              <w:rPr>
                <w:rFonts w:hAnsi="宋体"/>
                <w:snapToGrid w:val="0"/>
                <w:color w:val="000000" w:themeColor="text1"/>
                <w:kern w:val="24"/>
                <w:sz w:val="24"/>
                <w14:textFill>
                  <w14:solidFill>
                    <w14:schemeClr w14:val="tx1"/>
                  </w14:solidFill>
                </w14:textFill>
              </w:rPr>
              <w:t>（</w:t>
            </w:r>
            <w:r>
              <w:rPr>
                <w:rFonts w:hint="eastAsia"/>
                <w:snapToGrid w:val="0"/>
                <w:color w:val="000000" w:themeColor="text1"/>
                <w:kern w:val="24"/>
                <w:sz w:val="24"/>
                <w14:textFill>
                  <w14:solidFill>
                    <w14:schemeClr w14:val="tx1"/>
                  </w14:solidFill>
                </w14:textFill>
              </w:rPr>
              <w:t>350.4</w:t>
            </w:r>
            <w:r>
              <w:rPr>
                <w:snapToGrid w:val="0"/>
                <w:color w:val="000000" w:themeColor="text1"/>
                <w:kern w:val="24"/>
                <w:sz w:val="24"/>
                <w14:textFill>
                  <w14:solidFill>
                    <w14:schemeClr w14:val="tx1"/>
                  </w14:solidFill>
                </w14:textFill>
              </w:rPr>
              <w:t>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/a</w:t>
            </w:r>
            <w:r>
              <w:rPr>
                <w:rFonts w:hAnsi="宋体"/>
                <w:snapToGrid w:val="0"/>
                <w:color w:val="000000" w:themeColor="text1"/>
                <w:kern w:val="24"/>
                <w:sz w:val="24"/>
                <w14:textFill>
                  <w14:solidFill>
                    <w14:schemeClr w14:val="tx1"/>
                  </w14:solidFill>
                </w14:textFill>
              </w:rPr>
              <w:t>）。</w:t>
            </w:r>
            <w:r>
              <w:rPr>
                <w:rFonts w:hint="eastAsia" w:hAnsi="宋体"/>
                <w:snapToGrid w:val="0"/>
                <w:color w:val="000000" w:themeColor="text1"/>
                <w:kern w:val="24"/>
                <w:sz w:val="24"/>
                <w14:textFill>
                  <w14:solidFill>
                    <w14:schemeClr w14:val="tx1"/>
                  </w14:solidFill>
                </w14:textFill>
              </w:rPr>
              <w:t>清洗废水</w:t>
            </w:r>
            <w:r>
              <w:rPr>
                <w:rFonts w:hAnsi="宋体"/>
                <w:snapToGrid w:val="0"/>
                <w:color w:val="000000" w:themeColor="text1"/>
                <w:kern w:val="24"/>
                <w:sz w:val="24"/>
                <w14:textFill>
                  <w14:solidFill>
                    <w14:schemeClr w14:val="tx1"/>
                  </w14:solidFill>
                </w14:textFill>
              </w:rPr>
              <w:t>中主要污染因子</w:t>
            </w:r>
            <w:r>
              <w:rPr>
                <w:rFonts w:hint="eastAsia" w:hAnsi="宋体"/>
                <w:snapToGrid w:val="0"/>
                <w:color w:val="000000" w:themeColor="text1"/>
                <w:kern w:val="24"/>
                <w:sz w:val="24"/>
                <w14:textFill>
                  <w14:solidFill>
                    <w14:schemeClr w14:val="tx1"/>
                  </w14:solidFill>
                </w14:textFill>
              </w:rPr>
              <w:t>为</w:t>
            </w:r>
            <w:r>
              <w:rPr>
                <w:snapToGrid w:val="0"/>
                <w:color w:val="000000" w:themeColor="text1"/>
                <w:kern w:val="24"/>
                <w:sz w:val="24"/>
                <w14:textFill>
                  <w14:solidFill>
                    <w14:schemeClr w14:val="tx1"/>
                  </w14:solidFill>
                </w14:textFill>
              </w:rPr>
              <w:t>COD</w:t>
            </w:r>
            <w:r>
              <w:rPr>
                <w:rFonts w:hAnsi="宋体"/>
                <w:snapToGrid w:val="0"/>
                <w:color w:val="000000" w:themeColor="text1"/>
                <w:kern w:val="24"/>
                <w:sz w:val="24"/>
                <w14:textFill>
                  <w14:solidFill>
                    <w14:schemeClr w14:val="tx1"/>
                  </w14:solidFill>
                </w14:textFill>
              </w:rPr>
              <w:t>、</w:t>
            </w:r>
            <w:r>
              <w:rPr>
                <w:snapToGrid w:val="0"/>
                <w:color w:val="000000" w:themeColor="text1"/>
                <w:kern w:val="24"/>
                <w:sz w:val="24"/>
                <w14:textFill>
                  <w14:solidFill>
                    <w14:schemeClr w14:val="tx1"/>
                  </w14:solidFill>
                </w14:textFill>
              </w:rPr>
              <w:t>SS</w:t>
            </w:r>
            <w:r>
              <w:rPr>
                <w:rFonts w:hAnsi="宋体"/>
                <w:snapToGrid w:val="0"/>
                <w:color w:val="000000" w:themeColor="text1"/>
                <w:kern w:val="24"/>
                <w:sz w:val="24"/>
                <w14:textFill>
                  <w14:solidFill>
                    <w14:schemeClr w14:val="tx1"/>
                  </w14:solidFill>
                </w14:textFill>
              </w:rPr>
              <w:t>、</w:t>
            </w:r>
            <w:r>
              <w:rPr>
                <w:rFonts w:hint="eastAsia" w:hAnsi="宋体"/>
                <w:snapToGrid w:val="0"/>
                <w:color w:val="000000" w:themeColor="text1"/>
                <w:kern w:val="24"/>
                <w:sz w:val="24"/>
                <w14:textFill>
                  <w14:solidFill>
                    <w14:schemeClr w14:val="tx1"/>
                  </w14:solidFill>
                </w14:textFill>
              </w:rPr>
              <w:t>石油类。地面清洗废水采用隔油沉淀池（容积2m</w:t>
            </w:r>
            <w:r>
              <w:rPr>
                <w:rFonts w:hint="eastAsia" w:hAnsi="宋体"/>
                <w:snapToGrid w:val="0"/>
                <w:color w:val="000000" w:themeColor="text1"/>
                <w:kern w:val="24"/>
                <w:sz w:val="24"/>
                <w:vertAlign w:val="superscript"/>
                <w14:textFill>
                  <w14:solidFill>
                    <w14:schemeClr w14:val="tx1"/>
                  </w14:solidFill>
                </w14:textFill>
              </w:rPr>
              <w:t>3</w:t>
            </w:r>
            <w:r>
              <w:rPr>
                <w:rFonts w:hint="eastAsia" w:hAnsi="宋体"/>
                <w:snapToGrid w:val="0"/>
                <w:color w:val="000000" w:themeColor="text1"/>
                <w:kern w:val="24"/>
                <w:sz w:val="24"/>
                <w14:textFill>
                  <w14:solidFill>
                    <w14:schemeClr w14:val="tx1"/>
                  </w14:solidFill>
                </w14:textFill>
              </w:rPr>
              <w:t>）进行隔油沉淀处理，分离出的浮油、沉渣收集暂存。处理后的废水与生活污水一同排入市政污水管网。</w:t>
            </w:r>
            <w:r>
              <w:rPr>
                <w:rFonts w:hAnsi="宋体"/>
                <w:snapToGrid w:val="0"/>
                <w:color w:val="000000" w:themeColor="text1"/>
                <w:kern w:val="24"/>
                <w:sz w:val="24"/>
                <w14:textFill>
                  <w14:solidFill>
                    <w14:schemeClr w14:val="tx1"/>
                  </w14:solidFill>
                </w14:textFill>
              </w:rPr>
              <w:t>项目区域属</w:t>
            </w:r>
            <w:r>
              <w:rPr>
                <w:rFonts w:hint="eastAsia" w:hAnsi="宋体"/>
                <w:snapToGrid w:val="0"/>
                <w:color w:val="000000" w:themeColor="text1"/>
                <w:kern w:val="24"/>
                <w:sz w:val="24"/>
                <w14:textFill>
                  <w14:solidFill>
                    <w14:schemeClr w14:val="tx1"/>
                  </w14:solidFill>
                </w14:textFill>
              </w:rPr>
              <w:t>固镇县</w:t>
            </w:r>
            <w:r>
              <w:rPr>
                <w:rFonts w:hAnsi="宋体"/>
                <w:snapToGrid w:val="0"/>
                <w:color w:val="000000" w:themeColor="text1"/>
                <w:kern w:val="24"/>
                <w:sz w:val="24"/>
                <w14:textFill>
                  <w14:solidFill>
                    <w14:schemeClr w14:val="tx1"/>
                  </w14:solidFill>
                </w14:textFill>
              </w:rPr>
              <w:t>污水处理厂收水范围，</w:t>
            </w:r>
            <w:r>
              <w:rPr>
                <w:rFonts w:hint="eastAsia" w:hAnsi="宋体"/>
                <w:snapToGrid w:val="0"/>
                <w:color w:val="000000" w:themeColor="text1"/>
                <w:kern w:val="24"/>
                <w:sz w:val="24"/>
                <w14:textFill>
                  <w14:solidFill>
                    <w14:schemeClr w14:val="tx1"/>
                  </w14:solidFill>
                </w14:textFill>
              </w:rPr>
              <w:t>处理后的废水经</w:t>
            </w:r>
            <w:r>
              <w:rPr>
                <w:rFonts w:hAnsi="宋体"/>
                <w:snapToGrid w:val="0"/>
                <w:color w:val="000000" w:themeColor="text1"/>
                <w:kern w:val="24"/>
                <w:sz w:val="24"/>
                <w14:textFill>
                  <w14:solidFill>
                    <w14:schemeClr w14:val="tx1"/>
                  </w14:solidFill>
                </w14:textFill>
              </w:rPr>
              <w:t>市政污水管网，进</w:t>
            </w:r>
            <w:r>
              <w:rPr>
                <w:rFonts w:hint="eastAsia" w:hAnsi="宋体"/>
                <w:snapToGrid w:val="0"/>
                <w:color w:val="000000" w:themeColor="text1"/>
                <w:kern w:val="24"/>
                <w:sz w:val="24"/>
                <w14:textFill>
                  <w14:solidFill>
                    <w14:schemeClr w14:val="tx1"/>
                  </w14:solidFill>
                </w14:textFill>
              </w:rPr>
              <w:t>固镇县</w:t>
            </w:r>
            <w:r>
              <w:rPr>
                <w:rFonts w:hAnsi="宋体"/>
                <w:snapToGrid w:val="0"/>
                <w:color w:val="000000" w:themeColor="text1"/>
                <w:kern w:val="24"/>
                <w:sz w:val="24"/>
                <w14:textFill>
                  <w14:solidFill>
                    <w14:schemeClr w14:val="tx1"/>
                  </w14:solidFill>
                </w14:textFill>
              </w:rPr>
              <w:t>污水处理厂处理</w:t>
            </w:r>
            <w:r>
              <w:rPr>
                <w:rFonts w:hint="eastAsia" w:hAnsi="宋体"/>
                <w:snapToGrid w:val="0"/>
                <w:color w:val="000000" w:themeColor="text1"/>
                <w:kern w:val="24"/>
                <w:sz w:val="24"/>
                <w14:textFill>
                  <w14:solidFill>
                    <w14:schemeClr w14:val="tx1"/>
                  </w14:solidFill>
                </w14:textFill>
              </w:rPr>
              <w:t>，处理</w:t>
            </w:r>
            <w:r>
              <w:rPr>
                <w:rFonts w:hAnsi="宋体"/>
                <w:snapToGrid w:val="0"/>
                <w:color w:val="000000" w:themeColor="text1"/>
                <w:kern w:val="24"/>
                <w:sz w:val="24"/>
                <w14:textFill>
                  <w14:solidFill>
                    <w14:schemeClr w14:val="tx1"/>
                  </w14:solidFill>
                </w14:textFill>
              </w:rPr>
              <w:t>后排入</w:t>
            </w:r>
            <w:r>
              <w:rPr>
                <w:rFonts w:hint="eastAsia" w:hAnsi="宋体"/>
                <w:snapToGrid w:val="0"/>
                <w:color w:val="000000" w:themeColor="text1"/>
                <w:kern w:val="24"/>
                <w:sz w:val="24"/>
                <w14:textFill>
                  <w14:solidFill>
                    <w14:schemeClr w14:val="tx1"/>
                  </w14:solidFill>
                </w14:textFill>
              </w:rPr>
              <w:t>浍河</w:t>
            </w:r>
            <w:r>
              <w:rPr>
                <w:rFonts w:hAnsi="宋体"/>
                <w:snapToGrid w:val="0"/>
                <w:color w:val="000000" w:themeColor="text1"/>
                <w:kern w:val="24"/>
                <w:sz w:val="24"/>
                <w14:textFill>
                  <w14:solidFill>
                    <w14:schemeClr w14:val="tx1"/>
                  </w14:solidFill>
                </w14:textFill>
              </w:rPr>
              <w:t>，对</w:t>
            </w:r>
            <w:r>
              <w:rPr>
                <w:rFonts w:hint="eastAsia" w:hAnsi="宋体"/>
                <w:snapToGrid w:val="0"/>
                <w:color w:val="000000" w:themeColor="text1"/>
                <w:kern w:val="24"/>
                <w:sz w:val="24"/>
                <w14:textFill>
                  <w14:solidFill>
                    <w14:schemeClr w14:val="tx1"/>
                  </w14:solidFill>
                </w14:textFill>
              </w:rPr>
              <w:t>浍河</w:t>
            </w:r>
            <w:r>
              <w:rPr>
                <w:rFonts w:hAnsi="宋体"/>
                <w:snapToGrid w:val="0"/>
                <w:color w:val="000000" w:themeColor="text1"/>
                <w:kern w:val="24"/>
                <w:sz w:val="24"/>
                <w14:textFill>
                  <w14:solidFill>
                    <w14:schemeClr w14:val="tx1"/>
                  </w14:solidFill>
                </w14:textFill>
              </w:rPr>
              <w:t>水环境影响较小。</w:t>
            </w:r>
          </w:p>
          <w:p w14:paraId="5C11B6C4">
            <w:pPr>
              <w:widowControl/>
              <w:spacing w:line="520" w:lineRule="exact"/>
              <w:ind w:firstLine="480" w:firstLineChars="200"/>
              <w:rPr>
                <w:rFonts w:hAnsi="宋体"/>
                <w:snapToGrid w:val="0"/>
                <w:color w:val="000000" w:themeColor="text1"/>
                <w:kern w:val="24"/>
                <w:sz w:val="24"/>
                <w14:textFill>
                  <w14:solidFill>
                    <w14:schemeClr w14:val="tx1"/>
                  </w14:solidFill>
                </w14:textFill>
              </w:rPr>
            </w:pPr>
            <w:r>
              <w:rPr>
                <w:rFonts w:hint="eastAsia" w:hAnsi="宋体"/>
                <w:snapToGrid w:val="0"/>
                <w:color w:val="000000" w:themeColor="text1"/>
                <w:kern w:val="24"/>
                <w:sz w:val="24"/>
                <w14:textFill>
                  <w14:solidFill>
                    <w14:schemeClr w14:val="tx1"/>
                  </w14:solidFill>
                </w14:textFill>
              </w:rPr>
              <w:t>2、生活污水</w:t>
            </w:r>
            <w:r>
              <w:rPr>
                <w:rFonts w:hint="eastAsia" w:hAnsi="宋体"/>
                <w:snapToGrid w:val="0"/>
                <w:color w:val="000000" w:themeColor="text1"/>
                <w:kern w:val="24"/>
                <w:sz w:val="24"/>
                <w:lang w:eastAsia="zh-CN"/>
                <w14:textFill>
                  <w14:solidFill>
                    <w14:schemeClr w14:val="tx1"/>
                  </w14:solidFill>
                </w14:textFill>
              </w:rPr>
              <w:t>：</w:t>
            </w:r>
            <w:r>
              <w:rPr>
                <w:rFonts w:hint="eastAsia" w:hAnsi="宋体"/>
                <w:snapToGrid w:val="0"/>
                <w:color w:val="000000" w:themeColor="text1"/>
                <w:kern w:val="24"/>
                <w:sz w:val="24"/>
                <w14:textFill>
                  <w14:solidFill>
                    <w14:schemeClr w14:val="tx1"/>
                  </w14:solidFill>
                </w14:textFill>
              </w:rPr>
              <w:t>本</w:t>
            </w:r>
            <w:r>
              <w:rPr>
                <w:rFonts w:hAnsi="宋体"/>
                <w:snapToGrid w:val="0"/>
                <w:color w:val="000000" w:themeColor="text1"/>
                <w:kern w:val="24"/>
                <w:sz w:val="24"/>
                <w14:textFill>
                  <w14:solidFill>
                    <w14:schemeClr w14:val="tx1"/>
                  </w14:solidFill>
                </w14:textFill>
              </w:rPr>
              <w:t>项目管理及服务人员共</w:t>
            </w:r>
            <w:r>
              <w:rPr>
                <w:rFonts w:hint="eastAsia"/>
                <w:snapToGrid w:val="0"/>
                <w:color w:val="000000" w:themeColor="text1"/>
                <w:kern w:val="24"/>
                <w:sz w:val="24"/>
                <w14:textFill>
                  <w14:solidFill>
                    <w14:schemeClr w14:val="tx1"/>
                  </w14:solidFill>
                </w14:textFill>
              </w:rPr>
              <w:t>20</w:t>
            </w:r>
            <w:r>
              <w:rPr>
                <w:rFonts w:hAnsi="宋体"/>
                <w:snapToGrid w:val="0"/>
                <w:color w:val="000000" w:themeColor="text1"/>
                <w:kern w:val="24"/>
                <w:sz w:val="24"/>
                <w14:textFill>
                  <w14:solidFill>
                    <w14:schemeClr w14:val="tx1"/>
                  </w14:solidFill>
                </w14:textFill>
              </w:rPr>
              <w:t>人，用水量按</w:t>
            </w:r>
            <w:r>
              <w:rPr>
                <w:snapToGrid w:val="0"/>
                <w:color w:val="000000" w:themeColor="text1"/>
                <w:kern w:val="24"/>
                <w:sz w:val="24"/>
                <w14:textFill>
                  <w14:solidFill>
                    <w14:schemeClr w14:val="tx1"/>
                  </w14:solidFill>
                </w14:textFill>
              </w:rPr>
              <w:t>50L/</w:t>
            </w:r>
            <w:r>
              <w:rPr>
                <w:rFonts w:hAnsi="宋体"/>
                <w:snapToGrid w:val="0"/>
                <w:color w:val="000000" w:themeColor="text1"/>
                <w:kern w:val="24"/>
                <w:sz w:val="24"/>
                <w14:textFill>
                  <w14:solidFill>
                    <w14:schemeClr w14:val="tx1"/>
                  </w14:solidFill>
                </w14:textFill>
              </w:rPr>
              <w:t>人</w:t>
            </w:r>
            <w:r>
              <w:rPr>
                <w:snapToGrid w:val="0"/>
                <w:color w:val="000000" w:themeColor="text1"/>
                <w:kern w:val="24"/>
                <w:sz w:val="24"/>
                <w14:textFill>
                  <w14:solidFill>
                    <w14:schemeClr w14:val="tx1"/>
                  </w14:solidFill>
                </w14:textFill>
              </w:rPr>
              <w:t>•d</w:t>
            </w:r>
            <w:r>
              <w:rPr>
                <w:rFonts w:hAnsi="宋体"/>
                <w:snapToGrid w:val="0"/>
                <w:color w:val="000000" w:themeColor="text1"/>
                <w:kern w:val="24"/>
                <w:sz w:val="24"/>
                <w14:textFill>
                  <w14:solidFill>
                    <w14:schemeClr w14:val="tx1"/>
                  </w14:solidFill>
                </w14:textFill>
              </w:rPr>
              <w:t>计，</w:t>
            </w:r>
            <w:r>
              <w:rPr>
                <w:rFonts w:hint="eastAsia" w:hAnsi="宋体"/>
                <w:snapToGrid w:val="0"/>
                <w:color w:val="000000" w:themeColor="text1"/>
                <w:kern w:val="24"/>
                <w:sz w:val="24"/>
                <w14:textFill>
                  <w14:solidFill>
                    <w14:schemeClr w14:val="tx1"/>
                  </w14:solidFill>
                </w14:textFill>
              </w:rPr>
              <w:t>则</w:t>
            </w:r>
            <w:r>
              <w:rPr>
                <w:rFonts w:hAnsi="宋体"/>
                <w:snapToGrid w:val="0"/>
                <w:color w:val="000000" w:themeColor="text1"/>
                <w:kern w:val="24"/>
                <w:sz w:val="24"/>
                <w14:textFill>
                  <w14:solidFill>
                    <w14:schemeClr w14:val="tx1"/>
                  </w14:solidFill>
                </w14:textFill>
              </w:rPr>
              <w:t>管理及服务人员</w:t>
            </w:r>
            <w:r>
              <w:rPr>
                <w:rFonts w:hint="eastAsia" w:hAnsi="宋体"/>
                <w:snapToGrid w:val="0"/>
                <w:color w:val="000000" w:themeColor="text1"/>
                <w:kern w:val="24"/>
                <w:sz w:val="24"/>
                <w14:textFill>
                  <w14:solidFill>
                    <w14:schemeClr w14:val="tx1"/>
                  </w14:solidFill>
                </w14:textFill>
              </w:rPr>
              <w:t>生活用水量为</w:t>
            </w:r>
            <w:r>
              <w:rPr>
                <w:rFonts w:hint="eastAsia"/>
                <w:snapToGrid w:val="0"/>
                <w:color w:val="000000" w:themeColor="text1"/>
                <w:kern w:val="24"/>
                <w:sz w:val="24"/>
                <w14:textFill>
                  <w14:solidFill>
                    <w14:schemeClr w14:val="tx1"/>
                  </w14:solidFill>
                </w14:textFill>
              </w:rPr>
              <w:t>1</w:t>
            </w:r>
            <w:r>
              <w:rPr>
                <w:snapToGrid w:val="0"/>
                <w:color w:val="000000" w:themeColor="text1"/>
                <w:kern w:val="24"/>
                <w:sz w:val="24"/>
                <w14:textFill>
                  <w14:solidFill>
                    <w14:schemeClr w14:val="tx1"/>
                  </w14:solidFill>
                </w14:textFill>
              </w:rPr>
              <w:t>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/d</w:t>
            </w:r>
            <w:r>
              <w:rPr>
                <w:rFonts w:hAnsi="宋体"/>
                <w:snapToGrid w:val="0"/>
                <w:color w:val="000000" w:themeColor="text1"/>
                <w:kern w:val="24"/>
                <w:sz w:val="24"/>
                <w14:textFill>
                  <w14:solidFill>
                    <w14:schemeClr w14:val="tx1"/>
                  </w14:solidFill>
                </w14:textFill>
              </w:rPr>
              <w:t>（</w:t>
            </w:r>
            <w:r>
              <w:rPr>
                <w:rFonts w:hint="eastAsia"/>
                <w:snapToGrid w:val="0"/>
                <w:color w:val="000000" w:themeColor="text1"/>
                <w:kern w:val="24"/>
                <w:sz w:val="24"/>
                <w14:textFill>
                  <w14:solidFill>
                    <w14:schemeClr w14:val="tx1"/>
                  </w14:solidFill>
                </w14:textFill>
              </w:rPr>
              <w:t>365</w:t>
            </w:r>
            <w:r>
              <w:rPr>
                <w:snapToGrid w:val="0"/>
                <w:color w:val="000000" w:themeColor="text1"/>
                <w:kern w:val="24"/>
                <w:sz w:val="24"/>
                <w14:textFill>
                  <w14:solidFill>
                    <w14:schemeClr w14:val="tx1"/>
                  </w14:solidFill>
                </w14:textFill>
              </w:rPr>
              <w:t>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/a</w:t>
            </w:r>
            <w:r>
              <w:rPr>
                <w:rFonts w:hAnsi="宋体"/>
                <w:snapToGrid w:val="0"/>
                <w:color w:val="000000" w:themeColor="text1"/>
                <w:kern w:val="24"/>
                <w:sz w:val="24"/>
                <w14:textFill>
                  <w14:solidFill>
                    <w14:schemeClr w14:val="tx1"/>
                  </w14:solidFill>
                </w14:textFill>
              </w:rPr>
              <w:t>），排水系数取</w:t>
            </w:r>
            <w:r>
              <w:rPr>
                <w:snapToGrid w:val="0"/>
                <w:color w:val="000000" w:themeColor="text1"/>
                <w:kern w:val="24"/>
                <w:sz w:val="24"/>
                <w14:textFill>
                  <w14:solidFill>
                    <w14:schemeClr w14:val="tx1"/>
                  </w14:solidFill>
                </w14:textFill>
              </w:rPr>
              <w:t>0.85</w:t>
            </w:r>
            <w:r>
              <w:rPr>
                <w:rFonts w:hAnsi="宋体"/>
                <w:snapToGrid w:val="0"/>
                <w:color w:val="000000" w:themeColor="text1"/>
                <w:kern w:val="24"/>
                <w:sz w:val="24"/>
                <w14:textFill>
                  <w14:solidFill>
                    <w14:schemeClr w14:val="tx1"/>
                  </w14:solidFill>
                </w14:textFill>
              </w:rPr>
              <w:t>，产生生活污水量为</w:t>
            </w:r>
            <w:r>
              <w:rPr>
                <w:snapToGrid w:val="0"/>
                <w:color w:val="000000" w:themeColor="text1"/>
                <w:kern w:val="24"/>
                <w:sz w:val="24"/>
                <w14:textFill>
                  <w14:solidFill>
                    <w14:schemeClr w14:val="tx1"/>
                  </w14:solidFill>
                </w14:textFill>
              </w:rPr>
              <w:t>0.</w:t>
            </w:r>
            <w:r>
              <w:rPr>
                <w:rFonts w:hint="eastAsia"/>
                <w:snapToGrid w:val="0"/>
                <w:color w:val="000000" w:themeColor="text1"/>
                <w:kern w:val="24"/>
                <w:sz w:val="24"/>
                <w14:textFill>
                  <w14:solidFill>
                    <w14:schemeClr w14:val="tx1"/>
                  </w14:solidFill>
                </w14:textFill>
              </w:rPr>
              <w:t>85</w:t>
            </w:r>
            <w:r>
              <w:rPr>
                <w:snapToGrid w:val="0"/>
                <w:color w:val="000000" w:themeColor="text1"/>
                <w:kern w:val="24"/>
                <w:sz w:val="24"/>
                <w14:textFill>
                  <w14:solidFill>
                    <w14:schemeClr w14:val="tx1"/>
                  </w14:solidFill>
                </w14:textFill>
              </w:rPr>
              <w:t>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 xml:space="preserve"> /d</w:t>
            </w:r>
            <w:r>
              <w:rPr>
                <w:rFonts w:hAnsi="宋体"/>
                <w:snapToGrid w:val="0"/>
                <w:color w:val="000000" w:themeColor="text1"/>
                <w:kern w:val="24"/>
                <w:sz w:val="24"/>
                <w14:textFill>
                  <w14:solidFill>
                    <w14:schemeClr w14:val="tx1"/>
                  </w14:solidFill>
                </w14:textFill>
              </w:rPr>
              <w:t>（</w:t>
            </w:r>
            <w:r>
              <w:rPr>
                <w:rFonts w:hint="eastAsia"/>
                <w:snapToGrid w:val="0"/>
                <w:color w:val="000000" w:themeColor="text1"/>
                <w:kern w:val="24"/>
                <w:sz w:val="24"/>
                <w14:textFill>
                  <w14:solidFill>
                    <w14:schemeClr w14:val="tx1"/>
                  </w14:solidFill>
                </w14:textFill>
              </w:rPr>
              <w:t>310.3</w:t>
            </w:r>
            <w:r>
              <w:rPr>
                <w:snapToGrid w:val="0"/>
                <w:color w:val="000000" w:themeColor="text1"/>
                <w:kern w:val="24"/>
                <w:sz w:val="24"/>
                <w14:textFill>
                  <w14:solidFill>
                    <w14:schemeClr w14:val="tx1"/>
                  </w14:solidFill>
                </w14:textFill>
              </w:rPr>
              <w:t>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/a</w:t>
            </w:r>
            <w:r>
              <w:rPr>
                <w:rFonts w:hAnsi="宋体"/>
                <w:snapToGrid w:val="0"/>
                <w:color w:val="000000" w:themeColor="text1"/>
                <w:kern w:val="24"/>
                <w:sz w:val="24"/>
                <w14:textFill>
                  <w14:solidFill>
                    <w14:schemeClr w14:val="tx1"/>
                  </w14:solidFill>
                </w14:textFill>
              </w:rPr>
              <w:t>）。</w:t>
            </w:r>
            <w:r>
              <w:rPr>
                <w:rFonts w:hint="eastAsia" w:hAnsi="宋体"/>
                <w:snapToGrid w:val="0"/>
                <w:color w:val="000000" w:themeColor="text1"/>
                <w:kern w:val="24"/>
                <w:sz w:val="24"/>
                <w14:textFill>
                  <w14:solidFill>
                    <w14:schemeClr w14:val="tx1"/>
                  </w14:solidFill>
                </w14:textFill>
              </w:rPr>
              <w:t>往来加油顾客约300人/天，用水量以5L</w:t>
            </w:r>
            <w:r>
              <w:rPr>
                <w:snapToGrid w:val="0"/>
                <w:color w:val="000000" w:themeColor="text1"/>
                <w:kern w:val="24"/>
                <w:sz w:val="24"/>
                <w14:textFill>
                  <w14:solidFill>
                    <w14:schemeClr w14:val="tx1"/>
                  </w14:solidFill>
                </w14:textFill>
              </w:rPr>
              <w:t>/</w:t>
            </w:r>
            <w:r>
              <w:rPr>
                <w:rFonts w:hAnsi="宋体"/>
                <w:snapToGrid w:val="0"/>
                <w:color w:val="000000" w:themeColor="text1"/>
                <w:kern w:val="24"/>
                <w:sz w:val="24"/>
                <w14:textFill>
                  <w14:solidFill>
                    <w14:schemeClr w14:val="tx1"/>
                  </w14:solidFill>
                </w14:textFill>
              </w:rPr>
              <w:t>人</w:t>
            </w:r>
            <w:r>
              <w:rPr>
                <w:snapToGrid w:val="0"/>
                <w:color w:val="000000" w:themeColor="text1"/>
                <w:kern w:val="24"/>
                <w:sz w:val="24"/>
                <w14:textFill>
                  <w14:solidFill>
                    <w14:schemeClr w14:val="tx1"/>
                  </w14:solidFill>
                </w14:textFill>
              </w:rPr>
              <w:t>•d</w:t>
            </w:r>
            <w:r>
              <w:rPr>
                <w:rFonts w:hAnsi="宋体"/>
                <w:snapToGrid w:val="0"/>
                <w:color w:val="000000" w:themeColor="text1"/>
                <w:kern w:val="24"/>
                <w:sz w:val="24"/>
                <w14:textFill>
                  <w14:solidFill>
                    <w14:schemeClr w14:val="tx1"/>
                  </w14:solidFill>
                </w14:textFill>
              </w:rPr>
              <w:t>计</w:t>
            </w:r>
            <w:r>
              <w:rPr>
                <w:rFonts w:hint="eastAsia" w:hAnsi="宋体"/>
                <w:snapToGrid w:val="0"/>
                <w:color w:val="000000" w:themeColor="text1"/>
                <w:kern w:val="24"/>
                <w:sz w:val="24"/>
                <w14:textFill>
                  <w14:solidFill>
                    <w14:schemeClr w14:val="tx1"/>
                  </w14:solidFill>
                </w14:textFill>
              </w:rPr>
              <w:t>，则往来加油顾客生活用水量为</w:t>
            </w:r>
            <w:r>
              <w:rPr>
                <w:rFonts w:hint="eastAsia"/>
                <w:snapToGrid w:val="0"/>
                <w:color w:val="000000" w:themeColor="text1"/>
                <w:kern w:val="24"/>
                <w:sz w:val="24"/>
                <w14:textFill>
                  <w14:solidFill>
                    <w14:schemeClr w14:val="tx1"/>
                  </w14:solidFill>
                </w14:textFill>
              </w:rPr>
              <w:t>1.5</w:t>
            </w:r>
            <w:r>
              <w:rPr>
                <w:snapToGrid w:val="0"/>
                <w:color w:val="000000" w:themeColor="text1"/>
                <w:kern w:val="24"/>
                <w:sz w:val="24"/>
                <w14:textFill>
                  <w14:solidFill>
                    <w14:schemeClr w14:val="tx1"/>
                  </w14:solidFill>
                </w14:textFill>
              </w:rPr>
              <w:t>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/d</w:t>
            </w:r>
            <w:r>
              <w:rPr>
                <w:rFonts w:hAnsi="宋体"/>
                <w:snapToGrid w:val="0"/>
                <w:color w:val="000000" w:themeColor="text1"/>
                <w:kern w:val="24"/>
                <w:sz w:val="24"/>
                <w14:textFill>
                  <w14:solidFill>
                    <w14:schemeClr w14:val="tx1"/>
                  </w14:solidFill>
                </w14:textFill>
              </w:rPr>
              <w:t>（</w:t>
            </w:r>
            <w:r>
              <w:rPr>
                <w:rFonts w:hint="eastAsia"/>
                <w:snapToGrid w:val="0"/>
                <w:color w:val="000000" w:themeColor="text1"/>
                <w:kern w:val="24"/>
                <w:sz w:val="24"/>
                <w14:textFill>
                  <w14:solidFill>
                    <w14:schemeClr w14:val="tx1"/>
                  </w14:solidFill>
                </w14:textFill>
              </w:rPr>
              <w:t>547.5</w:t>
            </w:r>
            <w:r>
              <w:rPr>
                <w:snapToGrid w:val="0"/>
                <w:color w:val="000000" w:themeColor="text1"/>
                <w:kern w:val="24"/>
                <w:sz w:val="24"/>
                <w14:textFill>
                  <w14:solidFill>
                    <w14:schemeClr w14:val="tx1"/>
                  </w14:solidFill>
                </w14:textFill>
              </w:rPr>
              <w:t>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/a</w:t>
            </w:r>
            <w:r>
              <w:rPr>
                <w:rFonts w:hAnsi="宋体"/>
                <w:snapToGrid w:val="0"/>
                <w:color w:val="000000" w:themeColor="text1"/>
                <w:kern w:val="24"/>
                <w:sz w:val="24"/>
                <w14:textFill>
                  <w14:solidFill>
                    <w14:schemeClr w14:val="tx1"/>
                  </w14:solidFill>
                </w14:textFill>
              </w:rPr>
              <w:t>），排水系数取</w:t>
            </w:r>
            <w:r>
              <w:rPr>
                <w:snapToGrid w:val="0"/>
                <w:color w:val="000000" w:themeColor="text1"/>
                <w:kern w:val="24"/>
                <w:sz w:val="24"/>
                <w14:textFill>
                  <w14:solidFill>
                    <w14:schemeClr w14:val="tx1"/>
                  </w14:solidFill>
                </w14:textFill>
              </w:rPr>
              <w:t>0.85</w:t>
            </w:r>
            <w:r>
              <w:rPr>
                <w:rFonts w:hAnsi="宋体"/>
                <w:snapToGrid w:val="0"/>
                <w:color w:val="000000" w:themeColor="text1"/>
                <w:kern w:val="24"/>
                <w:sz w:val="24"/>
                <w14:textFill>
                  <w14:solidFill>
                    <w14:schemeClr w14:val="tx1"/>
                  </w14:solidFill>
                </w14:textFill>
              </w:rPr>
              <w:t>，产生生活污水量为</w:t>
            </w:r>
            <w:r>
              <w:rPr>
                <w:rFonts w:hint="eastAsia"/>
                <w:snapToGrid w:val="0"/>
                <w:color w:val="000000" w:themeColor="text1"/>
                <w:kern w:val="24"/>
                <w:sz w:val="24"/>
                <w14:textFill>
                  <w14:solidFill>
                    <w14:schemeClr w14:val="tx1"/>
                  </w14:solidFill>
                </w14:textFill>
              </w:rPr>
              <w:t>1.28</w:t>
            </w:r>
            <w:r>
              <w:rPr>
                <w:snapToGrid w:val="0"/>
                <w:color w:val="000000" w:themeColor="text1"/>
                <w:kern w:val="24"/>
                <w:sz w:val="24"/>
                <w14:textFill>
                  <w14:solidFill>
                    <w14:schemeClr w14:val="tx1"/>
                  </w14:solidFill>
                </w14:textFill>
              </w:rPr>
              <w:t>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 xml:space="preserve"> /d</w:t>
            </w:r>
            <w:r>
              <w:rPr>
                <w:rFonts w:hAnsi="宋体"/>
                <w:snapToGrid w:val="0"/>
                <w:color w:val="000000" w:themeColor="text1"/>
                <w:kern w:val="24"/>
                <w:sz w:val="24"/>
                <w14:textFill>
                  <w14:solidFill>
                    <w14:schemeClr w14:val="tx1"/>
                  </w14:solidFill>
                </w14:textFill>
              </w:rPr>
              <w:t>（</w:t>
            </w:r>
            <w:r>
              <w:rPr>
                <w:rFonts w:hint="eastAsia"/>
                <w:snapToGrid w:val="0"/>
                <w:color w:val="000000" w:themeColor="text1"/>
                <w:kern w:val="24"/>
                <w:sz w:val="24"/>
                <w14:textFill>
                  <w14:solidFill>
                    <w14:schemeClr w14:val="tx1"/>
                  </w14:solidFill>
                </w14:textFill>
              </w:rPr>
              <w:t>465.4</w:t>
            </w:r>
            <w:r>
              <w:rPr>
                <w:snapToGrid w:val="0"/>
                <w:color w:val="000000" w:themeColor="text1"/>
                <w:kern w:val="24"/>
                <w:sz w:val="24"/>
                <w14:textFill>
                  <w14:solidFill>
                    <w14:schemeClr w14:val="tx1"/>
                  </w14:solidFill>
                </w14:textFill>
              </w:rPr>
              <w:t>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/a</w:t>
            </w:r>
            <w:r>
              <w:rPr>
                <w:rFonts w:hAnsi="宋体"/>
                <w:snapToGrid w:val="0"/>
                <w:color w:val="000000" w:themeColor="text1"/>
                <w:kern w:val="24"/>
                <w:sz w:val="24"/>
                <w14:textFill>
                  <w14:solidFill>
                    <w14:schemeClr w14:val="tx1"/>
                  </w14:solidFill>
                </w14:textFill>
              </w:rPr>
              <w:t>）。</w:t>
            </w:r>
            <w:r>
              <w:rPr>
                <w:rFonts w:hint="eastAsia" w:hAnsi="宋体"/>
                <w:snapToGrid w:val="0"/>
                <w:color w:val="000000" w:themeColor="text1"/>
                <w:kern w:val="24"/>
                <w:sz w:val="24"/>
                <w14:textFill>
                  <w14:solidFill>
                    <w14:schemeClr w14:val="tx1"/>
                  </w14:solidFill>
                </w14:textFill>
              </w:rPr>
              <w:t>综上，本项目生活污水量为</w:t>
            </w:r>
            <w:r>
              <w:rPr>
                <w:rFonts w:hint="eastAsia"/>
                <w:snapToGrid w:val="0"/>
                <w:color w:val="000000" w:themeColor="text1"/>
                <w:kern w:val="24"/>
                <w:sz w:val="24"/>
                <w14:textFill>
                  <w14:solidFill>
                    <w14:schemeClr w14:val="tx1"/>
                  </w14:solidFill>
                </w14:textFill>
              </w:rPr>
              <w:t>775.7</w:t>
            </w:r>
            <w:r>
              <w:rPr>
                <w:snapToGrid w:val="0"/>
                <w:color w:val="000000" w:themeColor="text1"/>
                <w:kern w:val="24"/>
                <w:sz w:val="24"/>
                <w14:textFill>
                  <w14:solidFill>
                    <w14:schemeClr w14:val="tx1"/>
                  </w14:solidFill>
                </w14:textFill>
              </w:rPr>
              <w:t>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/a</w:t>
            </w:r>
            <w:r>
              <w:rPr>
                <w:rFonts w:hint="eastAsia"/>
                <w:snapToGrid w:val="0"/>
                <w:color w:val="000000" w:themeColor="text1"/>
                <w:kern w:val="24"/>
                <w:sz w:val="24"/>
                <w14:textFill>
                  <w14:solidFill>
                    <w14:schemeClr w14:val="tx1"/>
                  </w14:solidFill>
                </w14:textFill>
              </w:rPr>
              <w:t>，</w:t>
            </w:r>
            <w:r>
              <w:rPr>
                <w:rFonts w:hAnsi="宋体"/>
                <w:snapToGrid w:val="0"/>
                <w:color w:val="000000" w:themeColor="text1"/>
                <w:kern w:val="24"/>
                <w:sz w:val="24"/>
                <w14:textFill>
                  <w14:solidFill>
                    <w14:schemeClr w14:val="tx1"/>
                  </w14:solidFill>
                </w14:textFill>
              </w:rPr>
              <w:t>生活污水中主要污染因子</w:t>
            </w:r>
            <w:r>
              <w:rPr>
                <w:rFonts w:hint="eastAsia" w:hAnsi="宋体"/>
                <w:snapToGrid w:val="0"/>
                <w:color w:val="000000" w:themeColor="text1"/>
                <w:kern w:val="24"/>
                <w:sz w:val="24"/>
                <w14:textFill>
                  <w14:solidFill>
                    <w14:schemeClr w14:val="tx1"/>
                  </w14:solidFill>
                </w14:textFill>
              </w:rPr>
              <w:t>为</w:t>
            </w:r>
            <w:r>
              <w:rPr>
                <w:snapToGrid w:val="0"/>
                <w:color w:val="000000" w:themeColor="text1"/>
                <w:kern w:val="24"/>
                <w:sz w:val="24"/>
                <w14:textFill>
                  <w14:solidFill>
                    <w14:schemeClr w14:val="tx1"/>
                  </w14:solidFill>
                </w14:textFill>
              </w:rPr>
              <w:t>COD</w:t>
            </w:r>
            <w:r>
              <w:rPr>
                <w:rFonts w:hAnsi="宋体"/>
                <w:snapToGrid w:val="0"/>
                <w:color w:val="000000" w:themeColor="text1"/>
                <w:kern w:val="24"/>
                <w:sz w:val="24"/>
                <w14:textFill>
                  <w14:solidFill>
                    <w14:schemeClr w14:val="tx1"/>
                  </w14:solidFill>
                </w14:textFill>
              </w:rPr>
              <w:t>、</w:t>
            </w:r>
            <w:r>
              <w:rPr>
                <w:snapToGrid w:val="0"/>
                <w:color w:val="000000" w:themeColor="text1"/>
                <w:kern w:val="24"/>
                <w:sz w:val="24"/>
                <w14:textFill>
                  <w14:solidFill>
                    <w14:schemeClr w14:val="tx1"/>
                  </w14:solidFill>
                </w14:textFill>
              </w:rPr>
              <w:t>SS</w:t>
            </w:r>
            <w:r>
              <w:rPr>
                <w:rFonts w:hAnsi="宋体"/>
                <w:snapToGrid w:val="0"/>
                <w:color w:val="000000" w:themeColor="text1"/>
                <w:kern w:val="24"/>
                <w:sz w:val="24"/>
                <w14:textFill>
                  <w14:solidFill>
                    <w14:schemeClr w14:val="tx1"/>
                  </w14:solidFill>
                </w14:textFill>
              </w:rPr>
              <w:t>、氨氮</w:t>
            </w:r>
            <w:r>
              <w:rPr>
                <w:rFonts w:hint="eastAsia" w:hAnsi="宋体"/>
                <w:snapToGrid w:val="0"/>
                <w:color w:val="000000" w:themeColor="text1"/>
                <w:kern w:val="24"/>
                <w:sz w:val="24"/>
                <w14:textFill>
                  <w14:solidFill>
                    <w14:schemeClr w14:val="tx1"/>
                  </w14:solidFill>
                </w14:textFill>
              </w:rPr>
              <w:t>。</w:t>
            </w:r>
          </w:p>
          <w:p w14:paraId="2E9D58D8">
            <w:pPr>
              <w:widowControl/>
              <w:spacing w:line="520" w:lineRule="exact"/>
              <w:ind w:firstLine="480" w:firstLineChars="200"/>
              <w:rPr>
                <w:rFonts w:hAnsi="宋体"/>
                <w:snapToGrid w:val="0"/>
                <w:color w:val="000000" w:themeColor="text1"/>
                <w:kern w:val="24"/>
                <w:sz w:val="24"/>
                <w14:textFill>
                  <w14:solidFill>
                    <w14:schemeClr w14:val="tx1"/>
                  </w14:solidFill>
                </w14:textFill>
              </w:rPr>
            </w:pPr>
            <w:r>
              <w:rPr>
                <w:rFonts w:hint="eastAsia" w:hAnsi="宋体"/>
                <w:snapToGrid w:val="0"/>
                <w:color w:val="000000" w:themeColor="text1"/>
                <w:kern w:val="24"/>
                <w:sz w:val="24"/>
                <w14:textFill>
                  <w14:solidFill>
                    <w14:schemeClr w14:val="tx1"/>
                  </w14:solidFill>
                </w14:textFill>
              </w:rPr>
              <w:t>本项目建成后绿化面积718m</w:t>
            </w:r>
            <w:r>
              <w:rPr>
                <w:rFonts w:hint="eastAsia" w:hAnsi="宋体"/>
                <w:snapToGrid w:val="0"/>
                <w:color w:val="000000" w:themeColor="text1"/>
                <w:kern w:val="24"/>
                <w:sz w:val="24"/>
                <w:vertAlign w:val="superscript"/>
                <w14:textFill>
                  <w14:solidFill>
                    <w14:schemeClr w14:val="tx1"/>
                  </w14:solidFill>
                </w14:textFill>
              </w:rPr>
              <w:t>2</w:t>
            </w:r>
            <w:r>
              <w:rPr>
                <w:rFonts w:hint="eastAsia" w:hAnsi="宋体"/>
                <w:snapToGrid w:val="0"/>
                <w:color w:val="000000" w:themeColor="text1"/>
                <w:kern w:val="24"/>
                <w:sz w:val="24"/>
                <w14:textFill>
                  <w14:solidFill>
                    <w14:schemeClr w14:val="tx1"/>
                  </w14:solidFill>
                </w14:textFill>
              </w:rPr>
              <w:t>，根据《建筑给水排水设计规范2009版》中绿化浇洒用水定额按1.0~3.0L/m</w:t>
            </w:r>
            <w:r>
              <w:rPr>
                <w:rFonts w:hint="eastAsia" w:hAnsi="宋体"/>
                <w:snapToGrid w:val="0"/>
                <w:color w:val="000000" w:themeColor="text1"/>
                <w:kern w:val="24"/>
                <w:sz w:val="24"/>
                <w:vertAlign w:val="superscript"/>
                <w14:textFill>
                  <w14:solidFill>
                    <w14:schemeClr w14:val="tx1"/>
                  </w14:solidFill>
                </w14:textFill>
              </w:rPr>
              <w:t>2</w:t>
            </w:r>
            <w:r>
              <w:rPr>
                <w:rFonts w:hint="eastAsia" w:ascii="宋体" w:hAnsi="宋体"/>
                <w:snapToGrid w:val="0"/>
                <w:color w:val="000000" w:themeColor="text1"/>
                <w:kern w:val="24"/>
                <w:sz w:val="24"/>
                <w14:textFill>
                  <w14:solidFill>
                    <w14:schemeClr w14:val="tx1"/>
                  </w14:solidFill>
                </w14:textFill>
              </w:rPr>
              <w:t>·</w:t>
            </w:r>
            <w:r>
              <w:rPr>
                <w:rFonts w:hint="eastAsia" w:hAnsi="宋体"/>
                <w:snapToGrid w:val="0"/>
                <w:color w:val="000000" w:themeColor="text1"/>
                <w:kern w:val="24"/>
                <w:sz w:val="24"/>
                <w14:textFill>
                  <w14:solidFill>
                    <w14:schemeClr w14:val="tx1"/>
                  </w14:solidFill>
                </w14:textFill>
              </w:rPr>
              <w:t>d计，本次评价取1.0L/m</w:t>
            </w:r>
            <w:r>
              <w:rPr>
                <w:rFonts w:hint="eastAsia" w:hAnsi="宋体"/>
                <w:snapToGrid w:val="0"/>
                <w:color w:val="000000" w:themeColor="text1"/>
                <w:kern w:val="24"/>
                <w:sz w:val="24"/>
                <w:vertAlign w:val="superscript"/>
                <w14:textFill>
                  <w14:solidFill>
                    <w14:schemeClr w14:val="tx1"/>
                  </w14:solidFill>
                </w14:textFill>
              </w:rPr>
              <w:t>2</w:t>
            </w:r>
            <w:r>
              <w:rPr>
                <w:rFonts w:hint="eastAsia" w:ascii="宋体" w:hAnsi="宋体"/>
                <w:snapToGrid w:val="0"/>
                <w:color w:val="000000" w:themeColor="text1"/>
                <w:kern w:val="24"/>
                <w:sz w:val="24"/>
                <w14:textFill>
                  <w14:solidFill>
                    <w14:schemeClr w14:val="tx1"/>
                  </w14:solidFill>
                </w14:textFill>
              </w:rPr>
              <w:t>·</w:t>
            </w:r>
            <w:r>
              <w:rPr>
                <w:rFonts w:hint="eastAsia" w:hAnsi="宋体"/>
                <w:snapToGrid w:val="0"/>
                <w:color w:val="000000" w:themeColor="text1"/>
                <w:kern w:val="24"/>
                <w:sz w:val="24"/>
                <w14:textFill>
                  <w14:solidFill>
                    <w14:schemeClr w14:val="tx1"/>
                  </w14:solidFill>
                </w14:textFill>
              </w:rPr>
              <w:t>d，则绿化用水量为0.72</w:t>
            </w:r>
            <w:r>
              <w:rPr>
                <w:snapToGrid w:val="0"/>
                <w:color w:val="000000" w:themeColor="text1"/>
                <w:kern w:val="24"/>
                <w:sz w:val="24"/>
                <w14:textFill>
                  <w14:solidFill>
                    <w14:schemeClr w14:val="tx1"/>
                  </w14:solidFill>
                </w14:textFill>
              </w:rPr>
              <w:t xml:space="preserve"> 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/d</w:t>
            </w:r>
            <w:r>
              <w:rPr>
                <w:rFonts w:hAnsi="宋体"/>
                <w:snapToGrid w:val="0"/>
                <w:color w:val="000000" w:themeColor="text1"/>
                <w:kern w:val="24"/>
                <w:sz w:val="24"/>
                <w14:textFill>
                  <w14:solidFill>
                    <w14:schemeClr w14:val="tx1"/>
                  </w14:solidFill>
                </w14:textFill>
              </w:rPr>
              <w:t>（</w:t>
            </w:r>
            <w:r>
              <w:rPr>
                <w:rFonts w:hint="eastAsia"/>
                <w:snapToGrid w:val="0"/>
                <w:color w:val="000000" w:themeColor="text1"/>
                <w:kern w:val="24"/>
                <w:sz w:val="24"/>
                <w14:textFill>
                  <w14:solidFill>
                    <w14:schemeClr w14:val="tx1"/>
                  </w14:solidFill>
                </w14:textFill>
              </w:rPr>
              <w:t>262.1</w:t>
            </w:r>
            <w:r>
              <w:rPr>
                <w:snapToGrid w:val="0"/>
                <w:color w:val="000000" w:themeColor="text1"/>
                <w:kern w:val="24"/>
                <w:sz w:val="24"/>
                <w14:textFill>
                  <w14:solidFill>
                    <w14:schemeClr w14:val="tx1"/>
                  </w14:solidFill>
                </w14:textFill>
              </w:rPr>
              <w:t>m</w:t>
            </w:r>
            <w:r>
              <w:rPr>
                <w:snapToGrid w:val="0"/>
                <w:color w:val="000000" w:themeColor="text1"/>
                <w:kern w:val="24"/>
                <w:sz w:val="24"/>
                <w:vertAlign w:val="superscript"/>
                <w14:textFill>
                  <w14:solidFill>
                    <w14:schemeClr w14:val="tx1"/>
                  </w14:solidFill>
                </w14:textFill>
              </w:rPr>
              <w:t>3</w:t>
            </w:r>
            <w:r>
              <w:rPr>
                <w:snapToGrid w:val="0"/>
                <w:color w:val="000000" w:themeColor="text1"/>
                <w:kern w:val="24"/>
                <w:sz w:val="24"/>
                <w14:textFill>
                  <w14:solidFill>
                    <w14:schemeClr w14:val="tx1"/>
                  </w14:solidFill>
                </w14:textFill>
              </w:rPr>
              <w:t>/a</w:t>
            </w:r>
            <w:r>
              <w:rPr>
                <w:rFonts w:hAnsi="宋体"/>
                <w:snapToGrid w:val="0"/>
                <w:color w:val="000000" w:themeColor="text1"/>
                <w:kern w:val="24"/>
                <w:sz w:val="24"/>
                <w14:textFill>
                  <w14:solidFill>
                    <w14:schemeClr w14:val="tx1"/>
                  </w14:solidFill>
                </w14:textFill>
              </w:rPr>
              <w:t>）</w:t>
            </w:r>
            <w:r>
              <w:rPr>
                <w:rFonts w:hint="eastAsia" w:hAnsi="宋体"/>
                <w:snapToGrid w:val="0"/>
                <w:color w:val="000000" w:themeColor="text1"/>
                <w:kern w:val="24"/>
                <w:sz w:val="24"/>
                <w14:textFill>
                  <w14:solidFill>
                    <w14:schemeClr w14:val="tx1"/>
                  </w14:solidFill>
                </w14:textFill>
              </w:rPr>
              <w:t>，绿化用水无废水外排。本项目水量平衡图如下。</w:t>
            </w:r>
          </w:p>
          <w:p w14:paraId="0CACEC77">
            <w:pPr>
              <w:widowControl/>
              <w:spacing w:before="120" w:beforeLines="50" w:line="500" w:lineRule="exac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3623945</wp:posOffset>
                      </wp:positionH>
                      <wp:positionV relativeFrom="paragraph">
                        <wp:posOffset>251460</wp:posOffset>
                      </wp:positionV>
                      <wp:extent cx="666115" cy="229870"/>
                      <wp:effectExtent l="0" t="0" r="0" b="0"/>
                      <wp:wrapNone/>
                      <wp:docPr id="92" name="矩形 92"/>
                      <wp:cNvGraphicFramePr/>
                      <a:graphic xmlns:a="http://schemas.openxmlformats.org/drawingml/2006/main">
                        <a:graphicData uri="http://schemas.microsoft.com/office/word/2010/wordprocessingShape">
                          <wps:wsp>
                            <wps:cNvSpPr/>
                            <wps:spPr>
                              <a:xfrm>
                                <a:off x="0" y="0"/>
                                <a:ext cx="666115" cy="229870"/>
                              </a:xfrm>
                              <a:prstGeom prst="rect">
                                <a:avLst/>
                              </a:prstGeom>
                              <a:noFill/>
                              <a:ln>
                                <a:noFill/>
                              </a:ln>
                            </wps:spPr>
                            <wps:txbx>
                              <w:txbxContent>
                                <w:p w14:paraId="23D75553">
                                  <w:pPr>
                                    <w:spacing w:line="300" w:lineRule="exact"/>
                                    <w:jc w:val="center"/>
                                    <w:rPr>
                                      <w:rFonts w:ascii="宋体" w:hAnsi="宋体"/>
                                      <w:kern w:val="24"/>
                                      <w:szCs w:val="21"/>
                                    </w:rPr>
                                  </w:pPr>
                                  <w:r>
                                    <w:rPr>
                                      <w:rFonts w:hint="eastAsia" w:ascii="宋体" w:hAnsi="宋体"/>
                                      <w:kern w:val="24"/>
                                      <w:szCs w:val="21"/>
                                    </w:rPr>
                                    <w:t>0.96</w:t>
                                  </w:r>
                                </w:p>
                              </w:txbxContent>
                            </wps:txbx>
                            <wps:bodyPr lIns="0" tIns="0" rIns="0" bIns="0" upright="1"/>
                          </wps:wsp>
                        </a:graphicData>
                      </a:graphic>
                    </wp:anchor>
                  </w:drawing>
                </mc:Choice>
                <mc:Fallback>
                  <w:pict>
                    <v:rect id="_x0000_s1026" o:spid="_x0000_s1026" o:spt="1" style="position:absolute;left:0pt;margin-left:285.35pt;margin-top:19.8pt;height:18.1pt;width:52.45pt;z-index:251668480;mso-width-relative:page;mso-height-relative:page;" filled="f" stroked="f" coordsize="21600,21600" o:gfxdata="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RSO32QAAAAkBAAAPAAAAAAAAAAEAIAAAACIAAABkcnMvZG93bnJldi54bWxQSwECFAAUAAAACACH&#10;TuJAonp5tbEBAABmAwAADgAAAAAAAAABACAAAAAoAQAAZHJzL2Uyb0RvYy54bWxQSwUGAAAAAAYA&#10;BgBZAQAASwUAAAAA&#10;">
                      <v:fill on="f" focussize="0,0"/>
                      <v:stroke on="f"/>
                      <v:imagedata o:title=""/>
                      <o:lock v:ext="edit" aspectratio="f"/>
                      <v:textbox inset="0mm,0mm,0mm,0mm">
                        <w:txbxContent>
                          <w:p w14:paraId="23D75553">
                            <w:pPr>
                              <w:spacing w:line="300" w:lineRule="exact"/>
                              <w:jc w:val="center"/>
                              <w:rPr>
                                <w:rFonts w:ascii="宋体" w:hAnsi="宋体"/>
                                <w:kern w:val="24"/>
                                <w:szCs w:val="21"/>
                              </w:rPr>
                            </w:pPr>
                            <w:r>
                              <w:rPr>
                                <w:rFonts w:hint="eastAsia" w:ascii="宋体" w:hAnsi="宋体"/>
                                <w:kern w:val="24"/>
                                <w:szCs w:val="21"/>
                              </w:rPr>
                              <w:t>0.96</w:t>
                            </w:r>
                          </w:p>
                        </w:txbxContent>
                      </v:textbox>
                    </v:rect>
                  </w:pict>
                </mc:Fallback>
              </mc:AlternateContent>
            </w:r>
            <w:r>
              <w:rPr>
                <w:rFonts w:ascii="宋体" w:hAnsi="宋体"/>
                <w:color w:val="000000" w:themeColor="text1"/>
                <w:szCs w:val="2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1287145</wp:posOffset>
                      </wp:positionH>
                      <wp:positionV relativeFrom="paragraph">
                        <wp:posOffset>211455</wp:posOffset>
                      </wp:positionV>
                      <wp:extent cx="485775" cy="333375"/>
                      <wp:effectExtent l="0" t="0" r="0" b="0"/>
                      <wp:wrapNone/>
                      <wp:docPr id="81" name="矩形 81"/>
                      <wp:cNvGraphicFramePr/>
                      <a:graphic xmlns:a="http://schemas.openxmlformats.org/drawingml/2006/main">
                        <a:graphicData uri="http://schemas.microsoft.com/office/word/2010/wordprocessingShape">
                          <wps:wsp>
                            <wps:cNvSpPr/>
                            <wps:spPr>
                              <a:xfrm>
                                <a:off x="0" y="0"/>
                                <a:ext cx="485775" cy="333375"/>
                              </a:xfrm>
                              <a:prstGeom prst="rect">
                                <a:avLst/>
                              </a:prstGeom>
                              <a:noFill/>
                              <a:ln>
                                <a:noFill/>
                              </a:ln>
                            </wps:spPr>
                            <wps:txbx>
                              <w:txbxContent>
                                <w:p w14:paraId="3728E7B7">
                                  <w:pPr>
                                    <w:spacing w:line="300" w:lineRule="exact"/>
                                    <w:jc w:val="center"/>
                                    <w:rPr>
                                      <w:rFonts w:ascii="宋体" w:hAnsi="宋体"/>
                                      <w:kern w:val="24"/>
                                      <w:szCs w:val="21"/>
                                    </w:rPr>
                                  </w:pPr>
                                  <w:r>
                                    <w:rPr>
                                      <w:rFonts w:hint="eastAsia" w:ascii="宋体" w:hAnsi="宋体"/>
                                      <w:kern w:val="24"/>
                                      <w:szCs w:val="21"/>
                                    </w:rPr>
                                    <w:t>1.2</w:t>
                                  </w:r>
                                </w:p>
                              </w:txbxContent>
                            </wps:txbx>
                            <wps:bodyPr lIns="0" tIns="0" rIns="0" bIns="0" upright="1"/>
                          </wps:wsp>
                        </a:graphicData>
                      </a:graphic>
                    </wp:anchor>
                  </w:drawing>
                </mc:Choice>
                <mc:Fallback>
                  <w:pict>
                    <v:rect id="_x0000_s1026" o:spid="_x0000_s1026" o:spt="1" style="position:absolute;left:0pt;margin-left:101.35pt;margin-top:16.65pt;height:26.25pt;width:38.25pt;z-index:251669504;mso-width-relative:page;mso-height-relative:page;" filled="f" stroked="f" coordsize="21600,21600" o:gfxdata="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Gc&#10;1TbaAAAACQEAAA8AAAAAAAAAAQAgAAAAIgAAAGRycy9kb3ducmV2LnhtbFBLAQIUABQAAAAIAIdO&#10;4kAokQHGrwEAAGYDAAAOAAAAAAAAAAEAIAAAACkBAABkcnMvZTJvRG9jLnhtbFBLBQYAAAAABgAG&#10;AFkBAABKBQAAAAA=&#10;">
                      <v:fill on="f" focussize="0,0"/>
                      <v:stroke on="f"/>
                      <v:imagedata o:title=""/>
                      <o:lock v:ext="edit" aspectratio="f"/>
                      <v:textbox inset="0mm,0mm,0mm,0mm">
                        <w:txbxContent>
                          <w:p w14:paraId="3728E7B7">
                            <w:pPr>
                              <w:spacing w:line="300" w:lineRule="exact"/>
                              <w:jc w:val="center"/>
                              <w:rPr>
                                <w:rFonts w:ascii="宋体" w:hAnsi="宋体"/>
                                <w:kern w:val="24"/>
                                <w:szCs w:val="21"/>
                              </w:rPr>
                            </w:pPr>
                            <w:r>
                              <w:rPr>
                                <w:rFonts w:hint="eastAsia" w:ascii="宋体" w:hAnsi="宋体"/>
                                <w:kern w:val="24"/>
                                <w:szCs w:val="21"/>
                              </w:rPr>
                              <w:t>1.2</w:t>
                            </w:r>
                          </w:p>
                        </w:txbxContent>
                      </v:textbox>
                    </v:rect>
                  </w:pict>
                </mc:Fallback>
              </mc:AlternateContent>
            </w:r>
            <w:r>
              <w:rPr>
                <w:rFonts w:ascii="宋体" w:hAnsi="宋体"/>
                <w:color w:val="000000" w:themeColor="text1"/>
                <w:kern w:val="28"/>
                <w:szCs w:val="2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2395220</wp:posOffset>
                      </wp:positionH>
                      <wp:positionV relativeFrom="paragraph">
                        <wp:posOffset>35560</wp:posOffset>
                      </wp:positionV>
                      <wp:extent cx="450215" cy="234315"/>
                      <wp:effectExtent l="0" t="0" r="0" b="0"/>
                      <wp:wrapNone/>
                      <wp:docPr id="79" name="矩形 79"/>
                      <wp:cNvGraphicFramePr/>
                      <a:graphic xmlns:a="http://schemas.openxmlformats.org/drawingml/2006/main">
                        <a:graphicData uri="http://schemas.microsoft.com/office/word/2010/wordprocessingShape">
                          <wps:wsp>
                            <wps:cNvSpPr/>
                            <wps:spPr>
                              <a:xfrm>
                                <a:off x="0" y="0"/>
                                <a:ext cx="450215" cy="234315"/>
                              </a:xfrm>
                              <a:prstGeom prst="rect">
                                <a:avLst/>
                              </a:prstGeom>
                              <a:noFill/>
                              <a:ln>
                                <a:noFill/>
                              </a:ln>
                            </wps:spPr>
                            <wps:txbx>
                              <w:txbxContent>
                                <w:p w14:paraId="499F5850">
                                  <w:pPr>
                                    <w:spacing w:line="300" w:lineRule="exact"/>
                                    <w:jc w:val="center"/>
                                    <w:rPr>
                                      <w:rFonts w:ascii="宋体" w:hAnsi="宋体"/>
                                      <w:kern w:val="24"/>
                                      <w:szCs w:val="21"/>
                                    </w:rPr>
                                  </w:pPr>
                                  <w:r>
                                    <w:rPr>
                                      <w:rFonts w:hint="eastAsia" w:ascii="宋体" w:hAnsi="宋体"/>
                                      <w:kern w:val="24"/>
                                      <w:szCs w:val="21"/>
                                    </w:rPr>
                                    <w:t>0.24</w:t>
                                  </w:r>
                                </w:p>
                              </w:txbxContent>
                            </wps:txbx>
                            <wps:bodyPr lIns="0" tIns="0" rIns="0" bIns="0" upright="1"/>
                          </wps:wsp>
                        </a:graphicData>
                      </a:graphic>
                    </wp:anchor>
                  </w:drawing>
                </mc:Choice>
                <mc:Fallback>
                  <w:pict>
                    <v:rect id="_x0000_s1026" o:spid="_x0000_s1026" o:spt="1" style="position:absolute;left:0pt;margin-left:188.6pt;margin-top:2.8pt;height:18.45pt;width:35.45pt;z-index:251670528;mso-width-relative:page;mso-height-relative:page;" filled="f" stroked="f" coordsize="21600,21600" o:gfxdata="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X4PKdoAAAAIAQAADwAAAAAAAAABACAAAAAiAAAAZHJzL2Rvd25yZXYueG1sUEsBAhQAFAAAAAgA&#10;h07iQCxeas+xAQAAZgMAAA4AAAAAAAAAAQAgAAAAKQEAAGRycy9lMm9Eb2MueG1sUEsFBgAAAAAG&#10;AAYAWQEAAEwFAAAAAA==&#10;">
                      <v:fill on="f" focussize="0,0"/>
                      <v:stroke on="f"/>
                      <v:imagedata o:title=""/>
                      <o:lock v:ext="edit" aspectratio="f"/>
                      <v:textbox inset="0mm,0mm,0mm,0mm">
                        <w:txbxContent>
                          <w:p w14:paraId="499F5850">
                            <w:pPr>
                              <w:spacing w:line="300" w:lineRule="exact"/>
                              <w:jc w:val="center"/>
                              <w:rPr>
                                <w:rFonts w:ascii="宋体" w:hAnsi="宋体"/>
                                <w:kern w:val="24"/>
                                <w:szCs w:val="21"/>
                              </w:rPr>
                            </w:pPr>
                            <w:r>
                              <w:rPr>
                                <w:rFonts w:hint="eastAsia" w:ascii="宋体" w:hAnsi="宋体"/>
                                <w:kern w:val="24"/>
                                <w:szCs w:val="21"/>
                              </w:rPr>
                              <w:t>0.24</w:t>
                            </w:r>
                          </w:p>
                        </w:txbxContent>
                      </v:textbox>
                    </v:rect>
                  </w:pict>
                </mc:Fallback>
              </mc:AlternateContent>
            </w:r>
            <w:r>
              <w:rPr>
                <w:rFonts w:ascii="宋体" w:hAnsi="宋体"/>
                <w:color w:val="000000" w:themeColor="text1"/>
                <w:kern w:val="28"/>
                <w:szCs w:val="2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3120390</wp:posOffset>
                      </wp:positionH>
                      <wp:positionV relativeFrom="paragraph">
                        <wp:posOffset>263525</wp:posOffset>
                      </wp:positionV>
                      <wp:extent cx="579120" cy="442595"/>
                      <wp:effectExtent l="5080" t="4445" r="10160" b="10160"/>
                      <wp:wrapNone/>
                      <wp:docPr id="85" name="矩形 85"/>
                      <wp:cNvGraphicFramePr/>
                      <a:graphic xmlns:a="http://schemas.openxmlformats.org/drawingml/2006/main">
                        <a:graphicData uri="http://schemas.microsoft.com/office/word/2010/wordprocessingShape">
                          <wps:wsp>
                            <wps:cNvSpPr/>
                            <wps:spPr>
                              <a:xfrm>
                                <a:off x="0" y="0"/>
                                <a:ext cx="579120" cy="442595"/>
                              </a:xfrm>
                              <a:prstGeom prst="rect">
                                <a:avLst/>
                              </a:prstGeom>
                              <a:noFill/>
                              <a:ln w="9525" cap="flat" cmpd="sng">
                                <a:solidFill>
                                  <a:srgbClr val="000000"/>
                                </a:solidFill>
                                <a:prstDash val="solid"/>
                                <a:miter/>
                                <a:headEnd type="none" w="med" len="med"/>
                                <a:tailEnd type="none" w="med" len="med"/>
                              </a:ln>
                            </wps:spPr>
                            <wps:txbx>
                              <w:txbxContent>
                                <w:p w14:paraId="3B86572E">
                                  <w:pPr>
                                    <w:spacing w:line="300" w:lineRule="exact"/>
                                    <w:jc w:val="center"/>
                                    <w:rPr>
                                      <w:rFonts w:ascii="宋体" w:hAnsi="宋体"/>
                                      <w:kern w:val="24"/>
                                      <w:szCs w:val="21"/>
                                    </w:rPr>
                                  </w:pPr>
                                  <w:r>
                                    <w:rPr>
                                      <w:rFonts w:hint="eastAsia" w:ascii="宋体" w:hAnsi="宋体"/>
                                      <w:kern w:val="24"/>
                                      <w:szCs w:val="21"/>
                                    </w:rPr>
                                    <w:t>隔油</w:t>
                                  </w:r>
                                </w:p>
                                <w:p w14:paraId="2BCB4A1E">
                                  <w:pPr>
                                    <w:spacing w:line="300" w:lineRule="exact"/>
                                    <w:jc w:val="center"/>
                                    <w:rPr>
                                      <w:rFonts w:ascii="宋体" w:hAnsi="宋体"/>
                                      <w:kern w:val="24"/>
                                      <w:szCs w:val="21"/>
                                    </w:rPr>
                                  </w:pPr>
                                  <w:r>
                                    <w:rPr>
                                      <w:rFonts w:hint="eastAsia" w:ascii="宋体" w:hAnsi="宋体"/>
                                      <w:kern w:val="24"/>
                                      <w:szCs w:val="21"/>
                                    </w:rPr>
                                    <w:t>沉淀池</w:t>
                                  </w:r>
                                </w:p>
                              </w:txbxContent>
                            </wps:txbx>
                            <wps:bodyPr lIns="0" tIns="0" rIns="0" bIns="0" upright="1"/>
                          </wps:wsp>
                        </a:graphicData>
                      </a:graphic>
                    </wp:anchor>
                  </w:drawing>
                </mc:Choice>
                <mc:Fallback>
                  <w:pict>
                    <v:rect id="_x0000_s1026" o:spid="_x0000_s1026" o:spt="1" style="position:absolute;left:0pt;margin-left:245.7pt;margin-top:20.75pt;height:34.85pt;width:45.6pt;z-index:251678720;mso-width-relative:page;mso-height-relative:page;" filled="f" stroked="t" coordsize="21600,21600" o:gfxdata="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VQie1QAAAAoBAAAPAAAAAAAAAAEAIAAAACIA&#10;AABkcnMvZG93bnJldi54bWxQSwECFAAUAAAACACHTuJADm8/GQwCAAAlBAAADgAAAAAAAAABACAA&#10;AAAkAQAAZHJzL2Uyb0RvYy54bWxQSwUGAAAAAAYABgBZAQAAogUAAAAA&#10;">
                      <v:fill on="f" focussize="0,0"/>
                      <v:stroke color="#000000" joinstyle="miter"/>
                      <v:imagedata o:title=""/>
                      <o:lock v:ext="edit" aspectratio="f"/>
                      <v:textbox inset="0mm,0mm,0mm,0mm">
                        <w:txbxContent>
                          <w:p w14:paraId="3B86572E">
                            <w:pPr>
                              <w:spacing w:line="300" w:lineRule="exact"/>
                              <w:jc w:val="center"/>
                              <w:rPr>
                                <w:rFonts w:ascii="宋体" w:hAnsi="宋体"/>
                                <w:kern w:val="24"/>
                                <w:szCs w:val="21"/>
                              </w:rPr>
                            </w:pPr>
                            <w:r>
                              <w:rPr>
                                <w:rFonts w:hint="eastAsia" w:ascii="宋体" w:hAnsi="宋体"/>
                                <w:kern w:val="24"/>
                                <w:szCs w:val="21"/>
                              </w:rPr>
                              <w:t>隔油</w:t>
                            </w:r>
                          </w:p>
                          <w:p w14:paraId="2BCB4A1E">
                            <w:pPr>
                              <w:spacing w:line="300" w:lineRule="exact"/>
                              <w:jc w:val="center"/>
                              <w:rPr>
                                <w:rFonts w:ascii="宋体" w:hAnsi="宋体"/>
                                <w:kern w:val="24"/>
                                <w:szCs w:val="21"/>
                              </w:rPr>
                            </w:pPr>
                            <w:r>
                              <w:rPr>
                                <w:rFonts w:hint="eastAsia" w:ascii="宋体" w:hAnsi="宋体"/>
                                <w:kern w:val="24"/>
                                <w:szCs w:val="21"/>
                              </w:rPr>
                              <w:t>沉淀池</w:t>
                            </w:r>
                          </w:p>
                        </w:txbxContent>
                      </v:textbox>
                    </v:rect>
                  </w:pict>
                </mc:Fallback>
              </mc:AlternateContent>
            </w:r>
            <w:r>
              <w:rPr>
                <w:rFonts w:ascii="宋体" w:hAnsi="宋体"/>
                <w:color w:val="000000" w:themeColor="text1"/>
                <w:kern w:val="28"/>
                <w:szCs w:val="2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2259965</wp:posOffset>
                      </wp:positionH>
                      <wp:positionV relativeFrom="paragraph">
                        <wp:posOffset>224790</wp:posOffset>
                      </wp:positionV>
                      <wp:extent cx="327660" cy="102870"/>
                      <wp:effectExtent l="0" t="40640" r="0" b="54610"/>
                      <wp:wrapNone/>
                      <wp:docPr id="82" name="任意多边形 82"/>
                      <wp:cNvGraphicFramePr/>
                      <a:graphic xmlns:a="http://schemas.openxmlformats.org/drawingml/2006/main">
                        <a:graphicData uri="http://schemas.microsoft.com/office/word/2010/wordprocessingShape">
                          <wps:wsp>
                            <wps:cNvSpPr/>
                            <wps:spPr>
                              <a:xfrm rot="-904115">
                                <a:off x="0" y="0"/>
                                <a:ext cx="327660" cy="102870"/>
                              </a:xfrm>
                              <a:custGeom>
                                <a:avLst/>
                                <a:gdLst/>
                                <a:ahLst/>
                                <a:cxnLst/>
                                <a:rect l="0" t="0" r="0" b="0"/>
                                <a:pathLst>
                                  <a:path w="5120" h="2525">
                                    <a:moveTo>
                                      <a:pt x="0" y="2525"/>
                                    </a:moveTo>
                                    <a:cubicBezTo>
                                      <a:pt x="1146" y="1557"/>
                                      <a:pt x="2293" y="589"/>
                                      <a:pt x="2720" y="505"/>
                                    </a:cubicBezTo>
                                    <a:cubicBezTo>
                                      <a:pt x="3147" y="421"/>
                                      <a:pt x="2160" y="2104"/>
                                      <a:pt x="2560" y="2020"/>
                                    </a:cubicBezTo>
                                    <a:cubicBezTo>
                                      <a:pt x="2960" y="1936"/>
                                      <a:pt x="4040" y="968"/>
                                      <a:pt x="5120" y="0"/>
                                    </a:cubicBezTo>
                                  </a:path>
                                </a:pathLst>
                              </a:custGeom>
                              <a:noFill/>
                              <a:ln w="9525" cap="flat" cmpd="sng">
                                <a:solidFill>
                                  <a:srgbClr val="000000">
                                    <a:alpha val="100000"/>
                                  </a:srgbClr>
                                </a:solidFill>
                                <a:prstDash val="solid"/>
                                <a:headEnd type="none" w="med" len="med"/>
                                <a:tailEnd type="stealth" w="sm" len="med"/>
                              </a:ln>
                            </wps:spPr>
                            <wps:bodyPr upright="1"/>
                          </wps:wsp>
                        </a:graphicData>
                      </a:graphic>
                    </wp:anchor>
                  </w:drawing>
                </mc:Choice>
                <mc:Fallback>
                  <w:pict>
                    <v:shape id="_x0000_s1026" o:spid="_x0000_s1026" o:spt="100" style="position:absolute;left:0pt;margin-left:177.95pt;margin-top:17.7pt;height:8.1pt;width:25.8pt;rotation:-987535f;z-index:251677696;mso-width-relative:page;mso-height-relative:page;" filled="f" stroked="t" coordsize="5120,2525" o:gfxdata="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NbYT32gAAAAkBAAAPAAAAAAAA&#10;AAEAIAAAACIAAABkcnMvZG93bnJldi54bWxQSwECFAAUAAAACACHTuJAMs6A/LsCAADxBQAADgAA&#10;AAAAAAABACAAAAApAQAAZHJzL2Uyb0RvYy54bWxQSwUGAAAAAAYABgBZAQAAVgYAAAAA&#10;" path="m0,2525c1146,1557,2293,589,2720,505c3147,421,2160,2104,2560,2020c2960,1936,4040,968,5120,0e">
                      <v:fill on="f" focussize="0,0"/>
                      <v:stroke color="#000000" joinstyle="round" endarrow="classic" endarrowwidth="narrow"/>
                      <v:imagedata o:title=""/>
                      <o:lock v:ext="edit" aspectratio="f"/>
                    </v:shape>
                  </w:pict>
                </mc:Fallback>
              </mc:AlternateContent>
            </w:r>
            <w:r>
              <w:rPr>
                <w:rFonts w:ascii="宋体" w:hAnsi="宋体"/>
                <w:color w:val="000000" w:themeColor="text1"/>
                <w:kern w:val="28"/>
                <w:szCs w:val="2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1864995</wp:posOffset>
                      </wp:positionH>
                      <wp:positionV relativeFrom="paragraph">
                        <wp:posOffset>368935</wp:posOffset>
                      </wp:positionV>
                      <wp:extent cx="857250" cy="255905"/>
                      <wp:effectExtent l="4445" t="4445" r="6985" b="13970"/>
                      <wp:wrapNone/>
                      <wp:docPr id="80" name="文本框 80"/>
                      <wp:cNvGraphicFramePr/>
                      <a:graphic xmlns:a="http://schemas.openxmlformats.org/drawingml/2006/main">
                        <a:graphicData uri="http://schemas.microsoft.com/office/word/2010/wordprocessingShape">
                          <wps:wsp>
                            <wps:cNvSpPr txBox="1"/>
                            <wps:spPr>
                              <a:xfrm>
                                <a:off x="0" y="0"/>
                                <a:ext cx="857250" cy="255905"/>
                              </a:xfrm>
                              <a:prstGeom prst="rect">
                                <a:avLst/>
                              </a:prstGeom>
                              <a:solidFill>
                                <a:srgbClr val="FFFFFF"/>
                              </a:solidFill>
                              <a:ln w="9525" cap="flat" cmpd="sng">
                                <a:solidFill>
                                  <a:srgbClr val="000000"/>
                                </a:solidFill>
                                <a:prstDash val="solid"/>
                                <a:miter/>
                                <a:headEnd type="none" w="med" len="med"/>
                                <a:tailEnd type="none" w="med" len="lg"/>
                              </a:ln>
                            </wps:spPr>
                            <wps:txbx>
                              <w:txbxContent>
                                <w:p w14:paraId="2FDC8C52">
                                  <w:pPr>
                                    <w:spacing w:line="340" w:lineRule="exact"/>
                                    <w:jc w:val="center"/>
                                    <w:rPr>
                                      <w:rFonts w:ascii="宋体" w:hAnsi="宋体"/>
                                      <w:kern w:val="24"/>
                                      <w:szCs w:val="21"/>
                                    </w:rPr>
                                  </w:pPr>
                                  <w:r>
                                    <w:rPr>
                                      <w:rFonts w:hint="eastAsia" w:ascii="宋体" w:hAnsi="宋体"/>
                                      <w:kern w:val="24"/>
                                      <w:szCs w:val="21"/>
                                    </w:rPr>
                                    <w:t>地面清洗用水</w:t>
                                  </w:r>
                                </w:p>
                                <w:p w14:paraId="3AFFE2DB">
                                  <w:pPr>
                                    <w:spacing w:line="340" w:lineRule="exact"/>
                                    <w:jc w:val="center"/>
                                    <w:rPr>
                                      <w:szCs w:val="21"/>
                                    </w:rPr>
                                  </w:pPr>
                                </w:p>
                              </w:txbxContent>
                            </wps:txbx>
                            <wps:bodyPr lIns="0" tIns="0" rIns="0" bIns="0" upright="1"/>
                          </wps:wsp>
                        </a:graphicData>
                      </a:graphic>
                    </wp:anchor>
                  </w:drawing>
                </mc:Choice>
                <mc:Fallback>
                  <w:pict>
                    <v:shape id="_x0000_s1026" o:spid="_x0000_s1026" o:spt="202" type="#_x0000_t202" style="position:absolute;left:0pt;margin-left:146.85pt;margin-top:29.05pt;height:20.15pt;width:67.5pt;z-index:251676672;mso-width-relative:page;mso-height-relative:page;" fillcolor="#FFFFFF" filled="t" stroked="t" coordsize="21600,21600" o:gfxdata="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lxegT2AAAAAkB&#10;AAAPAAAAAAAAAAEAIAAAACIAAABkcnMvZG93bnJldi54bWxQSwECFAAUAAAACACHTuJAXhBilRsC&#10;AABaBAAADgAAAAAAAAABACAAAAAnAQAAZHJzL2Uyb0RvYy54bWxQSwUGAAAAAAYABgBZAQAAtAUA&#10;AAAA&#10;">
                      <v:fill on="t" focussize="0,0"/>
                      <v:stroke color="#000000" joinstyle="miter" endarrowlength="long"/>
                      <v:imagedata o:title=""/>
                      <o:lock v:ext="edit" aspectratio="f"/>
                      <v:textbox inset="0mm,0mm,0mm,0mm">
                        <w:txbxContent>
                          <w:p w14:paraId="2FDC8C52">
                            <w:pPr>
                              <w:spacing w:line="340" w:lineRule="exact"/>
                              <w:jc w:val="center"/>
                              <w:rPr>
                                <w:rFonts w:ascii="宋体" w:hAnsi="宋体"/>
                                <w:kern w:val="24"/>
                                <w:szCs w:val="21"/>
                              </w:rPr>
                            </w:pPr>
                            <w:r>
                              <w:rPr>
                                <w:rFonts w:hint="eastAsia" w:ascii="宋体" w:hAnsi="宋体"/>
                                <w:kern w:val="24"/>
                                <w:szCs w:val="21"/>
                              </w:rPr>
                              <w:t>地面清洗用水</w:t>
                            </w:r>
                          </w:p>
                          <w:p w14:paraId="3AFFE2DB">
                            <w:pPr>
                              <w:spacing w:line="340" w:lineRule="exact"/>
                              <w:jc w:val="center"/>
                              <w:rPr>
                                <w:szCs w:val="21"/>
                              </w:rPr>
                            </w:pPr>
                          </w:p>
                        </w:txbxContent>
                      </v:textbox>
                    </v:shape>
                  </w:pict>
                </mc:Fallback>
              </mc:AlternateContent>
            </w:r>
          </w:p>
          <w:p w14:paraId="60F8557D">
            <w:pPr>
              <w:widowControl/>
              <w:spacing w:before="120" w:beforeLines="50" w:line="5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25400</wp:posOffset>
                      </wp:positionV>
                      <wp:extent cx="702310" cy="0"/>
                      <wp:effectExtent l="0" t="38100" r="13970" b="38100"/>
                      <wp:wrapNone/>
                      <wp:docPr id="84" name="直接连接符 84"/>
                      <wp:cNvGraphicFramePr/>
                      <a:graphic xmlns:a="http://schemas.openxmlformats.org/drawingml/2006/main">
                        <a:graphicData uri="http://schemas.microsoft.com/office/word/2010/wordprocessingShape">
                          <wps:wsp>
                            <wps:cNvCnPr/>
                            <wps:spPr>
                              <a:xfrm>
                                <a:off x="0" y="0"/>
                                <a:ext cx="702310" cy="0"/>
                              </a:xfrm>
                              <a:prstGeom prst="line">
                                <a:avLst/>
                              </a:prstGeom>
                              <a:ln w="9525" cap="flat" cmpd="sng">
                                <a:solidFill>
                                  <a:srgbClr val="000000"/>
                                </a:solidFill>
                                <a:prstDash val="solid"/>
                                <a:headEnd type="none" w="med" len="med"/>
                                <a:tailEnd type="stealth" w="med" len="med"/>
                              </a:ln>
                            </wps:spPr>
                            <wps:bodyPr/>
                          </wps:wsp>
                        </a:graphicData>
                      </a:graphic>
                    </wp:anchor>
                  </w:drawing>
                </mc:Choice>
                <mc:Fallback>
                  <w:pict>
                    <v:line id="_x0000_s1026" o:spid="_x0000_s1026" o:spt="20" style="position:absolute;left:0pt;margin-left:90pt;margin-top:2pt;height:0pt;width:55.3pt;z-index:251674624;mso-width-relative:page;mso-height-relative:page;" filled="f" stroked="t" coordsize="21600,21600" o:gfxdata="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AJVbW0wAAAAcBAAAPAAAAAAAAAAEAIAAAACIAAABkcnMvZG93bnJldi54bWxQSwECFAAUAAAA&#10;CACHTuJAtULKYfMBAADcAwAADgAAAAAAAAABACAAAAAiAQAAZHJzL2Uyb0RvYy54bWxQSwUGAAAA&#10;AAYABgBZAQAAhwUAAAAA&#10;">
                      <v:fill on="f" focussize="0,0"/>
                      <v:stroke color="#000000" joinstyle="round" endarrow="classic"/>
                      <v:imagedata o:title=""/>
                      <o:lock v:ext="edit" aspectratio="f"/>
                    </v:line>
                  </w:pict>
                </mc:Fallback>
              </mc:AlternateContent>
            </w:r>
            <w:r>
              <w:rPr>
                <w:rFonts w:hint="eastAsia" w:ascii="宋体" w:hAnsi="宋体"/>
                <w:color w:val="000000" w:themeColor="text1"/>
                <w:szCs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4154170</wp:posOffset>
                      </wp:positionH>
                      <wp:positionV relativeFrom="paragraph">
                        <wp:posOffset>264160</wp:posOffset>
                      </wp:positionV>
                      <wp:extent cx="629920" cy="330835"/>
                      <wp:effectExtent l="0" t="0" r="0" b="0"/>
                      <wp:wrapNone/>
                      <wp:docPr id="83" name="矩形 83"/>
                      <wp:cNvGraphicFramePr/>
                      <a:graphic xmlns:a="http://schemas.openxmlformats.org/drawingml/2006/main">
                        <a:graphicData uri="http://schemas.microsoft.com/office/word/2010/wordprocessingShape">
                          <wps:wsp>
                            <wps:cNvSpPr/>
                            <wps:spPr>
                              <a:xfrm>
                                <a:off x="0" y="0"/>
                                <a:ext cx="629920" cy="330835"/>
                              </a:xfrm>
                              <a:prstGeom prst="rect">
                                <a:avLst/>
                              </a:prstGeom>
                              <a:noFill/>
                              <a:ln>
                                <a:noFill/>
                              </a:ln>
                            </wps:spPr>
                            <wps:txbx>
                              <w:txbxContent>
                                <w:p w14:paraId="1D0E4946">
                                  <w:pPr>
                                    <w:spacing w:line="300" w:lineRule="exact"/>
                                    <w:jc w:val="center"/>
                                    <w:rPr>
                                      <w:rFonts w:ascii="宋体" w:hAnsi="宋体"/>
                                      <w:kern w:val="24"/>
                                      <w:szCs w:val="21"/>
                                    </w:rPr>
                                  </w:pPr>
                                  <w:r>
                                    <w:rPr>
                                      <w:rFonts w:hint="eastAsia" w:ascii="宋体" w:hAnsi="宋体"/>
                                      <w:kern w:val="24"/>
                                      <w:szCs w:val="21"/>
                                    </w:rPr>
                                    <w:t>3.09</w:t>
                                  </w:r>
                                </w:p>
                              </w:txbxContent>
                            </wps:txbx>
                            <wps:bodyPr lIns="0" tIns="0" rIns="0" bIns="0" upright="1"/>
                          </wps:wsp>
                        </a:graphicData>
                      </a:graphic>
                    </wp:anchor>
                  </w:drawing>
                </mc:Choice>
                <mc:Fallback>
                  <w:pict>
                    <v:rect id="_x0000_s1026" o:spid="_x0000_s1026" o:spt="1" style="position:absolute;left:0pt;margin-left:327.1pt;margin-top:20.8pt;height:26.05pt;width:49.6pt;z-index:251663360;mso-width-relative:page;mso-height-relative:page;" filled="f" stroked="f" coordsize="21600,21600" o:gfxdata="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sjPm7bAAAACQEAAA8AAAAAAAAAAQAgAAAAIgAAAGRycy9kb3ducmV2LnhtbFBLAQIUABQAAAAI&#10;AIdO4kAVpvCFsQEAAGYDAAAOAAAAAAAAAAEAIAAAACoBAABkcnMvZTJvRG9jLnhtbFBLBQYAAAAA&#10;BgAGAFkBAABNBQAAAAA=&#10;">
                      <v:fill on="f" focussize="0,0"/>
                      <v:stroke on="f"/>
                      <v:imagedata o:title=""/>
                      <o:lock v:ext="edit" aspectratio="f"/>
                      <v:textbox inset="0mm,0mm,0mm,0mm">
                        <w:txbxContent>
                          <w:p w14:paraId="1D0E4946">
                            <w:pPr>
                              <w:spacing w:line="300" w:lineRule="exact"/>
                              <w:jc w:val="center"/>
                              <w:rPr>
                                <w:rFonts w:ascii="宋体" w:hAnsi="宋体"/>
                                <w:kern w:val="24"/>
                                <w:szCs w:val="21"/>
                              </w:rPr>
                            </w:pPr>
                            <w:r>
                              <w:rPr>
                                <w:rFonts w:hint="eastAsia" w:ascii="宋体" w:hAnsi="宋体"/>
                                <w:kern w:val="24"/>
                                <w:szCs w:val="21"/>
                              </w:rPr>
                              <w:t>3.09</w:t>
                            </w:r>
                          </w:p>
                        </w:txbxContent>
                      </v:textbox>
                    </v:rect>
                  </w:pict>
                </mc:Fallback>
              </mc:AlternateContent>
            </w:r>
            <w:r>
              <w:rPr>
                <w:rFonts w:hint="eastAsia" w:ascii="宋体" w:hAnsi="宋体"/>
                <w:color w:val="000000" w:themeColor="text1"/>
                <w:szCs w:val="2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4841240</wp:posOffset>
                      </wp:positionH>
                      <wp:positionV relativeFrom="paragraph">
                        <wp:posOffset>347980</wp:posOffset>
                      </wp:positionV>
                      <wp:extent cx="482600" cy="320040"/>
                      <wp:effectExtent l="4445" t="4445" r="15875" b="10795"/>
                      <wp:wrapNone/>
                      <wp:docPr id="90" name="矩形 90"/>
                      <wp:cNvGraphicFramePr/>
                      <a:graphic xmlns:a="http://schemas.openxmlformats.org/drawingml/2006/main">
                        <a:graphicData uri="http://schemas.microsoft.com/office/word/2010/wordprocessingShape">
                          <wps:wsp>
                            <wps:cNvSpPr/>
                            <wps:spPr>
                              <a:xfrm>
                                <a:off x="0" y="0"/>
                                <a:ext cx="482600" cy="320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8ABA72">
                                  <w:pPr>
                                    <w:jc w:val="center"/>
                                    <w:rPr>
                                      <w:rFonts w:ascii="宋体" w:hAnsi="宋体"/>
                                      <w:kern w:val="24"/>
                                      <w:szCs w:val="21"/>
                                    </w:rPr>
                                  </w:pPr>
                                  <w:r>
                                    <w:rPr>
                                      <w:rFonts w:hint="eastAsia" w:ascii="宋体" w:hAnsi="宋体"/>
                                      <w:kern w:val="24"/>
                                      <w:szCs w:val="21"/>
                                    </w:rPr>
                                    <w:t>化粪池</w:t>
                                  </w:r>
                                </w:p>
                              </w:txbxContent>
                            </wps:txbx>
                            <wps:bodyPr lIns="0" tIns="0" rIns="0" bIns="0" upright="1"/>
                          </wps:wsp>
                        </a:graphicData>
                      </a:graphic>
                    </wp:anchor>
                  </w:drawing>
                </mc:Choice>
                <mc:Fallback>
                  <w:pict>
                    <v:rect id="_x0000_s1026" o:spid="_x0000_s1026" o:spt="1" style="position:absolute;left:0pt;margin-left:381.2pt;margin-top:27.4pt;height:25.2pt;width:38pt;z-index:251664384;mso-width-relative:page;mso-height-relative:page;" fillcolor="#FFFFFF" filled="t" stroked="t" coordsize="21600,21600" o:gfxdata="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BpasJ2QAAAAoBAAAPAAAAAAAA&#10;AAEAIAAAACIAAABkcnMvZG93bnJldi54bWxQSwECFAAUAAAACACHTuJAyGhT6BECAABOBAAADgAA&#10;AAAAAAABACAAAAAoAQAAZHJzL2Uyb0RvYy54bWxQSwUGAAAAAAYABgBZAQAAqwUAAAAA&#10;">
                      <v:fill on="t" focussize="0,0"/>
                      <v:stroke color="#000000" joinstyle="miter"/>
                      <v:imagedata o:title=""/>
                      <o:lock v:ext="edit" aspectratio="f"/>
                      <v:textbox inset="0mm,0mm,0mm,0mm">
                        <w:txbxContent>
                          <w:p w14:paraId="368ABA72">
                            <w:pPr>
                              <w:jc w:val="center"/>
                              <w:rPr>
                                <w:rFonts w:ascii="宋体" w:hAnsi="宋体"/>
                                <w:kern w:val="24"/>
                                <w:szCs w:val="21"/>
                              </w:rPr>
                            </w:pPr>
                            <w:r>
                              <w:rPr>
                                <w:rFonts w:hint="eastAsia" w:ascii="宋体" w:hAnsi="宋体"/>
                                <w:kern w:val="24"/>
                                <w:szCs w:val="21"/>
                              </w:rPr>
                              <w:t>化粪池</w:t>
                            </w:r>
                          </w:p>
                        </w:txbxContent>
                      </v:textbox>
                    </v:rect>
                  </w:pict>
                </mc:Fallback>
              </mc:AlternateContent>
            </w:r>
            <w:r>
              <w:rPr>
                <w:rFonts w:hint="eastAsia" w:ascii="宋体" w:hAnsi="宋体"/>
                <w:color w:val="000000" w:themeColor="text1"/>
                <w:szCs w:val="2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1145540</wp:posOffset>
                      </wp:positionH>
                      <wp:positionV relativeFrom="paragraph">
                        <wp:posOffset>21590</wp:posOffset>
                      </wp:positionV>
                      <wp:extent cx="0" cy="1632585"/>
                      <wp:effectExtent l="4445" t="0" r="10795" b="13335"/>
                      <wp:wrapNone/>
                      <wp:docPr id="88" name="直接连接符 88"/>
                      <wp:cNvGraphicFramePr/>
                      <a:graphic xmlns:a="http://schemas.openxmlformats.org/drawingml/2006/main">
                        <a:graphicData uri="http://schemas.microsoft.com/office/word/2010/wordprocessingShape">
                          <wps:wsp>
                            <wps:cNvCnPr/>
                            <wps:spPr>
                              <a:xfrm>
                                <a:off x="0" y="0"/>
                                <a:ext cx="0" cy="163258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90.2pt;margin-top:1.7pt;height:128.55pt;width:0pt;z-index:251679744;mso-width-relative:page;mso-height-relative:page;" filled="f" stroked="t" coordsize="21600,21600" o:gfxdata="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p3jHn&#10;1QAAAAkBAAAPAAAAAAAAAAEAIAAAACIAAABkcnMvZG93bnJldi54bWxQSwECFAAUAAAACACHTuJA&#10;GOujTesBAADaAwAADgAAAAAAAAABACAAAAAkAQAAZHJzL2Uyb0RvYy54bWxQSwUGAAAAAAYABgBZ&#10;AQAAgQUAAAAA&#10;">
                      <v:fill on="f" focussize="0,0"/>
                      <v:stroke color="#000000" joinstyle="round"/>
                      <v:imagedata o:title=""/>
                      <o:lock v:ext="edit" aspectratio="f"/>
                    </v:line>
                  </w:pict>
                </mc:Fallback>
              </mc:AlternateContent>
            </w:r>
            <w:r>
              <w:rPr>
                <w:rFonts w:hint="eastAsia" w:ascii="宋体" w:hAnsi="宋体"/>
                <w:color w:val="000000" w:themeColor="text1"/>
                <w:szCs w:val="2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2717165</wp:posOffset>
                      </wp:positionH>
                      <wp:positionV relativeFrom="paragraph">
                        <wp:posOffset>-635</wp:posOffset>
                      </wp:positionV>
                      <wp:extent cx="396240" cy="0"/>
                      <wp:effectExtent l="0" t="38100" r="0" b="38100"/>
                      <wp:wrapNone/>
                      <wp:docPr id="91" name="直接连接符 91"/>
                      <wp:cNvGraphicFramePr/>
                      <a:graphic xmlns:a="http://schemas.openxmlformats.org/drawingml/2006/main">
                        <a:graphicData uri="http://schemas.microsoft.com/office/word/2010/wordprocessingShape">
                          <wps:wsp>
                            <wps:cNvCnPr/>
                            <wps:spPr>
                              <a:xfrm>
                                <a:off x="0" y="0"/>
                                <a:ext cx="396240" cy="0"/>
                              </a:xfrm>
                              <a:prstGeom prst="line">
                                <a:avLst/>
                              </a:prstGeom>
                              <a:ln w="9525" cap="flat" cmpd="sng">
                                <a:solidFill>
                                  <a:srgbClr val="000000"/>
                                </a:solidFill>
                                <a:prstDash val="solid"/>
                                <a:headEnd type="none" w="med" len="med"/>
                                <a:tailEnd type="stealth" w="med" len="med"/>
                              </a:ln>
                            </wps:spPr>
                            <wps:bodyPr/>
                          </wps:wsp>
                        </a:graphicData>
                      </a:graphic>
                    </wp:anchor>
                  </w:drawing>
                </mc:Choice>
                <mc:Fallback>
                  <w:pict>
                    <v:line id="_x0000_s1026" o:spid="_x0000_s1026" o:spt="20" style="position:absolute;left:0pt;margin-left:213.95pt;margin-top:-0.05pt;height:0pt;width:31.2pt;z-index:251675648;mso-width-relative:page;mso-height-relative:page;" filled="f" stroked="t" coordsize="21600,21600" o:gfxdata="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VO8ttQAAAAHAQAADwAAAAAAAAABACAAAAAiAAAAZHJzL2Rvd25yZXYueG1sUEsBAhQAFAAA&#10;AAgAh07iQDtGeb/zAQAA3AMAAA4AAAAAAAAAAQAgAAAAIwEAAGRycy9lMm9Eb2MueG1sUEsFBgAA&#10;AAAGAAYAWQEAAIgFAAAAAA==&#10;">
                      <v:fill on="f" focussize="0,0"/>
                      <v:stroke color="#000000" joinstyle="round" endarrow="classic"/>
                      <v:imagedata o:title=""/>
                      <o:lock v:ext="edit" aspectratio="f"/>
                    </v:line>
                  </w:pict>
                </mc:Fallback>
              </mc:AlternateContent>
            </w:r>
            <w:r>
              <w:rPr>
                <w:rFonts w:hint="eastAsia" w:ascii="宋体" w:hAnsi="宋体"/>
                <w:color w:val="000000" w:themeColor="text1"/>
                <w:szCs w:val="2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3696335</wp:posOffset>
                      </wp:positionH>
                      <wp:positionV relativeFrom="paragraph">
                        <wp:posOffset>56515</wp:posOffset>
                      </wp:positionV>
                      <wp:extent cx="504190" cy="635"/>
                      <wp:effectExtent l="0" t="38100" r="13970" b="37465"/>
                      <wp:wrapNone/>
                      <wp:docPr id="89" name="任意多边形 89"/>
                      <wp:cNvGraphicFramePr/>
                      <a:graphic xmlns:a="http://schemas.openxmlformats.org/drawingml/2006/main">
                        <a:graphicData uri="http://schemas.microsoft.com/office/word/2010/wordprocessingShape">
                          <wps:wsp>
                            <wps:cNvSpPr/>
                            <wps:spPr>
                              <a:xfrm>
                                <a:off x="0" y="0"/>
                                <a:ext cx="504190" cy="635"/>
                              </a:xfrm>
                              <a:custGeom>
                                <a:avLst/>
                                <a:gdLst/>
                                <a:ahLst/>
                                <a:cxnLst/>
                                <a:rect l="0" t="0" r="0" b="0"/>
                                <a:pathLst>
                                  <a:path w="1208" h="1">
                                    <a:moveTo>
                                      <a:pt x="0" y="0"/>
                                    </a:moveTo>
                                    <a:lnTo>
                                      <a:pt x="1208" y="0"/>
                                    </a:lnTo>
                                  </a:path>
                                </a:pathLst>
                              </a:custGeom>
                              <a:noFill/>
                              <a:ln w="9525" cap="flat" cmpd="sng">
                                <a:solidFill>
                                  <a:srgbClr val="000000"/>
                                </a:solidFill>
                                <a:prstDash val="solid"/>
                                <a:headEnd type="none" w="med" len="med"/>
                                <a:tailEnd type="stealth" w="med" len="med"/>
                              </a:ln>
                            </wps:spPr>
                            <wps:bodyPr lIns="0" tIns="0" rIns="0" bIns="0" upright="1"/>
                          </wps:wsp>
                        </a:graphicData>
                      </a:graphic>
                    </wp:anchor>
                  </w:drawing>
                </mc:Choice>
                <mc:Fallback>
                  <w:pict>
                    <v:shape id="_x0000_s1026" o:spid="_x0000_s1026" o:spt="100" style="position:absolute;left:0pt;margin-left:291.05pt;margin-top:4.45pt;height:0.05pt;width:39.7pt;z-index:251673600;mso-width-relative:page;mso-height-relative:page;" filled="f" stroked="t" coordsize="1208,1" o:gfxdata="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YLkvj1QAAAAcBAAAPAAAAAAAAAAEA&#10;IAAAACIAAABkcnMvZG93bnJldi54bWxQSwECFAAUAAAACACHTuJAymmO9UsCAADTBAAADgAAAAAA&#10;AAABACAAAAAkAQAAZHJzL2Uyb0RvYy54bWxQSwUGAAAAAAYABgBZAQAA4QUAAAAA&#10;" path="m0,0l1208,0e">
                      <v:fill on="f" focussize="0,0"/>
                      <v:stroke color="#000000" joinstyle="round" endarrow="classic"/>
                      <v:imagedata o:title=""/>
                      <o:lock v:ext="edit" aspectratio="f"/>
                      <v:textbox inset="0mm,0mm,0mm,0mm"/>
                    </v:shape>
                  </w:pict>
                </mc:Fallback>
              </mc:AlternateContent>
            </w:r>
            <w:r>
              <w:rPr>
                <w:rFonts w:ascii="宋体" w:hAnsi="宋体"/>
                <w:b/>
                <w:color w:val="000000" w:themeColor="text1"/>
                <w:szCs w:val="2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4197985</wp:posOffset>
                      </wp:positionH>
                      <wp:positionV relativeFrom="paragraph">
                        <wp:posOffset>67310</wp:posOffset>
                      </wp:positionV>
                      <wp:extent cx="0" cy="899795"/>
                      <wp:effectExtent l="4445" t="0" r="10795" b="14605"/>
                      <wp:wrapNone/>
                      <wp:docPr id="86" name="直接连接符 86"/>
                      <wp:cNvGraphicFramePr/>
                      <a:graphic xmlns:a="http://schemas.openxmlformats.org/drawingml/2006/main">
                        <a:graphicData uri="http://schemas.microsoft.com/office/word/2010/wordprocessingShape">
                          <wps:wsp>
                            <wps:cNvCnPr/>
                            <wps:spPr>
                              <a:xfrm>
                                <a:off x="0" y="0"/>
                                <a:ext cx="0" cy="89979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30.55pt;margin-top:5.3pt;height:70.85pt;width:0pt;z-index:251680768;mso-width-relative:page;mso-height-relative:page;" filled="f" stroked="t" coordsize="21600,21600" o:gfxdata="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xj/ejV&#10;AAAACgEAAA8AAAAAAAAAAQAgAAAAIgAAAGRycy9kb3ducmV2LnhtbFBLAQIUABQAAAAIAIdO4kC/&#10;yOtc6gEAANkDAAAOAAAAAAAAAAEAIAAAACQBAABkcnMvZTJvRG9jLnhtbFBLBQYAAAAABgAGAFkB&#10;AACABQAAAAA=&#10;">
                      <v:fill on="f" focussize="0,0"/>
                      <v:stroke color="#000000" joinstyle="round"/>
                      <v:imagedata o:title=""/>
                      <o:lock v:ext="edit" aspectratio="f"/>
                    </v:line>
                  </w:pict>
                </mc:Fallback>
              </mc:AlternateContent>
            </w:r>
          </w:p>
          <w:p w14:paraId="31F48875">
            <w:pPr>
              <w:widowControl/>
              <w:spacing w:before="120" w:beforeLines="50" w:line="500" w:lineRule="exact"/>
              <w:rPr>
                <w:rFonts w:ascii="宋体" w:hAnsi="宋体"/>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3490595</wp:posOffset>
                      </wp:positionH>
                      <wp:positionV relativeFrom="paragraph">
                        <wp:posOffset>294640</wp:posOffset>
                      </wp:positionV>
                      <wp:extent cx="485775" cy="195580"/>
                      <wp:effectExtent l="0" t="0" r="0" b="0"/>
                      <wp:wrapNone/>
                      <wp:docPr id="87" name="矩形 87"/>
                      <wp:cNvGraphicFramePr/>
                      <a:graphic xmlns:a="http://schemas.openxmlformats.org/drawingml/2006/main">
                        <a:graphicData uri="http://schemas.microsoft.com/office/word/2010/wordprocessingShape">
                          <wps:wsp>
                            <wps:cNvSpPr/>
                            <wps:spPr>
                              <a:xfrm>
                                <a:off x="0" y="0"/>
                                <a:ext cx="485775" cy="195580"/>
                              </a:xfrm>
                              <a:prstGeom prst="rect">
                                <a:avLst/>
                              </a:prstGeom>
                              <a:noFill/>
                              <a:ln>
                                <a:noFill/>
                              </a:ln>
                            </wps:spPr>
                            <wps:txbx>
                              <w:txbxContent>
                                <w:p w14:paraId="6A0A93A8">
                                  <w:pPr>
                                    <w:spacing w:line="300" w:lineRule="exact"/>
                                    <w:jc w:val="center"/>
                                    <w:rPr>
                                      <w:rFonts w:ascii="宋体" w:hAnsi="宋体"/>
                                      <w:kern w:val="24"/>
                                      <w:szCs w:val="21"/>
                                    </w:rPr>
                                  </w:pPr>
                                  <w:r>
                                    <w:rPr>
                                      <w:rFonts w:hint="eastAsia" w:ascii="宋体" w:hAnsi="宋体"/>
                                      <w:kern w:val="24"/>
                                      <w:szCs w:val="21"/>
                                    </w:rPr>
                                    <w:t>2.13</w:t>
                                  </w:r>
                                </w:p>
                              </w:txbxContent>
                            </wps:txbx>
                            <wps:bodyPr lIns="0" tIns="0" rIns="0" bIns="0" upright="1"/>
                          </wps:wsp>
                        </a:graphicData>
                      </a:graphic>
                    </wp:anchor>
                  </w:drawing>
                </mc:Choice>
                <mc:Fallback>
                  <w:pict>
                    <v:rect id="_x0000_s1026" o:spid="_x0000_s1026" o:spt="1" style="position:absolute;left:0pt;margin-left:274.85pt;margin-top:23.2pt;height:15.4pt;width:38.25pt;z-index:251685888;mso-width-relative:page;mso-height-relative:page;" filled="f" stroked="f" coordsize="21600,21600" o:gfxdata="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ZvHhn2wAAAAkBAAAPAAAAAAAAAAEAIAAAACIAAABkcnMvZG93bnJldi54bWxQSwECFAAUAAAA&#10;CACHTuJARSj32LIBAABmAwAADgAAAAAAAAABACAAAAAqAQAAZHJzL2Uyb0RvYy54bWxQSwUGAAAA&#10;AAYABgBZAQAATgUAAAAA&#10;">
                      <v:fill on="f" focussize="0,0"/>
                      <v:stroke on="f"/>
                      <v:imagedata o:title=""/>
                      <o:lock v:ext="edit" aspectratio="f"/>
                      <v:textbox inset="0mm,0mm,0mm,0mm">
                        <w:txbxContent>
                          <w:p w14:paraId="6A0A93A8">
                            <w:pPr>
                              <w:spacing w:line="300" w:lineRule="exact"/>
                              <w:jc w:val="center"/>
                              <w:rPr>
                                <w:rFonts w:ascii="宋体" w:hAnsi="宋体"/>
                                <w:kern w:val="24"/>
                                <w:szCs w:val="21"/>
                              </w:rPr>
                            </w:pPr>
                            <w:r>
                              <w:rPr>
                                <w:rFonts w:hint="eastAsia" w:ascii="宋体" w:hAnsi="宋体"/>
                                <w:kern w:val="24"/>
                                <w:szCs w:val="21"/>
                              </w:rPr>
                              <w:t>2.13</w:t>
                            </w:r>
                          </w:p>
                        </w:txbxContent>
                      </v:textbox>
                    </v:rect>
                  </w:pict>
                </mc:Fallback>
              </mc:AlternateContent>
            </w:r>
            <w:r>
              <w:rPr>
                <w:rFonts w:ascii="宋体" w:hAnsi="宋体"/>
                <w:b/>
                <w:color w:val="000000" w:themeColor="text1"/>
                <w:szCs w:val="21"/>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2372995</wp:posOffset>
                      </wp:positionH>
                      <wp:positionV relativeFrom="paragraph">
                        <wp:posOffset>2540</wp:posOffset>
                      </wp:positionV>
                      <wp:extent cx="457200" cy="19367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457200" cy="193675"/>
                              </a:xfrm>
                              <a:prstGeom prst="rect">
                                <a:avLst/>
                              </a:prstGeom>
                              <a:noFill/>
                              <a:ln>
                                <a:noFill/>
                              </a:ln>
                            </wps:spPr>
                            <wps:txbx>
                              <w:txbxContent>
                                <w:p w14:paraId="5B5AC550">
                                  <w:pPr>
                                    <w:spacing w:line="300" w:lineRule="exact"/>
                                    <w:jc w:val="center"/>
                                    <w:rPr>
                                      <w:rFonts w:ascii="宋体" w:hAnsi="宋体"/>
                                      <w:kern w:val="24"/>
                                      <w:szCs w:val="21"/>
                                    </w:rPr>
                                  </w:pPr>
                                  <w:r>
                                    <w:rPr>
                                      <w:rFonts w:hint="eastAsia" w:ascii="宋体" w:hAnsi="宋体"/>
                                      <w:kern w:val="24"/>
                                      <w:szCs w:val="21"/>
                                    </w:rPr>
                                    <w:t>0.37</w:t>
                                  </w:r>
                                </w:p>
                              </w:txbxContent>
                            </wps:txbx>
                            <wps:bodyPr lIns="0" tIns="0" rIns="0" bIns="0" upright="1"/>
                          </wps:wsp>
                        </a:graphicData>
                      </a:graphic>
                    </wp:anchor>
                  </w:drawing>
                </mc:Choice>
                <mc:Fallback>
                  <w:pict>
                    <v:shape id="_x0000_s1026" o:spid="_x0000_s1026" o:spt="202" type="#_x0000_t202" style="position:absolute;left:0pt;margin-left:186.85pt;margin-top:0.2pt;height:15.25pt;width:36pt;z-index:251683840;mso-width-relative:page;mso-height-relative:page;" filled="f" stroked="f" coordsize="21600,21600" o:gfxdata="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aSJJdUAAAAHAQAADwAAAAAAAAABACAAAAAiAAAAZHJzL2Rvd25yZXYueG1sUEsBAhQA&#10;FAAAAAgAh07iQMH12JW8AQAAcwMAAA4AAAAAAAAAAQAgAAAAJAEAAGRycy9lMm9Eb2MueG1sUEsF&#10;BgAAAAAGAAYAWQEAAFIFAAAAAA==&#10;">
                      <v:fill on="f" focussize="0,0"/>
                      <v:stroke on="f"/>
                      <v:imagedata o:title=""/>
                      <o:lock v:ext="edit" aspectratio="f"/>
                      <v:textbox inset="0mm,0mm,0mm,0mm">
                        <w:txbxContent>
                          <w:p w14:paraId="5B5AC550">
                            <w:pPr>
                              <w:spacing w:line="300" w:lineRule="exact"/>
                              <w:jc w:val="center"/>
                              <w:rPr>
                                <w:rFonts w:ascii="宋体" w:hAnsi="宋体"/>
                                <w:kern w:val="24"/>
                                <w:szCs w:val="21"/>
                              </w:rPr>
                            </w:pPr>
                            <w:r>
                              <w:rPr>
                                <w:rFonts w:hint="eastAsia" w:ascii="宋体" w:hAnsi="宋体"/>
                                <w:kern w:val="24"/>
                                <w:szCs w:val="21"/>
                              </w:rPr>
                              <w:t>0.37</w:t>
                            </w:r>
                          </w:p>
                        </w:txbxContent>
                      </v:textbox>
                    </v:shape>
                  </w:pict>
                </mc:Fallback>
              </mc:AlternateContent>
            </w:r>
            <w:r>
              <w:rPr>
                <w:rFonts w:ascii="宋体" w:hAnsi="宋体"/>
                <w:b/>
                <w:color w:val="000000" w:themeColor="text1"/>
                <w:szCs w:val="2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1185545</wp:posOffset>
                      </wp:positionH>
                      <wp:positionV relativeFrom="paragraph">
                        <wp:posOffset>265430</wp:posOffset>
                      </wp:positionV>
                      <wp:extent cx="485775" cy="195580"/>
                      <wp:effectExtent l="0" t="0" r="0" b="0"/>
                      <wp:wrapNone/>
                      <wp:docPr id="93" name="矩形 93"/>
                      <wp:cNvGraphicFramePr/>
                      <a:graphic xmlns:a="http://schemas.openxmlformats.org/drawingml/2006/main">
                        <a:graphicData uri="http://schemas.microsoft.com/office/word/2010/wordprocessingShape">
                          <wps:wsp>
                            <wps:cNvSpPr/>
                            <wps:spPr>
                              <a:xfrm>
                                <a:off x="0" y="0"/>
                                <a:ext cx="485775" cy="195580"/>
                              </a:xfrm>
                              <a:prstGeom prst="rect">
                                <a:avLst/>
                              </a:prstGeom>
                              <a:noFill/>
                              <a:ln>
                                <a:noFill/>
                              </a:ln>
                            </wps:spPr>
                            <wps:txbx>
                              <w:txbxContent>
                                <w:p w14:paraId="5F4C70F2">
                                  <w:pPr>
                                    <w:spacing w:line="300" w:lineRule="exact"/>
                                    <w:jc w:val="center"/>
                                    <w:rPr>
                                      <w:rFonts w:ascii="宋体" w:hAnsi="宋体"/>
                                      <w:kern w:val="24"/>
                                      <w:szCs w:val="21"/>
                                    </w:rPr>
                                  </w:pPr>
                                  <w:r>
                                    <w:rPr>
                                      <w:rFonts w:hint="eastAsia" w:ascii="宋体" w:hAnsi="宋体"/>
                                      <w:kern w:val="24"/>
                                      <w:szCs w:val="21"/>
                                    </w:rPr>
                                    <w:t>2.5</w:t>
                                  </w:r>
                                </w:p>
                              </w:txbxContent>
                            </wps:txbx>
                            <wps:bodyPr lIns="0" tIns="0" rIns="0" bIns="0" upright="1"/>
                          </wps:wsp>
                        </a:graphicData>
                      </a:graphic>
                    </wp:anchor>
                  </w:drawing>
                </mc:Choice>
                <mc:Fallback>
                  <w:pict>
                    <v:rect id="_x0000_s1026" o:spid="_x0000_s1026" o:spt="1" style="position:absolute;left:0pt;margin-left:93.35pt;margin-top:20.9pt;height:15.4pt;width:38.25pt;z-index:251684864;mso-width-relative:page;mso-height-relative:page;" filled="f" stroked="f" coordsize="21600,21600" o:gfxdata="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RFdqtkAAAAJAQAADwAAAAAAAAABACAAAAAiAAAAZHJzL2Rvd25yZXYueG1sUEsBAhQAFAAAAAgA&#10;h07iQOIjXfayAQAAZgMAAA4AAAAAAAAAAQAgAAAAKAEAAGRycy9lMm9Eb2MueG1sUEsFBgAAAAAG&#10;AAYAWQEAAEwFAAAAAA==&#10;">
                      <v:fill on="f" focussize="0,0"/>
                      <v:stroke on="f"/>
                      <v:imagedata o:title=""/>
                      <o:lock v:ext="edit" aspectratio="f"/>
                      <v:textbox inset="0mm,0mm,0mm,0mm">
                        <w:txbxContent>
                          <w:p w14:paraId="5F4C70F2">
                            <w:pPr>
                              <w:spacing w:line="300" w:lineRule="exact"/>
                              <w:jc w:val="center"/>
                              <w:rPr>
                                <w:rFonts w:ascii="宋体" w:hAnsi="宋体"/>
                                <w:kern w:val="24"/>
                                <w:szCs w:val="21"/>
                              </w:rPr>
                            </w:pPr>
                            <w:r>
                              <w:rPr>
                                <w:rFonts w:hint="eastAsia" w:ascii="宋体" w:hAnsi="宋体"/>
                                <w:kern w:val="24"/>
                                <w:szCs w:val="21"/>
                              </w:rPr>
                              <w:t>2.5</w:t>
                            </w:r>
                          </w:p>
                        </w:txbxContent>
                      </v:textbox>
                    </v:rect>
                  </w:pict>
                </mc:Fallback>
              </mc:AlternateContent>
            </w:r>
            <w:r>
              <w:rPr>
                <w:rFonts w:hint="eastAsia" w:ascii="宋体" w:hAnsi="宋体"/>
                <w:color w:val="000000" w:themeColor="text1"/>
                <w:szCs w:val="21"/>
                <w14:textFill>
                  <w14:solidFill>
                    <w14:schemeClr w14:val="tx1"/>
                  </w14:solidFill>
                </w14:textFill>
              </w:rPr>
              <mc:AlternateContent>
                <mc:Choice Requires="wpg">
                  <w:drawing>
                    <wp:anchor distT="0" distB="0" distL="114300" distR="114300" simplePos="0" relativeHeight="251667456" behindDoc="0" locked="0" layoutInCell="1" allowOverlap="1">
                      <wp:simplePos x="0" y="0"/>
                      <wp:positionH relativeFrom="column">
                        <wp:posOffset>471170</wp:posOffset>
                      </wp:positionH>
                      <wp:positionV relativeFrom="paragraph">
                        <wp:posOffset>200660</wp:posOffset>
                      </wp:positionV>
                      <wp:extent cx="685800" cy="461010"/>
                      <wp:effectExtent l="0" t="0" r="0" b="0"/>
                      <wp:wrapNone/>
                      <wp:docPr id="78" name="组合 78"/>
                      <wp:cNvGraphicFramePr/>
                      <a:graphic xmlns:a="http://schemas.openxmlformats.org/drawingml/2006/main">
                        <a:graphicData uri="http://schemas.microsoft.com/office/word/2010/wordprocessingGroup">
                          <wpg:wgp>
                            <wpg:cNvGrpSpPr/>
                            <wpg:grpSpPr>
                              <a:xfrm>
                                <a:off x="0" y="0"/>
                                <a:ext cx="685800" cy="461010"/>
                                <a:chOff x="2138" y="4748"/>
                                <a:chExt cx="1080" cy="726"/>
                              </a:xfrm>
                            </wpg:grpSpPr>
                            <wps:wsp>
                              <wps:cNvPr id="94" name="文本框 68"/>
                              <wps:cNvSpPr txBox="1"/>
                              <wps:spPr>
                                <a:xfrm>
                                  <a:off x="2158" y="4748"/>
                                  <a:ext cx="900" cy="726"/>
                                </a:xfrm>
                                <a:prstGeom prst="rect">
                                  <a:avLst/>
                                </a:prstGeom>
                                <a:noFill/>
                                <a:ln>
                                  <a:noFill/>
                                </a:ln>
                              </wps:spPr>
                              <wps:txbx>
                                <w:txbxContent>
                                  <w:p w14:paraId="1A4D9C68">
                                    <w:pPr>
                                      <w:spacing w:line="340" w:lineRule="exact"/>
                                      <w:jc w:val="center"/>
                                      <w:rPr>
                                        <w:rFonts w:ascii="宋体" w:hAnsi="宋体"/>
                                        <w:kern w:val="24"/>
                                        <w:szCs w:val="21"/>
                                      </w:rPr>
                                    </w:pPr>
                                    <w:r>
                                      <w:rPr>
                                        <w:rFonts w:hint="eastAsia" w:ascii="宋体" w:hAnsi="宋体"/>
                                        <w:kern w:val="24"/>
                                        <w:szCs w:val="21"/>
                                      </w:rPr>
                                      <w:t>4.42</w:t>
                                    </w:r>
                                  </w:p>
                                  <w:p w14:paraId="2E75F81B">
                                    <w:pPr>
                                      <w:spacing w:line="340" w:lineRule="exact"/>
                                      <w:jc w:val="center"/>
                                      <w:rPr>
                                        <w:rFonts w:ascii="宋体" w:hAnsi="宋体"/>
                                        <w:kern w:val="24"/>
                                        <w:szCs w:val="21"/>
                                      </w:rPr>
                                    </w:pPr>
                                    <w:r>
                                      <w:rPr>
                                        <w:rFonts w:hint="eastAsia" w:ascii="宋体" w:hAnsi="宋体"/>
                                        <w:kern w:val="24"/>
                                        <w:szCs w:val="21"/>
                                      </w:rPr>
                                      <w:t>新鲜水</w:t>
                                    </w:r>
                                  </w:p>
                                </w:txbxContent>
                              </wps:txbx>
                              <wps:bodyPr lIns="0" tIns="0" rIns="0" bIns="0" upright="1"/>
                            </wps:wsp>
                            <wps:wsp>
                              <wps:cNvPr id="95" name="直接连接符 69"/>
                              <wps:cNvCnPr/>
                              <wps:spPr>
                                <a:xfrm>
                                  <a:off x="2138" y="5127"/>
                                  <a:ext cx="1080" cy="0"/>
                                </a:xfrm>
                                <a:prstGeom prst="line">
                                  <a:avLst/>
                                </a:prstGeom>
                                <a:ln w="9525" cap="flat" cmpd="sng">
                                  <a:solidFill>
                                    <a:srgbClr val="000000"/>
                                  </a:solidFill>
                                  <a:prstDash val="solid"/>
                                  <a:headEnd type="none" w="med" len="med"/>
                                  <a:tailEnd type="stealth" w="med" len="med"/>
                                </a:ln>
                              </wps:spPr>
                              <wps:bodyPr/>
                            </wps:wsp>
                          </wpg:wgp>
                        </a:graphicData>
                      </a:graphic>
                    </wp:anchor>
                  </w:drawing>
                </mc:Choice>
                <mc:Fallback>
                  <w:pict>
                    <v:group id="_x0000_s1026" o:spid="_x0000_s1026" o:spt="203" style="position:absolute;left:0pt;margin-left:37.1pt;margin-top:15.8pt;height:36.3pt;width:54pt;z-index:251667456;mso-width-relative:page;mso-height-relative:page;" coordorigin="2138,4748" coordsize="1080,726" o:gfxdata="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2BO9u9gAAAAJAQAADwAAAAAAAAABACAAAAAiAAAAZHJzL2Rvd25yZXYueG1s&#10;UEsBAhQAFAAAAAgAh07iQFuuDbbcAgAApQYAAA4AAAAAAAAAAQAgAAAAJwEAAGRycy9lMm9Eb2Mu&#10;eG1sUEsFBgAAAAAGAAYAWQEAAHUGAAAAAA==&#10;">
                      <o:lock v:ext="edit" aspectratio="f"/>
                      <v:shape id="文本框 68" o:spid="_x0000_s1026" o:spt="202" type="#_x0000_t202" style="position:absolute;left:2158;top:4748;height:726;width:900;" filled="f" stroked="f" coordsize="21600,21600" o:gfxdata="UEsDBAoAAAAAAIdO4kAAAAAAAAAAAAAAAAAEAAAAZHJzL1BLAwQUAAAACACHTuJAGOL04b0AAADb&#10;AAAADwAAAGRycy9kb3ducmV2LnhtbEWPQWsCMRSE74L/ITyhN00sR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vTh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A4D9C68">
                              <w:pPr>
                                <w:spacing w:line="340" w:lineRule="exact"/>
                                <w:jc w:val="center"/>
                                <w:rPr>
                                  <w:rFonts w:ascii="宋体" w:hAnsi="宋体"/>
                                  <w:kern w:val="24"/>
                                  <w:szCs w:val="21"/>
                                </w:rPr>
                              </w:pPr>
                              <w:r>
                                <w:rPr>
                                  <w:rFonts w:hint="eastAsia" w:ascii="宋体" w:hAnsi="宋体"/>
                                  <w:kern w:val="24"/>
                                  <w:szCs w:val="21"/>
                                </w:rPr>
                                <w:t>4.42</w:t>
                              </w:r>
                            </w:p>
                            <w:p w14:paraId="2E75F81B">
                              <w:pPr>
                                <w:spacing w:line="340" w:lineRule="exact"/>
                                <w:jc w:val="center"/>
                                <w:rPr>
                                  <w:rFonts w:ascii="宋体" w:hAnsi="宋体"/>
                                  <w:kern w:val="24"/>
                                  <w:szCs w:val="21"/>
                                </w:rPr>
                              </w:pPr>
                              <w:r>
                                <w:rPr>
                                  <w:rFonts w:hint="eastAsia" w:ascii="宋体" w:hAnsi="宋体"/>
                                  <w:kern w:val="24"/>
                                  <w:szCs w:val="21"/>
                                </w:rPr>
                                <w:t>新鲜水</w:t>
                              </w:r>
                            </w:p>
                          </w:txbxContent>
                        </v:textbox>
                      </v:shape>
                      <v:line id="直接连接符 69" o:spid="_x0000_s1026" o:spt="20" style="position:absolute;left:2138;top:5127;height:0;width:1080;" filled="f" stroked="t" coordsize="21600,21600" o:gfxdata="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9+/7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group>
                  </w:pict>
                </mc:Fallback>
              </mc:AlternateContent>
            </w:r>
            <w:r>
              <w:rPr>
                <w:rFonts w:hint="eastAsia" w:ascii="宋体" w:hAnsi="宋体"/>
                <w:color w:val="000000" w:themeColor="text1"/>
                <w:szCs w:val="2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5062220</wp:posOffset>
                      </wp:positionH>
                      <wp:positionV relativeFrom="paragraph">
                        <wp:posOffset>282575</wp:posOffset>
                      </wp:positionV>
                      <wp:extent cx="0" cy="209550"/>
                      <wp:effectExtent l="38100" t="0" r="38100" b="3810"/>
                      <wp:wrapNone/>
                      <wp:docPr id="97" name="直接连接符 97"/>
                      <wp:cNvGraphicFramePr/>
                      <a:graphic xmlns:a="http://schemas.openxmlformats.org/drawingml/2006/main">
                        <a:graphicData uri="http://schemas.microsoft.com/office/word/2010/wordprocessingShape">
                          <wps:wsp>
                            <wps:cNvCnPr/>
                            <wps:spPr>
                              <a:xfrm>
                                <a:off x="0" y="0"/>
                                <a:ext cx="0" cy="209550"/>
                              </a:xfrm>
                              <a:prstGeom prst="line">
                                <a:avLst/>
                              </a:prstGeom>
                              <a:ln w="9525" cap="flat" cmpd="sng">
                                <a:solidFill>
                                  <a:srgbClr val="000000"/>
                                </a:solidFill>
                                <a:prstDash val="solid"/>
                                <a:headEnd type="none" w="med" len="med"/>
                                <a:tailEnd type="stealth" w="med" len="med"/>
                              </a:ln>
                            </wps:spPr>
                            <wps:bodyPr/>
                          </wps:wsp>
                        </a:graphicData>
                      </a:graphic>
                    </wp:anchor>
                  </w:drawing>
                </mc:Choice>
                <mc:Fallback>
                  <w:pict>
                    <v:line id="_x0000_s1026" o:spid="_x0000_s1026" o:spt="20" style="position:absolute;left:0pt;margin-left:398.6pt;margin-top:22.25pt;height:16.5pt;width:0pt;z-index:251665408;mso-width-relative:page;mso-height-relative:page;" filled="f" stroked="t" coordsize="21600,21600" o:gfxdata="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nw5O1gAAAAkBAAAPAAAAAAAAAAEAIAAAACIAAABkcnMvZG93bnJldi54bWxQSwECFAAU&#10;AAAACACHTuJATl8qK/MBAADcAwAADgAAAAAAAAABACAAAAAlAQAAZHJzL2Uyb0RvYy54bWxQSwUG&#10;AAAAAAYABgBZAQAAigUAAAAA&#10;">
                      <v:fill on="f" focussize="0,0"/>
                      <v:stroke color="#000000" joinstyle="round" endarrow="classic"/>
                      <v:imagedata o:title=""/>
                      <o:lock v:ext="edit" aspectratio="f"/>
                    </v:line>
                  </w:pict>
                </mc:Fallback>
              </mc:AlternateContent>
            </w:r>
            <w:r>
              <w:rPr>
                <w:rFonts w:ascii="宋体" w:hAnsi="宋体"/>
                <w:b/>
                <w:color w:val="000000" w:themeColor="text1"/>
                <w:szCs w:val="2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4201795</wp:posOffset>
                      </wp:positionH>
                      <wp:positionV relativeFrom="paragraph">
                        <wp:posOffset>44450</wp:posOffset>
                      </wp:positionV>
                      <wp:extent cx="647700" cy="635"/>
                      <wp:effectExtent l="0" t="38100" r="7620" b="37465"/>
                      <wp:wrapNone/>
                      <wp:docPr id="98" name="任意多边形 98"/>
                      <wp:cNvGraphicFramePr/>
                      <a:graphic xmlns:a="http://schemas.openxmlformats.org/drawingml/2006/main">
                        <a:graphicData uri="http://schemas.microsoft.com/office/word/2010/wordprocessingShape">
                          <wps:wsp>
                            <wps:cNvSpPr/>
                            <wps:spPr>
                              <a:xfrm>
                                <a:off x="0" y="0"/>
                                <a:ext cx="647700" cy="635"/>
                              </a:xfrm>
                              <a:custGeom>
                                <a:avLst/>
                                <a:gdLst/>
                                <a:ahLst/>
                                <a:cxnLst/>
                                <a:rect l="0" t="0" r="0" b="0"/>
                                <a:pathLst>
                                  <a:path w="1096" h="1">
                                    <a:moveTo>
                                      <a:pt x="0" y="0"/>
                                    </a:moveTo>
                                    <a:lnTo>
                                      <a:pt x="1096" y="0"/>
                                    </a:lnTo>
                                  </a:path>
                                </a:pathLst>
                              </a:custGeom>
                              <a:noFill/>
                              <a:ln w="9525" cap="flat" cmpd="sng">
                                <a:solidFill>
                                  <a:srgbClr val="000000"/>
                                </a:solidFill>
                                <a:prstDash val="solid"/>
                                <a:headEnd type="none" w="med" len="med"/>
                                <a:tailEnd type="stealth" w="med" len="med"/>
                              </a:ln>
                            </wps:spPr>
                            <wps:bodyPr lIns="0" tIns="0" rIns="0" bIns="0" upright="1"/>
                          </wps:wsp>
                        </a:graphicData>
                      </a:graphic>
                    </wp:anchor>
                  </w:drawing>
                </mc:Choice>
                <mc:Fallback>
                  <w:pict>
                    <v:shape id="_x0000_s1026" o:spid="_x0000_s1026" o:spt="100" style="position:absolute;left:0pt;margin-left:330.85pt;margin-top:3.5pt;height:0.05pt;width:51pt;z-index:251681792;mso-width-relative:page;mso-height-relative:page;" filled="f" stroked="t" coordsize="1096,1" o:gfxdata="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JMiI9YAAAAHAQAADwAAAAAAAAAB&#10;ACAAAAAiAAAAZHJzL2Rvd25yZXYueG1sUEsBAhQAFAAAAAgAh07iQAb/hW1LAgAA0wQAAA4AAAAA&#10;AAAAAQAgAAAAJQEAAGRycy9lMm9Eb2MueG1sUEsFBgAAAAAGAAYAWQEAAOIFAAAAAA==&#10;" path="m0,0l1096,0e">
                      <v:fill on="f" focussize="0,0"/>
                      <v:stroke color="#000000" joinstyle="round" endarrow="classic"/>
                      <v:imagedata o:title=""/>
                      <o:lock v:ext="edit" aspectratio="f"/>
                      <v:textbox inset="0mm,0mm,0mm,0mm"/>
                    </v:shape>
                  </w:pict>
                </mc:Fallback>
              </mc:AlternateContent>
            </w:r>
            <w:r>
              <w:rPr>
                <w:rFonts w:ascii="宋体" w:hAnsi="宋体"/>
                <w:b/>
                <w:color w:val="000000" w:themeColor="text1"/>
                <w:szCs w:val="21"/>
                <w14:textFill>
                  <w14:solidFill>
                    <w14:schemeClr w14:val="tx1"/>
                  </w14:solidFill>
                </w14:textFill>
              </w:rPr>
              <mc:AlternateContent>
                <mc:Choice Requires="wpg">
                  <w:drawing>
                    <wp:anchor distT="0" distB="0" distL="114300" distR="114300" simplePos="0" relativeHeight="251682816" behindDoc="0" locked="0" layoutInCell="1" allowOverlap="1">
                      <wp:simplePos x="0" y="0"/>
                      <wp:positionH relativeFrom="column">
                        <wp:posOffset>1156970</wp:posOffset>
                      </wp:positionH>
                      <wp:positionV relativeFrom="paragraph">
                        <wp:posOffset>200660</wp:posOffset>
                      </wp:positionV>
                      <wp:extent cx="3036570" cy="401955"/>
                      <wp:effectExtent l="0" t="40640" r="11430" b="14605"/>
                      <wp:wrapNone/>
                      <wp:docPr id="99" name="组合 99"/>
                      <wp:cNvGraphicFramePr/>
                      <a:graphic xmlns:a="http://schemas.openxmlformats.org/drawingml/2006/main">
                        <a:graphicData uri="http://schemas.microsoft.com/office/word/2010/wordprocessingGroup">
                          <wpg:wgp>
                            <wpg:cNvGrpSpPr/>
                            <wpg:grpSpPr>
                              <a:xfrm>
                                <a:off x="0" y="0"/>
                                <a:ext cx="3036570" cy="401955"/>
                                <a:chOff x="3230" y="6220"/>
                                <a:chExt cx="4782" cy="633"/>
                              </a:xfrm>
                            </wpg:grpSpPr>
                            <wps:wsp>
                              <wps:cNvPr id="63" name="文本框 63"/>
                              <wps:cNvSpPr txBox="1"/>
                              <wps:spPr>
                                <a:xfrm>
                                  <a:off x="4343" y="6450"/>
                                  <a:ext cx="2540" cy="403"/>
                                </a:xfrm>
                                <a:prstGeom prst="rect">
                                  <a:avLst/>
                                </a:prstGeom>
                                <a:solidFill>
                                  <a:srgbClr val="FFFFFF"/>
                                </a:solidFill>
                                <a:ln w="9525" cap="flat" cmpd="sng">
                                  <a:solidFill>
                                    <a:srgbClr val="000000"/>
                                  </a:solidFill>
                                  <a:prstDash val="solid"/>
                                  <a:miter/>
                                  <a:headEnd type="none" w="med" len="med"/>
                                  <a:tailEnd type="none" w="med" len="lg"/>
                                </a:ln>
                              </wps:spPr>
                              <wps:txbx>
                                <w:txbxContent>
                                  <w:p w14:paraId="0B358F8B">
                                    <w:pPr>
                                      <w:spacing w:line="300" w:lineRule="exact"/>
                                      <w:jc w:val="center"/>
                                      <w:rPr>
                                        <w:rFonts w:ascii="宋体" w:hAnsi="宋体"/>
                                        <w:kern w:val="24"/>
                                        <w:szCs w:val="21"/>
                                      </w:rPr>
                                    </w:pPr>
                                    <w:r>
                                      <w:rPr>
                                        <w:rFonts w:hint="eastAsia" w:ascii="宋体" w:hAnsi="宋体"/>
                                        <w:kern w:val="24"/>
                                        <w:szCs w:val="21"/>
                                      </w:rPr>
                                      <w:t>工作人员及顾客用水</w:t>
                                    </w:r>
                                  </w:p>
                                  <w:p w14:paraId="20D07DAC">
                                    <w:pPr>
                                      <w:spacing w:line="340" w:lineRule="exact"/>
                                      <w:jc w:val="center"/>
                                      <w:rPr>
                                        <w:szCs w:val="21"/>
                                      </w:rPr>
                                    </w:pPr>
                                  </w:p>
                                </w:txbxContent>
                              </wps:txbx>
                              <wps:bodyPr lIns="0" tIns="0" rIns="0" bIns="0" upright="1"/>
                            </wps:wsp>
                            <wps:wsp>
                              <wps:cNvPr id="64" name="任意多边形 64"/>
                              <wps:cNvSpPr/>
                              <wps:spPr>
                                <a:xfrm rot="-904115">
                                  <a:off x="4890" y="6220"/>
                                  <a:ext cx="516" cy="162"/>
                                </a:xfrm>
                                <a:custGeom>
                                  <a:avLst/>
                                  <a:gdLst/>
                                  <a:ahLst/>
                                  <a:cxnLst/>
                                  <a:rect l="0" t="0" r="0" b="0"/>
                                  <a:pathLst>
                                    <a:path w="5120" h="2525">
                                      <a:moveTo>
                                        <a:pt x="0" y="2525"/>
                                      </a:moveTo>
                                      <a:cubicBezTo>
                                        <a:pt x="1146" y="1557"/>
                                        <a:pt x="2293" y="589"/>
                                        <a:pt x="2720" y="505"/>
                                      </a:cubicBezTo>
                                      <a:cubicBezTo>
                                        <a:pt x="3147" y="421"/>
                                        <a:pt x="2160" y="2104"/>
                                        <a:pt x="2560" y="2020"/>
                                      </a:cubicBezTo>
                                      <a:cubicBezTo>
                                        <a:pt x="2960" y="1936"/>
                                        <a:pt x="4040" y="968"/>
                                        <a:pt x="5120" y="0"/>
                                      </a:cubicBezTo>
                                    </a:path>
                                  </a:pathLst>
                                </a:custGeom>
                                <a:noFill/>
                                <a:ln w="9525" cap="flat" cmpd="sng">
                                  <a:solidFill>
                                    <a:srgbClr val="000000">
                                      <a:alpha val="100000"/>
                                    </a:srgbClr>
                                  </a:solidFill>
                                  <a:prstDash val="solid"/>
                                  <a:headEnd type="none" w="med" len="med"/>
                                  <a:tailEnd type="stealth" w="sm" len="med"/>
                                </a:ln>
                              </wps:spPr>
                              <wps:bodyPr upright="1"/>
                            </wps:wsp>
                            <wps:wsp>
                              <wps:cNvPr id="100" name="任意多边形 65"/>
                              <wps:cNvSpPr/>
                              <wps:spPr>
                                <a:xfrm>
                                  <a:off x="3230" y="6639"/>
                                  <a:ext cx="1096" cy="1"/>
                                </a:xfrm>
                                <a:custGeom>
                                  <a:avLst/>
                                  <a:gdLst/>
                                  <a:ahLst/>
                                  <a:cxnLst/>
                                  <a:rect l="0" t="0" r="0" b="0"/>
                                  <a:pathLst>
                                    <a:path w="1096" h="1">
                                      <a:moveTo>
                                        <a:pt x="0" y="0"/>
                                      </a:moveTo>
                                      <a:lnTo>
                                        <a:pt x="1096" y="0"/>
                                      </a:lnTo>
                                    </a:path>
                                  </a:pathLst>
                                </a:custGeom>
                                <a:noFill/>
                                <a:ln w="9525" cap="flat" cmpd="sng">
                                  <a:solidFill>
                                    <a:srgbClr val="000000"/>
                                  </a:solidFill>
                                  <a:prstDash val="solid"/>
                                  <a:headEnd type="none" w="med" len="med"/>
                                  <a:tailEnd type="stealth" w="med" len="med"/>
                                </a:ln>
                              </wps:spPr>
                              <wps:bodyPr lIns="0" tIns="0" rIns="0" bIns="0" upright="1"/>
                            </wps:wsp>
                            <wps:wsp>
                              <wps:cNvPr id="101" name="任意多边形 66"/>
                              <wps:cNvSpPr/>
                              <wps:spPr>
                                <a:xfrm>
                                  <a:off x="6878" y="6657"/>
                                  <a:ext cx="1134" cy="1"/>
                                </a:xfrm>
                                <a:custGeom>
                                  <a:avLst/>
                                  <a:gdLst/>
                                  <a:ahLst/>
                                  <a:cxnLst/>
                                  <a:rect l="0" t="0" r="0" b="0"/>
                                  <a:pathLst>
                                    <a:path w="1096" h="1">
                                      <a:moveTo>
                                        <a:pt x="0" y="0"/>
                                      </a:moveTo>
                                      <a:lnTo>
                                        <a:pt x="1096" y="0"/>
                                      </a:lnTo>
                                    </a:path>
                                  </a:pathLst>
                                </a:custGeom>
                                <a:noFill/>
                                <a:ln w="9525" cap="flat" cmpd="sng">
                                  <a:solidFill>
                                    <a:srgbClr val="000000"/>
                                  </a:solidFill>
                                  <a:prstDash val="solid"/>
                                  <a:headEnd type="none" w="med" len="med"/>
                                  <a:tailEnd type="stealth" w="med" len="med"/>
                                </a:ln>
                              </wps:spPr>
                              <wps:bodyPr lIns="0" tIns="0" rIns="0" bIns="0" upright="1"/>
                            </wps:wsp>
                          </wpg:wgp>
                        </a:graphicData>
                      </a:graphic>
                    </wp:anchor>
                  </w:drawing>
                </mc:Choice>
                <mc:Fallback>
                  <w:pict>
                    <v:group id="_x0000_s1026" o:spid="_x0000_s1026" o:spt="203" style="position:absolute;left:0pt;margin-left:91.1pt;margin-top:15.8pt;height:31.65pt;width:239.1pt;z-index:251682816;mso-width-relative:page;mso-height-relative:page;" coordorigin="3230,6220" coordsize="4782,633" o:gfxdata="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">
                      <o:lock v:ext="edit" aspectratio="f"/>
                      <v:shape id="_x0000_s1026" o:spid="_x0000_s1026" o:spt="202" type="#_x0000_t202" style="position:absolute;left:4343;top:6450;height:403;width:2540;" fillcolor="#FFFFFF" filled="t" stroked="t" coordsize="21600,21600" o:gfxdata="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meFYugAAANsA&#10;AAAPAAAAAAAAAAEAIAAAACIAAABkcnMvZG93bnJldi54bWxQSwECFAAUAAAACACHTuJAMy8FnjsA&#10;AAA5AAAAEAAAAAAAAAABACAAAAAJAQAAZHJzL3NoYXBleG1sLnhtbFBLBQYAAAAABgAGAFsBAACz&#10;AwAAAAA=&#10;">
                        <v:fill on="t" focussize="0,0"/>
                        <v:stroke color="#000000" joinstyle="miter" endarrowlength="long"/>
                        <v:imagedata o:title=""/>
                        <o:lock v:ext="edit" aspectratio="f"/>
                        <v:textbox inset="0mm,0mm,0mm,0mm">
                          <w:txbxContent>
                            <w:p w14:paraId="0B358F8B">
                              <w:pPr>
                                <w:spacing w:line="300" w:lineRule="exact"/>
                                <w:jc w:val="center"/>
                                <w:rPr>
                                  <w:rFonts w:ascii="宋体" w:hAnsi="宋体"/>
                                  <w:kern w:val="24"/>
                                  <w:szCs w:val="21"/>
                                </w:rPr>
                              </w:pPr>
                              <w:r>
                                <w:rPr>
                                  <w:rFonts w:hint="eastAsia" w:ascii="宋体" w:hAnsi="宋体"/>
                                  <w:kern w:val="24"/>
                                  <w:szCs w:val="21"/>
                                </w:rPr>
                                <w:t>工作人员及顾客用水</w:t>
                              </w:r>
                            </w:p>
                            <w:p w14:paraId="20D07DAC">
                              <w:pPr>
                                <w:spacing w:line="340" w:lineRule="exact"/>
                                <w:jc w:val="center"/>
                                <w:rPr>
                                  <w:szCs w:val="21"/>
                                </w:rPr>
                              </w:pPr>
                            </w:p>
                          </w:txbxContent>
                        </v:textbox>
                      </v:shape>
                      <v:shape id="_x0000_s1026" o:spid="_x0000_s1026" o:spt="100" style="position:absolute;left:4890;top:6220;height:162;width:516;rotation:-987535f;" filled="f" stroked="t" coordsize="5120,2525" o:gfxdata="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q+f3vQAA&#10;ANsAAAAPAAAAAAAAAAEAIAAAACIAAABkcnMvZG93bnJldi54bWxQSwECFAAUAAAACACHTuJAMy8F&#10;njsAAAA5AAAAEAAAAAAAAAABACAAAAAMAQAAZHJzL3NoYXBleG1sLnhtbFBLBQYAAAAABgAGAFsB&#10;AAC2AwAAAAA=&#10;" path="m0,2525c1146,1557,2293,589,2720,505c3147,421,2160,2104,2560,2020c2960,1936,4040,968,5120,0e">
                        <v:fill on="f" focussize="0,0"/>
                        <v:stroke color="#000000" joinstyle="round" endarrow="classic" endarrowwidth="narrow"/>
                        <v:imagedata o:title=""/>
                        <o:lock v:ext="edit" aspectratio="f"/>
                      </v:shape>
                      <v:shape id="任意多边形 65" o:spid="_x0000_s1026" o:spt="100" style="position:absolute;left:3230;top:6639;height:1;width:1096;" filled="f" stroked="t" coordsize="1096,1" o:gfxdata="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rSdL4A&#10;AADcAAAADwAAAAAAAAABACAAAAAiAAAAZHJzL2Rvd25yZXYueG1sUEsBAhQAFAAAAAgAh07iQDMv&#10;BZ47AAAAOQAAABAAAAAAAAAAAQAgAAAADQEAAGRycy9zaGFwZXhtbC54bWxQSwUGAAAAAAYABgBb&#10;AQAAtwMAAAAA&#10;" path="m0,0l1096,0e">
                        <v:fill on="f" focussize="0,0"/>
                        <v:stroke color="#000000" joinstyle="round" endarrow="classic"/>
                        <v:imagedata o:title=""/>
                        <o:lock v:ext="edit" aspectratio="f"/>
                        <v:textbox inset="0mm,0mm,0mm,0mm"/>
                      </v:shape>
                      <v:shape id="任意多边形 66" o:spid="_x0000_s1026" o:spt="100" style="position:absolute;left:6878;top:6657;height:1;width:1134;" filled="f" stroked="t" coordsize="1096,1" o:gfxdata="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lnfvvQAA&#10;ANwAAAAPAAAAAAAAAAEAIAAAACIAAABkcnMvZG93bnJldi54bWxQSwECFAAUAAAACACHTuJAMy8F&#10;njsAAAA5AAAAEAAAAAAAAAABACAAAAAMAQAAZHJzL3NoYXBleG1sLnhtbFBLBQYAAAAABgAGAFsB&#10;AAC2AwAAAAA=&#10;" path="m0,0l1096,0e">
                        <v:fill on="f" focussize="0,0"/>
                        <v:stroke color="#000000" joinstyle="round" endarrow="classic"/>
                        <v:imagedata o:title=""/>
                        <o:lock v:ext="edit" aspectratio="f"/>
                        <v:textbox inset="0mm,0mm,0mm,0mm"/>
                      </v:shape>
                    </v:group>
                  </w:pict>
                </mc:Fallback>
              </mc:AlternateContent>
            </w:r>
          </w:p>
          <w:p w14:paraId="0D23C780">
            <w:pPr>
              <w:widowControl/>
              <w:spacing w:before="120" w:beforeLines="50" w:line="5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4233545</wp:posOffset>
                      </wp:positionH>
                      <wp:positionV relativeFrom="paragraph">
                        <wp:posOffset>90170</wp:posOffset>
                      </wp:positionV>
                      <wp:extent cx="1631950" cy="207645"/>
                      <wp:effectExtent l="0" t="0" r="0" b="0"/>
                      <wp:wrapNone/>
                      <wp:docPr id="102" name="矩形 102"/>
                      <wp:cNvGraphicFramePr/>
                      <a:graphic xmlns:a="http://schemas.openxmlformats.org/drawingml/2006/main">
                        <a:graphicData uri="http://schemas.microsoft.com/office/word/2010/wordprocessingShape">
                          <wps:wsp>
                            <wps:cNvSpPr/>
                            <wps:spPr>
                              <a:xfrm>
                                <a:off x="0" y="0"/>
                                <a:ext cx="1631950" cy="207645"/>
                              </a:xfrm>
                              <a:prstGeom prst="rect">
                                <a:avLst/>
                              </a:prstGeom>
                              <a:noFill/>
                              <a:ln>
                                <a:noFill/>
                              </a:ln>
                            </wps:spPr>
                            <wps:txbx>
                              <w:txbxContent>
                                <w:p w14:paraId="22FCD372">
                                  <w:pPr>
                                    <w:jc w:val="center"/>
                                  </w:pPr>
                                  <w:r>
                                    <w:rPr>
                                      <w:rFonts w:hint="eastAsia" w:hAnsi="宋体"/>
                                      <w:snapToGrid w:val="0"/>
                                      <w:color w:val="000000" w:themeColor="text1"/>
                                      <w:kern w:val="24"/>
                                      <w:szCs w:val="21"/>
                                      <w14:textFill>
                                        <w14:solidFill>
                                          <w14:schemeClr w14:val="tx1"/>
                                        </w14:solidFill>
                                      </w14:textFill>
                                    </w:rPr>
                                    <w:t>固镇县污水处理厂</w:t>
                                  </w:r>
                                </w:p>
                              </w:txbxContent>
                            </wps:txbx>
                            <wps:bodyPr lIns="0" tIns="0" rIns="0" bIns="0" upright="1"/>
                          </wps:wsp>
                        </a:graphicData>
                      </a:graphic>
                    </wp:anchor>
                  </w:drawing>
                </mc:Choice>
                <mc:Fallback>
                  <w:pict>
                    <v:rect id="_x0000_s1026" o:spid="_x0000_s1026" o:spt="1" style="position:absolute;left:0pt;margin-left:333.35pt;margin-top:7.1pt;height:16.35pt;width:128.5pt;z-index:251666432;mso-width-relative:page;mso-height-relative:page;" filled="f" stroked="f" coordsize="21600,21600" o:gfxdata="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YhmhfZAAAACQEAAA8AAAAAAAAAAQAgAAAAIgAAAGRycy9kb3ducmV2LnhtbFBLAQIUABQAAAAI&#10;AIdO4kAN9PrXswEAAGkDAAAOAAAAAAAAAAEAIAAAACgBAABkcnMvZTJvRG9jLnhtbFBLBQYAAAAA&#10;BgAGAFkBAABNBQAAAAA=&#10;">
                      <v:fill on="f" focussize="0,0"/>
                      <v:stroke on="f"/>
                      <v:imagedata o:title=""/>
                      <o:lock v:ext="edit" aspectratio="f"/>
                      <v:textbox inset="0mm,0mm,0mm,0mm">
                        <w:txbxContent>
                          <w:p w14:paraId="22FCD372">
                            <w:pPr>
                              <w:jc w:val="center"/>
                            </w:pPr>
                            <w:r>
                              <w:rPr>
                                <w:rFonts w:hint="eastAsia" w:hAnsi="宋体"/>
                                <w:snapToGrid w:val="0"/>
                                <w:color w:val="000000" w:themeColor="text1"/>
                                <w:kern w:val="24"/>
                                <w:szCs w:val="21"/>
                                <w14:textFill>
                                  <w14:solidFill>
                                    <w14:schemeClr w14:val="tx1"/>
                                  </w14:solidFill>
                                </w14:textFill>
                              </w:rPr>
                              <w:t>固镇县污水处理厂</w:t>
                            </w:r>
                          </w:p>
                        </w:txbxContent>
                      </v:textbox>
                    </v:rect>
                  </w:pict>
                </mc:Fallback>
              </mc:AlternateContent>
            </w:r>
            <w:r>
              <w:rPr>
                <w:rFonts w:ascii="宋体" w:hAnsi="宋体"/>
                <w:b/>
                <w:color w:val="000000" w:themeColor="text1"/>
                <w:szCs w:val="2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5068570</wp:posOffset>
                      </wp:positionH>
                      <wp:positionV relativeFrom="paragraph">
                        <wp:posOffset>328295</wp:posOffset>
                      </wp:positionV>
                      <wp:extent cx="0" cy="302260"/>
                      <wp:effectExtent l="38100" t="0" r="38100" b="2540"/>
                      <wp:wrapNone/>
                      <wp:docPr id="103" name="直接连接符 103"/>
                      <wp:cNvGraphicFramePr/>
                      <a:graphic xmlns:a="http://schemas.openxmlformats.org/drawingml/2006/main">
                        <a:graphicData uri="http://schemas.microsoft.com/office/word/2010/wordprocessingShape">
                          <wps:wsp>
                            <wps:cNvCnPr/>
                            <wps:spPr>
                              <a:xfrm>
                                <a:off x="0" y="0"/>
                                <a:ext cx="0" cy="302260"/>
                              </a:xfrm>
                              <a:prstGeom prst="line">
                                <a:avLst/>
                              </a:prstGeom>
                              <a:ln w="9525" cap="flat" cmpd="sng">
                                <a:solidFill>
                                  <a:srgbClr val="000000"/>
                                </a:solidFill>
                                <a:prstDash val="solid"/>
                                <a:headEnd type="none" w="med" len="med"/>
                                <a:tailEnd type="stealth" w="med" len="med"/>
                              </a:ln>
                            </wps:spPr>
                            <wps:bodyPr/>
                          </wps:wsp>
                        </a:graphicData>
                      </a:graphic>
                    </wp:anchor>
                  </w:drawing>
                </mc:Choice>
                <mc:Fallback>
                  <w:pict>
                    <v:line id="_x0000_s1026" o:spid="_x0000_s1026" o:spt="20" style="position:absolute;left:0pt;margin-left:399.1pt;margin-top:25.85pt;height:23.8pt;width:0pt;z-index:251671552;mso-width-relative:page;mso-height-relative:page;" filled="f" stroked="t" coordsize="21600,21600" o:gfxdata="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18eQtYAAAAJAQAADwAAAAAAAAABACAAAAAiAAAAZHJzL2Rvd25yZXYueG1sUEsBAhQA&#10;FAAAAAgAh07iQLAC7Xf0AQAA3gMAAA4AAAAAAAAAAQAgAAAAJQEAAGRycy9lMm9Eb2MueG1sUEsF&#10;BgAAAAAGAAYAWQEAAIsFAAAAAA==&#10;">
                      <v:fill on="f" focussize="0,0"/>
                      <v:stroke color="#000000" joinstyle="round" endarrow="classic"/>
                      <v:imagedata o:title=""/>
                      <o:lock v:ext="edit" aspectratio="f"/>
                    </v:line>
                  </w:pict>
                </mc:Fallback>
              </mc:AlternateContent>
            </w:r>
            <w:r>
              <w:rPr>
                <w:rFonts w:ascii="宋体" w:hAnsi="宋体"/>
                <w:b/>
                <w:color w:val="000000" w:themeColor="text1"/>
                <w:szCs w:val="21"/>
                <w14:textFill>
                  <w14:solidFill>
                    <w14:schemeClr w14:val="tx1"/>
                  </w14:solidFill>
                </w14:textFill>
              </w:rPr>
              <mc:AlternateContent>
                <mc:Choice Requires="wpg">
                  <w:drawing>
                    <wp:anchor distT="0" distB="0" distL="114300" distR="114300" simplePos="0" relativeHeight="251686912" behindDoc="0" locked="0" layoutInCell="1" allowOverlap="1">
                      <wp:simplePos x="0" y="0"/>
                      <wp:positionH relativeFrom="column">
                        <wp:posOffset>1153795</wp:posOffset>
                      </wp:positionH>
                      <wp:positionV relativeFrom="paragraph">
                        <wp:posOffset>356870</wp:posOffset>
                      </wp:positionV>
                      <wp:extent cx="1736090" cy="645795"/>
                      <wp:effectExtent l="0" t="0" r="0" b="8255"/>
                      <wp:wrapNone/>
                      <wp:docPr id="104" name="组合 104"/>
                      <wp:cNvGraphicFramePr/>
                      <a:graphic xmlns:a="http://schemas.openxmlformats.org/drawingml/2006/main">
                        <a:graphicData uri="http://schemas.microsoft.com/office/word/2010/wordprocessingGroup">
                          <wpg:wgp>
                            <wpg:cNvGrpSpPr/>
                            <wpg:grpSpPr>
                              <a:xfrm>
                                <a:off x="0" y="0"/>
                                <a:ext cx="1736090" cy="645795"/>
                                <a:chOff x="3185" y="7609"/>
                                <a:chExt cx="2734" cy="1017"/>
                              </a:xfrm>
                            </wpg:grpSpPr>
                            <wpg:grpSp>
                              <wpg:cNvPr id="106" name="组合 76"/>
                              <wpg:cNvGrpSpPr/>
                              <wpg:grpSpPr>
                                <a:xfrm>
                                  <a:off x="3185" y="7609"/>
                                  <a:ext cx="2734" cy="1017"/>
                                  <a:chOff x="3185" y="7609"/>
                                  <a:chExt cx="2734" cy="1017"/>
                                </a:xfrm>
                              </wpg:grpSpPr>
                              <wps:wsp>
                                <wps:cNvPr id="107" name="矩形 71"/>
                                <wps:cNvSpPr/>
                                <wps:spPr>
                                  <a:xfrm>
                                    <a:off x="5210" y="7609"/>
                                    <a:ext cx="709" cy="379"/>
                                  </a:xfrm>
                                  <a:prstGeom prst="rect">
                                    <a:avLst/>
                                  </a:prstGeom>
                                  <a:noFill/>
                                  <a:ln>
                                    <a:noFill/>
                                  </a:ln>
                                </wps:spPr>
                                <wps:txbx>
                                  <w:txbxContent>
                                    <w:p w14:paraId="6E440C23">
                                      <w:pPr>
                                        <w:spacing w:line="300" w:lineRule="exact"/>
                                        <w:jc w:val="center"/>
                                        <w:rPr>
                                          <w:rFonts w:ascii="宋体" w:hAnsi="宋体"/>
                                          <w:kern w:val="24"/>
                                          <w:szCs w:val="21"/>
                                        </w:rPr>
                                      </w:pPr>
                                      <w:r>
                                        <w:rPr>
                                          <w:rFonts w:hint="eastAsia" w:ascii="宋体" w:hAnsi="宋体"/>
                                          <w:kern w:val="24"/>
                                          <w:szCs w:val="21"/>
                                        </w:rPr>
                                        <w:t>0.72</w:t>
                                      </w:r>
                                    </w:p>
                                  </w:txbxContent>
                                </wps:txbx>
                                <wps:bodyPr lIns="0" tIns="0" rIns="0" bIns="0" upright="1"/>
                              </wps:wsp>
                              <wpg:grpSp>
                                <wpg:cNvPr id="108" name="组合 75"/>
                                <wpg:cNvGrpSpPr/>
                                <wpg:grpSpPr>
                                  <a:xfrm>
                                    <a:off x="3185" y="7996"/>
                                    <a:ext cx="2564" cy="630"/>
                                    <a:chOff x="3185" y="7996"/>
                                    <a:chExt cx="2564" cy="630"/>
                                  </a:xfrm>
                                </wpg:grpSpPr>
                                <wps:wsp>
                                  <wps:cNvPr id="109" name="文本框 72"/>
                                  <wps:cNvSpPr txBox="1"/>
                                  <wps:spPr>
                                    <a:xfrm>
                                      <a:off x="4286" y="8223"/>
                                      <a:ext cx="1463" cy="403"/>
                                    </a:xfrm>
                                    <a:prstGeom prst="rect">
                                      <a:avLst/>
                                    </a:prstGeom>
                                    <a:solidFill>
                                      <a:srgbClr val="FFFFFF"/>
                                    </a:solidFill>
                                    <a:ln w="9525" cap="flat" cmpd="sng">
                                      <a:solidFill>
                                        <a:srgbClr val="000000"/>
                                      </a:solidFill>
                                      <a:prstDash val="solid"/>
                                      <a:miter/>
                                      <a:headEnd type="none" w="med" len="med"/>
                                      <a:tailEnd type="none" w="med" len="lg"/>
                                    </a:ln>
                                  </wps:spPr>
                                  <wps:txbx>
                                    <w:txbxContent>
                                      <w:p w14:paraId="65ADB066">
                                        <w:pPr>
                                          <w:spacing w:line="300" w:lineRule="exact"/>
                                          <w:jc w:val="center"/>
                                          <w:rPr>
                                            <w:rFonts w:ascii="宋体" w:hAnsi="宋体"/>
                                            <w:kern w:val="24"/>
                                            <w:szCs w:val="21"/>
                                          </w:rPr>
                                        </w:pPr>
                                        <w:r>
                                          <w:rPr>
                                            <w:rFonts w:hint="eastAsia" w:ascii="宋体" w:hAnsi="宋体"/>
                                            <w:kern w:val="24"/>
                                            <w:szCs w:val="21"/>
                                          </w:rPr>
                                          <w:t>绿化用水</w:t>
                                        </w:r>
                                      </w:p>
                                      <w:p w14:paraId="5355234D">
                                        <w:pPr>
                                          <w:spacing w:line="340" w:lineRule="exact"/>
                                          <w:jc w:val="center"/>
                                          <w:rPr>
                                            <w:szCs w:val="21"/>
                                          </w:rPr>
                                        </w:pPr>
                                      </w:p>
                                    </w:txbxContent>
                                  </wps:txbx>
                                  <wps:bodyPr lIns="0" tIns="0" rIns="0" bIns="0" upright="1"/>
                                </wps:wsp>
                                <wps:wsp>
                                  <wps:cNvPr id="110" name="任意多边形 73"/>
                                  <wps:cNvSpPr/>
                                  <wps:spPr>
                                    <a:xfrm rot="-904115">
                                      <a:off x="4845" y="7996"/>
                                      <a:ext cx="516" cy="162"/>
                                    </a:xfrm>
                                    <a:custGeom>
                                      <a:avLst/>
                                      <a:gdLst/>
                                      <a:ahLst/>
                                      <a:cxnLst/>
                                      <a:rect l="0" t="0" r="0" b="0"/>
                                      <a:pathLst>
                                        <a:path w="5120" h="2525">
                                          <a:moveTo>
                                            <a:pt x="0" y="2525"/>
                                          </a:moveTo>
                                          <a:cubicBezTo>
                                            <a:pt x="1146" y="1557"/>
                                            <a:pt x="2293" y="589"/>
                                            <a:pt x="2720" y="505"/>
                                          </a:cubicBezTo>
                                          <a:cubicBezTo>
                                            <a:pt x="3147" y="421"/>
                                            <a:pt x="2160" y="2104"/>
                                            <a:pt x="2560" y="2020"/>
                                          </a:cubicBezTo>
                                          <a:cubicBezTo>
                                            <a:pt x="2960" y="1936"/>
                                            <a:pt x="4040" y="968"/>
                                            <a:pt x="5120" y="0"/>
                                          </a:cubicBezTo>
                                        </a:path>
                                      </a:pathLst>
                                    </a:custGeom>
                                    <a:noFill/>
                                    <a:ln w="9525" cap="flat" cmpd="sng">
                                      <a:solidFill>
                                        <a:srgbClr val="000000">
                                          <a:alpha val="100000"/>
                                        </a:srgbClr>
                                      </a:solidFill>
                                      <a:prstDash val="solid"/>
                                      <a:headEnd type="none" w="med" len="med"/>
                                      <a:tailEnd type="stealth" w="sm" len="med"/>
                                    </a:ln>
                                  </wps:spPr>
                                  <wps:bodyPr upright="1"/>
                                </wps:wsp>
                                <wps:wsp>
                                  <wps:cNvPr id="111" name="任意多边形 74"/>
                                  <wps:cNvSpPr/>
                                  <wps:spPr>
                                    <a:xfrm>
                                      <a:off x="3185" y="8415"/>
                                      <a:ext cx="1096" cy="1"/>
                                    </a:xfrm>
                                    <a:custGeom>
                                      <a:avLst/>
                                      <a:gdLst/>
                                      <a:ahLst/>
                                      <a:cxnLst/>
                                      <a:rect l="0" t="0" r="0" b="0"/>
                                      <a:pathLst>
                                        <a:path w="1096" h="1">
                                          <a:moveTo>
                                            <a:pt x="0" y="0"/>
                                          </a:moveTo>
                                          <a:lnTo>
                                            <a:pt x="1096" y="0"/>
                                          </a:lnTo>
                                        </a:path>
                                      </a:pathLst>
                                    </a:custGeom>
                                    <a:noFill/>
                                    <a:ln w="9525" cap="flat" cmpd="sng">
                                      <a:solidFill>
                                        <a:srgbClr val="000000"/>
                                      </a:solidFill>
                                      <a:prstDash val="solid"/>
                                      <a:headEnd type="none" w="med" len="med"/>
                                      <a:tailEnd type="stealth" w="med" len="med"/>
                                    </a:ln>
                                  </wps:spPr>
                                  <wps:bodyPr lIns="0" tIns="0" rIns="0" bIns="0" upright="1"/>
                                </wps:wsp>
                              </wpg:grpSp>
                            </wpg:grpSp>
                            <wps:wsp>
                              <wps:cNvPr id="112" name="矩形 77"/>
                              <wps:cNvSpPr/>
                              <wps:spPr>
                                <a:xfrm>
                                  <a:off x="3398" y="8051"/>
                                  <a:ext cx="709" cy="379"/>
                                </a:xfrm>
                                <a:prstGeom prst="rect">
                                  <a:avLst/>
                                </a:prstGeom>
                                <a:noFill/>
                                <a:ln>
                                  <a:noFill/>
                                </a:ln>
                              </wps:spPr>
                              <wps:txbx>
                                <w:txbxContent>
                                  <w:p w14:paraId="7AAB09BA">
                                    <w:pPr>
                                      <w:spacing w:line="300" w:lineRule="exact"/>
                                      <w:jc w:val="center"/>
                                      <w:rPr>
                                        <w:rFonts w:ascii="宋体" w:hAnsi="宋体"/>
                                        <w:kern w:val="24"/>
                                        <w:szCs w:val="21"/>
                                      </w:rPr>
                                    </w:pPr>
                                    <w:r>
                                      <w:rPr>
                                        <w:rFonts w:hint="eastAsia" w:ascii="宋体" w:hAnsi="宋体"/>
                                        <w:kern w:val="24"/>
                                        <w:szCs w:val="21"/>
                                      </w:rPr>
                                      <w:t>0.72</w:t>
                                    </w:r>
                                  </w:p>
                                </w:txbxContent>
                              </wps:txbx>
                              <wps:bodyPr lIns="0" tIns="0" rIns="0" bIns="0" upright="1"/>
                            </wps:wsp>
                          </wpg:wgp>
                        </a:graphicData>
                      </a:graphic>
                    </wp:anchor>
                  </w:drawing>
                </mc:Choice>
                <mc:Fallback>
                  <w:pict>
                    <v:group id="_x0000_s1026" o:spid="_x0000_s1026" o:spt="203" style="position:absolute;left:0pt;margin-left:90.85pt;margin-top:28.1pt;height:50.85pt;width:136.7pt;z-index:251686912;mso-width-relative:page;mso-height-relative:page;" coordorigin="3185,7609" coordsize="2734,1017" o:gfxdata="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">
                      <o:lock v:ext="edit" aspectratio="f"/>
                      <v:group id="组合 76" o:spid="_x0000_s1026" o:spt="203" style="position:absolute;left:3185;top:7609;height:1017;width:2734;" coordorigin="3185,7609" coordsize="2734,1017"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rect id="矩形 71" o:spid="_x0000_s1026" o:spt="1" style="position:absolute;left:5210;top:7609;height:379;width:709;" filled="f" stroked="f" coordsize="21600,21600" o:gfxdata="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jHOz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E440C23">
                                <w:pPr>
                                  <w:spacing w:line="300" w:lineRule="exact"/>
                                  <w:jc w:val="center"/>
                                  <w:rPr>
                                    <w:rFonts w:ascii="宋体" w:hAnsi="宋体"/>
                                    <w:kern w:val="24"/>
                                    <w:szCs w:val="21"/>
                                  </w:rPr>
                                </w:pPr>
                                <w:r>
                                  <w:rPr>
                                    <w:rFonts w:hint="eastAsia" w:ascii="宋体" w:hAnsi="宋体"/>
                                    <w:kern w:val="24"/>
                                    <w:szCs w:val="21"/>
                                  </w:rPr>
                                  <w:t>0.72</w:t>
                                </w:r>
                              </w:p>
                            </w:txbxContent>
                          </v:textbox>
                        </v:rect>
                        <v:group id="组合 75" o:spid="_x0000_s1026" o:spt="203" style="position:absolute;left:3185;top:7996;height:630;width:2564;" coordorigin="3185,7996" coordsize="2564,630"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shape id="文本框 72" o:spid="_x0000_s1026" o:spt="202" type="#_x0000_t202" style="position:absolute;left:4286;top:8223;height:403;width:1463;" fillcolor="#FFFFFF" filled="t" stroked="t" coordsize="21600,21600" o:gfxdata="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o8iSvQAA&#10;ANwAAAAPAAAAAAAAAAEAIAAAACIAAABkcnMvZG93bnJldi54bWxQSwECFAAUAAAACACHTuJAMy8F&#10;njsAAAA5AAAAEAAAAAAAAAABACAAAAAMAQAAZHJzL3NoYXBleG1sLnhtbFBLBQYAAAAABgAGAFsB&#10;AAC2AwAAAAA=&#10;">
                            <v:fill on="t" focussize="0,0"/>
                            <v:stroke color="#000000" joinstyle="miter" endarrowlength="long"/>
                            <v:imagedata o:title=""/>
                            <o:lock v:ext="edit" aspectratio="f"/>
                            <v:textbox inset="0mm,0mm,0mm,0mm">
                              <w:txbxContent>
                                <w:p w14:paraId="65ADB066">
                                  <w:pPr>
                                    <w:spacing w:line="300" w:lineRule="exact"/>
                                    <w:jc w:val="center"/>
                                    <w:rPr>
                                      <w:rFonts w:ascii="宋体" w:hAnsi="宋体"/>
                                      <w:kern w:val="24"/>
                                      <w:szCs w:val="21"/>
                                    </w:rPr>
                                  </w:pPr>
                                  <w:r>
                                    <w:rPr>
                                      <w:rFonts w:hint="eastAsia" w:ascii="宋体" w:hAnsi="宋体"/>
                                      <w:kern w:val="24"/>
                                      <w:szCs w:val="21"/>
                                    </w:rPr>
                                    <w:t>绿化用水</w:t>
                                  </w:r>
                                </w:p>
                                <w:p w14:paraId="5355234D">
                                  <w:pPr>
                                    <w:spacing w:line="340" w:lineRule="exact"/>
                                    <w:jc w:val="center"/>
                                    <w:rPr>
                                      <w:szCs w:val="21"/>
                                    </w:rPr>
                                  </w:pPr>
                                </w:p>
                              </w:txbxContent>
                            </v:textbox>
                          </v:shape>
                          <v:shape id="任意多边形 73" o:spid="_x0000_s1026" o:spt="100" style="position:absolute;left:4845;top:7996;height:162;width:516;rotation:-987535f;" filled="f" stroked="t" coordsize="5120,2525" o:gfxdata="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vS3C/&#10;AAAA3AAAAA8AAAAAAAAAAQAgAAAAIgAAAGRycy9kb3ducmV2LnhtbFBLAQIUABQAAAAIAIdO4kAz&#10;LwWeOwAAADkAAAAQAAAAAAAAAAEAIAAAAA4BAABkcnMvc2hhcGV4bWwueG1sUEsFBgAAAAAGAAYA&#10;WwEAALgDAAAAAA==&#10;" path="m0,2525c1146,1557,2293,589,2720,505c3147,421,2160,2104,2560,2020c2960,1936,4040,968,5120,0e">
                            <v:fill on="f" focussize="0,0"/>
                            <v:stroke color="#000000" joinstyle="round" endarrow="classic" endarrowwidth="narrow"/>
                            <v:imagedata o:title=""/>
                            <o:lock v:ext="edit" aspectratio="f"/>
                          </v:shape>
                          <v:shape id="任意多边形 74" o:spid="_x0000_s1026" o:spt="100" style="position:absolute;left:3185;top:8415;height:1;width:1096;" filled="f" stroked="t" coordsize="1096,1" o:gfxdata="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P4TK8AAAA&#10;3AAAAA8AAAAAAAAAAQAgAAAAIgAAAGRycy9kb3ducmV2LnhtbFBLAQIUABQAAAAIAIdO4kAzLwWe&#10;OwAAADkAAAAQAAAAAAAAAAEAIAAAAAsBAABkcnMvc2hhcGV4bWwueG1sUEsFBgAAAAAGAAYAWwEA&#10;ALUDAAAAAA==&#10;" path="m0,0l1096,0e">
                            <v:fill on="f" focussize="0,0"/>
                            <v:stroke color="#000000" joinstyle="round" endarrow="classic"/>
                            <v:imagedata o:title=""/>
                            <o:lock v:ext="edit" aspectratio="f"/>
                            <v:textbox inset="0mm,0mm,0mm,0mm"/>
                          </v:shape>
                        </v:group>
                      </v:group>
                      <v:rect id="矩形 77" o:spid="_x0000_s1026" o:spt="1" style="position:absolute;left:3398;top:8051;height:379;width:709;" filled="f" stroked="f" coordsize="21600,21600" o:gfxdata="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Ikb2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7AAB09BA">
                              <w:pPr>
                                <w:spacing w:line="300" w:lineRule="exact"/>
                                <w:jc w:val="center"/>
                                <w:rPr>
                                  <w:rFonts w:ascii="宋体" w:hAnsi="宋体"/>
                                  <w:kern w:val="24"/>
                                  <w:szCs w:val="21"/>
                                </w:rPr>
                              </w:pPr>
                              <w:r>
                                <w:rPr>
                                  <w:rFonts w:hint="eastAsia" w:ascii="宋体" w:hAnsi="宋体"/>
                                  <w:kern w:val="24"/>
                                  <w:szCs w:val="21"/>
                                </w:rPr>
                                <w:t>0.72</w:t>
                              </w:r>
                            </w:p>
                          </w:txbxContent>
                        </v:textbox>
                      </v:rect>
                    </v:group>
                  </w:pict>
                </mc:Fallback>
              </mc:AlternateContent>
            </w:r>
          </w:p>
          <w:p w14:paraId="30A9288E">
            <w:pPr>
              <w:widowControl/>
              <w:spacing w:before="120" w:beforeLines="50" w:line="500" w:lineRule="exact"/>
              <w:rPr>
                <w:rFonts w:ascii="宋体" w:hAnsi="宋体"/>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4531995</wp:posOffset>
                      </wp:positionH>
                      <wp:positionV relativeFrom="paragraph">
                        <wp:posOffset>238125</wp:posOffset>
                      </wp:positionV>
                      <wp:extent cx="1095375" cy="320040"/>
                      <wp:effectExtent l="0" t="0" r="0" b="0"/>
                      <wp:wrapNone/>
                      <wp:docPr id="113" name="矩形 113"/>
                      <wp:cNvGraphicFramePr/>
                      <a:graphic xmlns:a="http://schemas.openxmlformats.org/drawingml/2006/main">
                        <a:graphicData uri="http://schemas.microsoft.com/office/word/2010/wordprocessingShape">
                          <wps:wsp>
                            <wps:cNvSpPr/>
                            <wps:spPr>
                              <a:xfrm>
                                <a:off x="0" y="0"/>
                                <a:ext cx="1095375" cy="320040"/>
                              </a:xfrm>
                              <a:prstGeom prst="rect">
                                <a:avLst/>
                              </a:prstGeom>
                              <a:noFill/>
                              <a:ln>
                                <a:noFill/>
                              </a:ln>
                            </wps:spPr>
                            <wps:txbx>
                              <w:txbxContent>
                                <w:p w14:paraId="561B1C8A">
                                  <w:pPr>
                                    <w:jc w:val="center"/>
                                  </w:pPr>
                                  <w:r>
                                    <w:rPr>
                                      <w:rFonts w:hint="eastAsia"/>
                                    </w:rPr>
                                    <w:t>浍河</w:t>
                                  </w:r>
                                </w:p>
                              </w:txbxContent>
                            </wps:txbx>
                            <wps:bodyPr lIns="0" tIns="0" rIns="0" bIns="0" upright="1"/>
                          </wps:wsp>
                        </a:graphicData>
                      </a:graphic>
                    </wp:anchor>
                  </w:drawing>
                </mc:Choice>
                <mc:Fallback>
                  <w:pict>
                    <v:rect id="_x0000_s1026" o:spid="_x0000_s1026" o:spt="1" style="position:absolute;left:0pt;margin-left:356.85pt;margin-top:18.75pt;height:25.2pt;width:86.25pt;z-index:251672576;mso-width-relative:page;mso-height-relative:page;" filled="f" stroked="f" coordsize="21600,21600" o:gfxdata="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MV3JS2gAAAAkBAAAPAAAAAAAAAAEAIAAAACIAAABkcnMvZG93bnJldi54bWxQSwECFAAUAAAA&#10;CACHTuJAN9EyzbMBAABpAwAADgAAAAAAAAABACAAAAApAQAAZHJzL2Uyb0RvYy54bWxQSwUGAAAA&#10;AAYABgBZAQAATgUAAAAA&#10;">
                      <v:fill on="f" focussize="0,0"/>
                      <v:stroke on="f"/>
                      <v:imagedata o:title=""/>
                      <o:lock v:ext="edit" aspectratio="f"/>
                      <v:textbox inset="0mm,0mm,0mm,0mm">
                        <w:txbxContent>
                          <w:p w14:paraId="561B1C8A">
                            <w:pPr>
                              <w:jc w:val="center"/>
                            </w:pPr>
                            <w:r>
                              <w:rPr>
                                <w:rFonts w:hint="eastAsia"/>
                              </w:rPr>
                              <w:t>浍河</w:t>
                            </w:r>
                          </w:p>
                        </w:txbxContent>
                      </v:textbox>
                    </v:rect>
                  </w:pict>
                </mc:Fallback>
              </mc:AlternateContent>
            </w:r>
          </w:p>
          <w:p w14:paraId="6485AC1F">
            <w:pPr>
              <w:widowControl/>
              <w:spacing w:before="120" w:beforeLines="50" w:line="500" w:lineRule="exact"/>
              <w:jc w:val="center"/>
              <w:rPr>
                <w:rFonts w:ascii="宋体" w:hAnsi="宋体"/>
                <w:b/>
                <w:color w:val="000000" w:themeColor="text1"/>
                <w:kern w:val="24"/>
                <w:sz w:val="24"/>
                <w:szCs w:val="20"/>
                <w14:textFill>
                  <w14:solidFill>
                    <w14:schemeClr w14:val="tx1"/>
                  </w14:solidFill>
                </w14:textFill>
              </w:rPr>
            </w:pPr>
          </w:p>
          <w:p w14:paraId="7729079C">
            <w:pPr>
              <w:widowControl/>
              <w:spacing w:before="120" w:beforeLines="50" w:line="500" w:lineRule="exact"/>
              <w:jc w:val="center"/>
              <w:rPr>
                <w:rFonts w:ascii="宋体" w:hAnsi="宋体"/>
                <w:color w:val="000000" w:themeColor="text1"/>
                <w:kern w:val="24"/>
                <w:szCs w:val="21"/>
                <w14:textFill>
                  <w14:solidFill>
                    <w14:schemeClr w14:val="tx1"/>
                  </w14:solidFill>
                </w14:textFill>
              </w:rPr>
            </w:pPr>
            <w:r>
              <w:rPr>
                <w:rFonts w:ascii="宋体" w:hAnsi="宋体"/>
                <w:b/>
                <w:color w:val="000000" w:themeColor="text1"/>
                <w:kern w:val="24"/>
                <w:sz w:val="24"/>
                <w:szCs w:val="20"/>
                <w14:textFill>
                  <w14:solidFill>
                    <w14:schemeClr w14:val="tx1"/>
                  </w14:solidFill>
                </w14:textFill>
              </w:rPr>
              <w:t>图</w:t>
            </w:r>
            <w:r>
              <w:rPr>
                <w:rFonts w:hint="eastAsia" w:ascii="宋体" w:hAnsi="宋体"/>
                <w:b/>
                <w:color w:val="000000" w:themeColor="text1"/>
                <w:kern w:val="24"/>
                <w:sz w:val="24"/>
                <w:szCs w:val="20"/>
                <w14:textFill>
                  <w14:solidFill>
                    <w14:schemeClr w14:val="tx1"/>
                  </w14:solidFill>
                </w14:textFill>
              </w:rPr>
              <w:t>4-1</w:t>
            </w:r>
            <w:r>
              <w:rPr>
                <w:rFonts w:ascii="宋体" w:hAnsi="宋体"/>
                <w:b/>
                <w:color w:val="000000" w:themeColor="text1"/>
                <w:kern w:val="24"/>
                <w:sz w:val="24"/>
                <w:szCs w:val="20"/>
                <w14:textFill>
                  <w14:solidFill>
                    <w14:schemeClr w14:val="tx1"/>
                  </w14:solidFill>
                </w14:textFill>
              </w:rPr>
              <w:t xml:space="preserve">    </w:t>
            </w:r>
            <w:r>
              <w:rPr>
                <w:rFonts w:hint="eastAsia" w:ascii="宋体" w:hAnsi="宋体"/>
                <w:b/>
                <w:color w:val="000000" w:themeColor="text1"/>
                <w:kern w:val="24"/>
                <w:sz w:val="24"/>
                <w:szCs w:val="20"/>
                <w14:textFill>
                  <w14:solidFill>
                    <w14:schemeClr w14:val="tx1"/>
                  </w14:solidFill>
                </w14:textFill>
              </w:rPr>
              <w:t>水</w:t>
            </w:r>
            <w:r>
              <w:rPr>
                <w:rFonts w:ascii="宋体" w:hAnsi="宋体"/>
                <w:b/>
                <w:color w:val="000000" w:themeColor="text1"/>
                <w:kern w:val="24"/>
                <w:sz w:val="24"/>
                <w:szCs w:val="20"/>
                <w14:textFill>
                  <w14:solidFill>
                    <w14:schemeClr w14:val="tx1"/>
                  </w14:solidFill>
                </w14:textFill>
              </w:rPr>
              <w:t>平衡图（m</w:t>
            </w:r>
            <w:r>
              <w:rPr>
                <w:rFonts w:ascii="宋体" w:hAnsi="宋体"/>
                <w:b/>
                <w:color w:val="000000" w:themeColor="text1"/>
                <w:kern w:val="24"/>
                <w:sz w:val="24"/>
                <w:szCs w:val="20"/>
                <w:vertAlign w:val="superscript"/>
                <w14:textFill>
                  <w14:solidFill>
                    <w14:schemeClr w14:val="tx1"/>
                  </w14:solidFill>
                </w14:textFill>
              </w:rPr>
              <w:t>3</w:t>
            </w:r>
            <w:r>
              <w:rPr>
                <w:rFonts w:ascii="宋体" w:hAnsi="宋体"/>
                <w:b/>
                <w:color w:val="000000" w:themeColor="text1"/>
                <w:kern w:val="24"/>
                <w:sz w:val="24"/>
                <w:szCs w:val="20"/>
                <w14:textFill>
                  <w14:solidFill>
                    <w14:schemeClr w14:val="tx1"/>
                  </w14:solidFill>
                </w14:textFill>
              </w:rPr>
              <w:t>/</w:t>
            </w:r>
            <w:r>
              <w:rPr>
                <w:rFonts w:hint="eastAsia" w:ascii="宋体" w:hAnsi="宋体"/>
                <w:b/>
                <w:color w:val="000000" w:themeColor="text1"/>
                <w:kern w:val="24"/>
                <w:sz w:val="24"/>
                <w:szCs w:val="20"/>
                <w14:textFill>
                  <w14:solidFill>
                    <w14:schemeClr w14:val="tx1"/>
                  </w14:solidFill>
                </w14:textFill>
              </w:rPr>
              <w:t>d</w:t>
            </w:r>
            <w:r>
              <w:rPr>
                <w:rFonts w:ascii="宋体" w:hAnsi="宋体"/>
                <w:b/>
                <w:color w:val="000000" w:themeColor="text1"/>
                <w:kern w:val="24"/>
                <w:sz w:val="24"/>
                <w:szCs w:val="20"/>
                <w14:textFill>
                  <w14:solidFill>
                    <w14:schemeClr w14:val="tx1"/>
                  </w14:solidFill>
                </w14:textFill>
              </w:rPr>
              <w:t>）</w:t>
            </w:r>
          </w:p>
          <w:p w14:paraId="7C15F084">
            <w:pPr>
              <w:spacing w:line="500" w:lineRule="exact"/>
              <w:ind w:firstLine="480" w:firstLineChars="200"/>
              <w:rPr>
                <w:color w:val="000000" w:themeColor="text1"/>
                <w:kern w:val="28"/>
                <w:sz w:val="24"/>
                <w14:textFill>
                  <w14:solidFill>
                    <w14:schemeClr w14:val="tx1"/>
                  </w14:solidFill>
                </w14:textFill>
              </w:rPr>
            </w:pPr>
            <w:r>
              <w:rPr>
                <w:color w:val="000000" w:themeColor="text1"/>
                <w:kern w:val="28"/>
                <w:sz w:val="24"/>
                <w14:textFill>
                  <w14:solidFill>
                    <w14:schemeClr w14:val="tx1"/>
                  </w14:solidFill>
                </w14:textFill>
              </w:rPr>
              <w:t>本项目废水产生</w:t>
            </w:r>
            <w:r>
              <w:rPr>
                <w:rFonts w:hint="eastAsia"/>
                <w:color w:val="000000" w:themeColor="text1"/>
                <w:kern w:val="28"/>
                <w:sz w:val="24"/>
                <w14:textFill>
                  <w14:solidFill>
                    <w14:schemeClr w14:val="tx1"/>
                  </w14:solidFill>
                </w14:textFill>
              </w:rPr>
              <w:t>及排放</w:t>
            </w:r>
            <w:r>
              <w:rPr>
                <w:color w:val="000000" w:themeColor="text1"/>
                <w:kern w:val="28"/>
                <w:sz w:val="24"/>
                <w14:textFill>
                  <w14:solidFill>
                    <w14:schemeClr w14:val="tx1"/>
                  </w14:solidFill>
                </w14:textFill>
              </w:rPr>
              <w:t>情况见下表：</w:t>
            </w:r>
          </w:p>
          <w:p w14:paraId="70B8FA1A">
            <w:pPr>
              <w:spacing w:line="500" w:lineRule="exact"/>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8</w:t>
            </w:r>
            <w:r>
              <w:rPr>
                <w:b/>
                <w:color w:val="000000" w:themeColor="text1"/>
                <w:sz w:val="24"/>
                <w14:textFill>
                  <w14:solidFill>
                    <w14:schemeClr w14:val="tx1"/>
                  </w14:solidFill>
                </w14:textFill>
              </w:rPr>
              <w:t xml:space="preserve">   项目废水产生及排放情况一览表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1217"/>
              <w:gridCol w:w="2080"/>
              <w:gridCol w:w="1217"/>
              <w:gridCol w:w="1358"/>
              <w:gridCol w:w="1206"/>
              <w:gridCol w:w="1397"/>
            </w:tblGrid>
            <w:tr w14:paraId="136E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4" w:type="pct"/>
                  <w:gridSpan w:val="3"/>
                  <w:vAlign w:val="center"/>
                </w:tcPr>
                <w:p w14:paraId="035FA4EB">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污染物名称</w:t>
                  </w:r>
                </w:p>
              </w:tc>
              <w:tc>
                <w:tcPr>
                  <w:tcW w:w="650" w:type="pct"/>
                  <w:vAlign w:val="center"/>
                </w:tcPr>
                <w:p w14:paraId="07468D63">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COD</w:t>
                  </w:r>
                </w:p>
              </w:tc>
              <w:tc>
                <w:tcPr>
                  <w:tcW w:w="725" w:type="pct"/>
                  <w:vAlign w:val="center"/>
                </w:tcPr>
                <w:p w14:paraId="38AAC36A">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SS</w:t>
                  </w:r>
                </w:p>
              </w:tc>
              <w:tc>
                <w:tcPr>
                  <w:tcW w:w="644" w:type="pct"/>
                  <w:vAlign w:val="center"/>
                </w:tcPr>
                <w:p w14:paraId="0A17990C">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NH</w:t>
                  </w:r>
                  <w:r>
                    <w:rPr>
                      <w:color w:val="000000" w:themeColor="text1"/>
                      <w:kern w:val="24"/>
                      <w:szCs w:val="21"/>
                      <w:vertAlign w:val="subscript"/>
                      <w14:textFill>
                        <w14:solidFill>
                          <w14:schemeClr w14:val="tx1"/>
                        </w14:solidFill>
                      </w14:textFill>
                    </w:rPr>
                    <w:t>3</w:t>
                  </w:r>
                  <w:r>
                    <w:rPr>
                      <w:color w:val="000000" w:themeColor="text1"/>
                      <w:kern w:val="24"/>
                      <w:szCs w:val="21"/>
                      <w14:textFill>
                        <w14:solidFill>
                          <w14:schemeClr w14:val="tx1"/>
                        </w14:solidFill>
                      </w14:textFill>
                    </w:rPr>
                    <w:t>-N</w:t>
                  </w:r>
                </w:p>
              </w:tc>
              <w:tc>
                <w:tcPr>
                  <w:tcW w:w="746" w:type="pct"/>
                  <w:vAlign w:val="center"/>
                </w:tcPr>
                <w:p w14:paraId="4657052D">
                  <w:pPr>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石油类</w:t>
                  </w:r>
                </w:p>
              </w:tc>
            </w:tr>
            <w:tr w14:paraId="3746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pct"/>
                  <w:vMerge w:val="restart"/>
                  <w:vAlign w:val="center"/>
                </w:tcPr>
                <w:p w14:paraId="0CC373C1">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生活</w:t>
                  </w:r>
                </w:p>
                <w:p w14:paraId="413C5967">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污水</w:t>
                  </w:r>
                </w:p>
              </w:tc>
              <w:tc>
                <w:tcPr>
                  <w:tcW w:w="650" w:type="pct"/>
                  <w:vAlign w:val="center"/>
                </w:tcPr>
                <w:p w14:paraId="433E974A">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废水量</w:t>
                  </w:r>
                </w:p>
              </w:tc>
              <w:tc>
                <w:tcPr>
                  <w:tcW w:w="1110" w:type="pct"/>
                  <w:vAlign w:val="center"/>
                </w:tcPr>
                <w:p w14:paraId="533EC7A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产生浓度（mg/L）</w:t>
                  </w:r>
                </w:p>
              </w:tc>
              <w:tc>
                <w:tcPr>
                  <w:tcW w:w="650" w:type="pct"/>
                  <w:vAlign w:val="center"/>
                </w:tcPr>
                <w:p w14:paraId="2A7F10D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r>
                    <w:rPr>
                      <w:color w:val="000000" w:themeColor="text1"/>
                      <w:szCs w:val="21"/>
                      <w14:textFill>
                        <w14:solidFill>
                          <w14:schemeClr w14:val="tx1"/>
                        </w14:solidFill>
                      </w14:textFill>
                    </w:rPr>
                    <w:t xml:space="preserve"> </w:t>
                  </w:r>
                </w:p>
              </w:tc>
              <w:tc>
                <w:tcPr>
                  <w:tcW w:w="725" w:type="pct"/>
                  <w:vAlign w:val="center"/>
                </w:tcPr>
                <w:p w14:paraId="67B6C00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00</w:t>
                  </w:r>
                </w:p>
              </w:tc>
              <w:tc>
                <w:tcPr>
                  <w:tcW w:w="644" w:type="pct"/>
                  <w:vAlign w:val="center"/>
                </w:tcPr>
                <w:p w14:paraId="68F1D34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746" w:type="pct"/>
                  <w:vAlign w:val="center"/>
                </w:tcPr>
                <w:p w14:paraId="2042A1C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5A04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pct"/>
                  <w:vMerge w:val="continue"/>
                  <w:vAlign w:val="center"/>
                </w:tcPr>
                <w:p w14:paraId="1F37B4F9">
                  <w:pPr>
                    <w:jc w:val="center"/>
                    <w:rPr>
                      <w:color w:val="000000" w:themeColor="text1"/>
                      <w:kern w:val="24"/>
                      <w:szCs w:val="21"/>
                      <w14:textFill>
                        <w14:solidFill>
                          <w14:schemeClr w14:val="tx1"/>
                        </w14:solidFill>
                      </w14:textFill>
                    </w:rPr>
                  </w:pPr>
                </w:p>
              </w:tc>
              <w:tc>
                <w:tcPr>
                  <w:tcW w:w="650" w:type="pct"/>
                  <w:vMerge w:val="restart"/>
                  <w:vAlign w:val="center"/>
                </w:tcPr>
                <w:p w14:paraId="372680B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775.7</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1110" w:type="pct"/>
                  <w:vAlign w:val="center"/>
                </w:tcPr>
                <w:p w14:paraId="5B2582B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产生量（t/a）</w:t>
                  </w:r>
                </w:p>
              </w:tc>
              <w:tc>
                <w:tcPr>
                  <w:tcW w:w="650" w:type="pct"/>
                  <w:vAlign w:val="center"/>
                </w:tcPr>
                <w:p w14:paraId="49138456">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23</w:t>
                  </w:r>
                </w:p>
              </w:tc>
              <w:tc>
                <w:tcPr>
                  <w:tcW w:w="725" w:type="pct"/>
                  <w:vAlign w:val="center"/>
                </w:tcPr>
                <w:p w14:paraId="0CC8AE6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16</w:t>
                  </w:r>
                </w:p>
              </w:tc>
              <w:tc>
                <w:tcPr>
                  <w:tcW w:w="644" w:type="pct"/>
                  <w:vAlign w:val="center"/>
                </w:tcPr>
                <w:p w14:paraId="09D6C8F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0.023</w:t>
                  </w:r>
                </w:p>
              </w:tc>
              <w:tc>
                <w:tcPr>
                  <w:tcW w:w="746" w:type="pct"/>
                  <w:vAlign w:val="center"/>
                </w:tcPr>
                <w:p w14:paraId="0FE8334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2206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pct"/>
                  <w:vMerge w:val="continue"/>
                  <w:vAlign w:val="center"/>
                </w:tcPr>
                <w:p w14:paraId="05EE0A90">
                  <w:pPr>
                    <w:jc w:val="center"/>
                    <w:rPr>
                      <w:color w:val="000000" w:themeColor="text1"/>
                      <w:kern w:val="24"/>
                      <w:szCs w:val="21"/>
                      <w14:textFill>
                        <w14:solidFill>
                          <w14:schemeClr w14:val="tx1"/>
                        </w14:solidFill>
                      </w14:textFill>
                    </w:rPr>
                  </w:pPr>
                </w:p>
              </w:tc>
              <w:tc>
                <w:tcPr>
                  <w:tcW w:w="650" w:type="pct"/>
                  <w:vMerge w:val="continue"/>
                  <w:vAlign w:val="center"/>
                </w:tcPr>
                <w:p w14:paraId="1817E8D1">
                  <w:pPr>
                    <w:jc w:val="center"/>
                    <w:rPr>
                      <w:color w:val="000000" w:themeColor="text1"/>
                      <w:kern w:val="24"/>
                      <w:szCs w:val="21"/>
                      <w14:textFill>
                        <w14:solidFill>
                          <w14:schemeClr w14:val="tx1"/>
                        </w14:solidFill>
                      </w14:textFill>
                    </w:rPr>
                  </w:pPr>
                </w:p>
              </w:tc>
              <w:tc>
                <w:tcPr>
                  <w:tcW w:w="1110" w:type="pct"/>
                  <w:vAlign w:val="center"/>
                </w:tcPr>
                <w:p w14:paraId="684B5DB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排放浓度（mg/L）</w:t>
                  </w:r>
                </w:p>
              </w:tc>
              <w:tc>
                <w:tcPr>
                  <w:tcW w:w="650" w:type="pct"/>
                  <w:vAlign w:val="center"/>
                </w:tcPr>
                <w:p w14:paraId="2E57DDE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0</w:t>
                  </w:r>
                </w:p>
              </w:tc>
              <w:tc>
                <w:tcPr>
                  <w:tcW w:w="725" w:type="pct"/>
                  <w:vAlign w:val="center"/>
                </w:tcPr>
                <w:p w14:paraId="7BE889E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w:t>
                  </w:r>
                </w:p>
              </w:tc>
              <w:tc>
                <w:tcPr>
                  <w:tcW w:w="644" w:type="pct"/>
                  <w:vAlign w:val="center"/>
                </w:tcPr>
                <w:p w14:paraId="22FF82D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746" w:type="pct"/>
                  <w:vAlign w:val="center"/>
                </w:tcPr>
                <w:p w14:paraId="3F4A576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2991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pct"/>
                  <w:vMerge w:val="continue"/>
                  <w:vAlign w:val="center"/>
                </w:tcPr>
                <w:p w14:paraId="00CCBCC3">
                  <w:pPr>
                    <w:jc w:val="center"/>
                    <w:rPr>
                      <w:color w:val="000000" w:themeColor="text1"/>
                      <w:kern w:val="24"/>
                      <w:szCs w:val="21"/>
                      <w14:textFill>
                        <w14:solidFill>
                          <w14:schemeClr w14:val="tx1"/>
                        </w14:solidFill>
                      </w14:textFill>
                    </w:rPr>
                  </w:pPr>
                </w:p>
              </w:tc>
              <w:tc>
                <w:tcPr>
                  <w:tcW w:w="650" w:type="pct"/>
                  <w:vMerge w:val="continue"/>
                  <w:vAlign w:val="center"/>
                </w:tcPr>
                <w:p w14:paraId="4972317F">
                  <w:pPr>
                    <w:jc w:val="center"/>
                    <w:rPr>
                      <w:color w:val="000000" w:themeColor="text1"/>
                      <w:kern w:val="24"/>
                      <w:szCs w:val="21"/>
                      <w14:textFill>
                        <w14:solidFill>
                          <w14:schemeClr w14:val="tx1"/>
                        </w14:solidFill>
                      </w14:textFill>
                    </w:rPr>
                  </w:pPr>
                </w:p>
              </w:tc>
              <w:tc>
                <w:tcPr>
                  <w:tcW w:w="1110" w:type="pct"/>
                  <w:vAlign w:val="center"/>
                </w:tcPr>
                <w:p w14:paraId="3CE1B8D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排放量（t/a）</w:t>
                  </w:r>
                </w:p>
              </w:tc>
              <w:tc>
                <w:tcPr>
                  <w:tcW w:w="650" w:type="pct"/>
                  <w:vAlign w:val="center"/>
                </w:tcPr>
                <w:p w14:paraId="3A7DF8E3">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19</w:t>
                  </w:r>
                </w:p>
              </w:tc>
              <w:tc>
                <w:tcPr>
                  <w:tcW w:w="725" w:type="pct"/>
                  <w:vAlign w:val="center"/>
                </w:tcPr>
                <w:p w14:paraId="0DC1E6F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12</w:t>
                  </w:r>
                </w:p>
              </w:tc>
              <w:tc>
                <w:tcPr>
                  <w:tcW w:w="644" w:type="pct"/>
                  <w:vAlign w:val="center"/>
                </w:tcPr>
                <w:p w14:paraId="62C59A8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0.023</w:t>
                  </w:r>
                </w:p>
              </w:tc>
              <w:tc>
                <w:tcPr>
                  <w:tcW w:w="746" w:type="pct"/>
                  <w:vAlign w:val="center"/>
                </w:tcPr>
                <w:p w14:paraId="51C5BA8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3B34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73" w:type="pct"/>
                  <w:vMerge w:val="restart"/>
                  <w:vAlign w:val="center"/>
                </w:tcPr>
                <w:p w14:paraId="57BB4FBB">
                  <w:pPr>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地面冲洗水</w:t>
                  </w:r>
                </w:p>
              </w:tc>
              <w:tc>
                <w:tcPr>
                  <w:tcW w:w="650" w:type="pct"/>
                  <w:vMerge w:val="restart"/>
                  <w:vAlign w:val="center"/>
                </w:tcPr>
                <w:p w14:paraId="47EEAF65">
                  <w:pPr>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350.4</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1110" w:type="pct"/>
                  <w:vAlign w:val="center"/>
                </w:tcPr>
                <w:p w14:paraId="2ACB963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产生浓度（mg/L）</w:t>
                  </w:r>
                </w:p>
              </w:tc>
              <w:tc>
                <w:tcPr>
                  <w:tcW w:w="1217" w:type="dxa"/>
                  <w:vAlign w:val="center"/>
                </w:tcPr>
                <w:p w14:paraId="5F4DFA9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280</w:t>
                  </w:r>
                  <w:r>
                    <w:rPr>
                      <w:color w:val="000000" w:themeColor="text1"/>
                      <w:szCs w:val="21"/>
                      <w14:textFill>
                        <w14:solidFill>
                          <w14:schemeClr w14:val="tx1"/>
                        </w14:solidFill>
                      </w14:textFill>
                    </w:rPr>
                    <w:t xml:space="preserve"> </w:t>
                  </w:r>
                </w:p>
              </w:tc>
              <w:tc>
                <w:tcPr>
                  <w:tcW w:w="1358" w:type="dxa"/>
                  <w:vAlign w:val="center"/>
                </w:tcPr>
                <w:p w14:paraId="4D9276E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00</w:t>
                  </w:r>
                </w:p>
              </w:tc>
              <w:tc>
                <w:tcPr>
                  <w:tcW w:w="644" w:type="pct"/>
                  <w:vAlign w:val="center"/>
                </w:tcPr>
                <w:p w14:paraId="06E92B4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97" w:type="dxa"/>
                  <w:vAlign w:val="center"/>
                </w:tcPr>
                <w:p w14:paraId="3A2F149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r>
            <w:tr w14:paraId="084A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73" w:type="pct"/>
                  <w:vMerge w:val="continue"/>
                  <w:vAlign w:val="center"/>
                </w:tcPr>
                <w:p w14:paraId="7A315A45">
                  <w:pPr>
                    <w:jc w:val="center"/>
                    <w:rPr>
                      <w:color w:val="000000" w:themeColor="text1"/>
                      <w14:textFill>
                        <w14:solidFill>
                          <w14:schemeClr w14:val="tx1"/>
                        </w14:solidFill>
                      </w14:textFill>
                    </w:rPr>
                  </w:pPr>
                </w:p>
              </w:tc>
              <w:tc>
                <w:tcPr>
                  <w:tcW w:w="650" w:type="pct"/>
                  <w:vMerge w:val="continue"/>
                  <w:vAlign w:val="center"/>
                </w:tcPr>
                <w:p w14:paraId="526109B8">
                  <w:pPr>
                    <w:jc w:val="center"/>
                    <w:rPr>
                      <w:color w:val="000000" w:themeColor="text1"/>
                      <w14:textFill>
                        <w14:solidFill>
                          <w14:schemeClr w14:val="tx1"/>
                        </w14:solidFill>
                      </w14:textFill>
                    </w:rPr>
                  </w:pPr>
                </w:p>
              </w:tc>
              <w:tc>
                <w:tcPr>
                  <w:tcW w:w="1110" w:type="pct"/>
                  <w:vAlign w:val="center"/>
                </w:tcPr>
                <w:p w14:paraId="6FBEAD0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产生量（t/a）</w:t>
                  </w:r>
                </w:p>
              </w:tc>
              <w:tc>
                <w:tcPr>
                  <w:tcW w:w="1217" w:type="dxa"/>
                  <w:vAlign w:val="center"/>
                </w:tcPr>
                <w:p w14:paraId="01012045">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098</w:t>
                  </w:r>
                </w:p>
              </w:tc>
              <w:tc>
                <w:tcPr>
                  <w:tcW w:w="1358" w:type="dxa"/>
                  <w:vAlign w:val="center"/>
                </w:tcPr>
                <w:p w14:paraId="233F9D0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07</w:t>
                  </w:r>
                </w:p>
              </w:tc>
              <w:tc>
                <w:tcPr>
                  <w:tcW w:w="644" w:type="pct"/>
                  <w:vAlign w:val="center"/>
                </w:tcPr>
                <w:p w14:paraId="5A78FF7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97" w:type="dxa"/>
                  <w:vAlign w:val="center"/>
                </w:tcPr>
                <w:p w14:paraId="6EECAA3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0.014</w:t>
                  </w:r>
                </w:p>
              </w:tc>
            </w:tr>
            <w:tr w14:paraId="54A4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73" w:type="pct"/>
                  <w:vMerge w:val="continue"/>
                  <w:vAlign w:val="center"/>
                </w:tcPr>
                <w:p w14:paraId="19EEF6EA">
                  <w:pPr>
                    <w:jc w:val="center"/>
                    <w:rPr>
                      <w:color w:val="000000" w:themeColor="text1"/>
                      <w:szCs w:val="21"/>
                      <w14:textFill>
                        <w14:solidFill>
                          <w14:schemeClr w14:val="tx1"/>
                        </w14:solidFill>
                      </w14:textFill>
                    </w:rPr>
                  </w:pPr>
                </w:p>
              </w:tc>
              <w:tc>
                <w:tcPr>
                  <w:tcW w:w="650" w:type="pct"/>
                  <w:vMerge w:val="continue"/>
                  <w:vAlign w:val="center"/>
                </w:tcPr>
                <w:p w14:paraId="7F832C98">
                  <w:pPr>
                    <w:jc w:val="center"/>
                    <w:rPr>
                      <w:color w:val="000000" w:themeColor="text1"/>
                      <w:szCs w:val="21"/>
                      <w14:textFill>
                        <w14:solidFill>
                          <w14:schemeClr w14:val="tx1"/>
                        </w14:solidFill>
                      </w14:textFill>
                    </w:rPr>
                  </w:pPr>
                </w:p>
              </w:tc>
              <w:tc>
                <w:tcPr>
                  <w:tcW w:w="1110" w:type="pct"/>
                  <w:vAlign w:val="center"/>
                </w:tcPr>
                <w:p w14:paraId="6652CF4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排放浓度（mg/L）</w:t>
                  </w:r>
                </w:p>
              </w:tc>
              <w:tc>
                <w:tcPr>
                  <w:tcW w:w="1217" w:type="dxa"/>
                  <w:vAlign w:val="center"/>
                </w:tcPr>
                <w:p w14:paraId="11E6038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0</w:t>
                  </w:r>
                </w:p>
              </w:tc>
              <w:tc>
                <w:tcPr>
                  <w:tcW w:w="1358" w:type="dxa"/>
                  <w:vAlign w:val="center"/>
                </w:tcPr>
                <w:p w14:paraId="4022F34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w:t>
                  </w:r>
                </w:p>
              </w:tc>
              <w:tc>
                <w:tcPr>
                  <w:tcW w:w="644" w:type="pct"/>
                  <w:vAlign w:val="center"/>
                </w:tcPr>
                <w:p w14:paraId="17DB56A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97" w:type="dxa"/>
                  <w:vAlign w:val="center"/>
                </w:tcPr>
                <w:p w14:paraId="54978A5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r>
            <w:tr w14:paraId="0876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73" w:type="pct"/>
                  <w:vMerge w:val="continue"/>
                  <w:vAlign w:val="center"/>
                </w:tcPr>
                <w:p w14:paraId="3F00B91A">
                  <w:pPr>
                    <w:jc w:val="center"/>
                    <w:rPr>
                      <w:color w:val="000000" w:themeColor="text1"/>
                      <w:szCs w:val="21"/>
                      <w14:textFill>
                        <w14:solidFill>
                          <w14:schemeClr w14:val="tx1"/>
                        </w14:solidFill>
                      </w14:textFill>
                    </w:rPr>
                  </w:pPr>
                </w:p>
              </w:tc>
              <w:tc>
                <w:tcPr>
                  <w:tcW w:w="650" w:type="pct"/>
                  <w:vMerge w:val="continue"/>
                  <w:vAlign w:val="center"/>
                </w:tcPr>
                <w:p w14:paraId="19CA0346">
                  <w:pPr>
                    <w:jc w:val="center"/>
                    <w:rPr>
                      <w:color w:val="000000" w:themeColor="text1"/>
                      <w:szCs w:val="21"/>
                      <w14:textFill>
                        <w14:solidFill>
                          <w14:schemeClr w14:val="tx1"/>
                        </w14:solidFill>
                      </w14:textFill>
                    </w:rPr>
                  </w:pPr>
                </w:p>
              </w:tc>
              <w:tc>
                <w:tcPr>
                  <w:tcW w:w="1110" w:type="pct"/>
                  <w:vAlign w:val="center"/>
                </w:tcPr>
                <w:p w14:paraId="75EC4C5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排放量（t/a）</w:t>
                  </w:r>
                </w:p>
              </w:tc>
              <w:tc>
                <w:tcPr>
                  <w:tcW w:w="1217" w:type="dxa"/>
                  <w:vAlign w:val="center"/>
                </w:tcPr>
                <w:p w14:paraId="0538F954">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088</w:t>
                  </w:r>
                </w:p>
              </w:tc>
              <w:tc>
                <w:tcPr>
                  <w:tcW w:w="1358" w:type="dxa"/>
                  <w:vAlign w:val="center"/>
                </w:tcPr>
                <w:p w14:paraId="75C1B1A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052</w:t>
                  </w:r>
                </w:p>
              </w:tc>
              <w:tc>
                <w:tcPr>
                  <w:tcW w:w="644" w:type="pct"/>
                  <w:vAlign w:val="center"/>
                </w:tcPr>
                <w:p w14:paraId="22C93EF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97" w:type="dxa"/>
                  <w:vAlign w:val="center"/>
                </w:tcPr>
                <w:p w14:paraId="1D8167C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0.007</w:t>
                  </w:r>
                </w:p>
              </w:tc>
            </w:tr>
            <w:tr w14:paraId="49B5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4" w:type="pct"/>
                  <w:gridSpan w:val="3"/>
                  <w:vAlign w:val="center"/>
                </w:tcPr>
                <w:p w14:paraId="4A43AE62">
                  <w:pPr>
                    <w:jc w:val="center"/>
                    <w:rPr>
                      <w:color w:val="000000" w:themeColor="text1"/>
                      <w:szCs w:val="21"/>
                      <w14:textFill>
                        <w14:solidFill>
                          <w14:schemeClr w14:val="tx1"/>
                        </w14:solidFill>
                      </w14:textFill>
                    </w:rPr>
                  </w:pPr>
                  <w:r>
                    <w:rPr>
                      <w:rFonts w:hint="eastAsia" w:hAnsi="宋体"/>
                      <w:snapToGrid w:val="0"/>
                      <w:color w:val="000000" w:themeColor="text1"/>
                      <w:kern w:val="24"/>
                      <w:szCs w:val="21"/>
                      <w14:textFill>
                        <w14:solidFill>
                          <w14:schemeClr w14:val="tx1"/>
                        </w14:solidFill>
                      </w14:textFill>
                    </w:rPr>
                    <w:t>固镇县污水处理厂</w:t>
                  </w:r>
                  <w:r>
                    <w:rPr>
                      <w:color w:val="000000" w:themeColor="text1"/>
                      <w:szCs w:val="21"/>
                      <w14:textFill>
                        <w14:solidFill>
                          <w14:schemeClr w14:val="tx1"/>
                        </w14:solidFill>
                      </w14:textFill>
                    </w:rPr>
                    <w:t>接管标准（mg/L）</w:t>
                  </w:r>
                </w:p>
              </w:tc>
              <w:tc>
                <w:tcPr>
                  <w:tcW w:w="650" w:type="pct"/>
                  <w:vAlign w:val="center"/>
                </w:tcPr>
                <w:p w14:paraId="2185C8CF">
                  <w:pPr>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c>
                <w:tcPr>
                  <w:tcW w:w="725" w:type="pct"/>
                  <w:vAlign w:val="center"/>
                </w:tcPr>
                <w:p w14:paraId="2475738F">
                  <w:pPr>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w:t>
                  </w:r>
                </w:p>
              </w:tc>
              <w:tc>
                <w:tcPr>
                  <w:tcW w:w="644" w:type="pct"/>
                  <w:vAlign w:val="center"/>
                </w:tcPr>
                <w:p w14:paraId="48DEFDEE">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746" w:type="pct"/>
                  <w:vAlign w:val="center"/>
                </w:tcPr>
                <w:p w14:paraId="2DC06A28">
                  <w:pPr>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14:paraId="4881D7EC">
            <w:pPr>
              <w:spacing w:line="500" w:lineRule="exact"/>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4-9</w:t>
            </w:r>
            <w:r>
              <w:rPr>
                <w:b/>
                <w:color w:val="000000" w:themeColor="text1"/>
                <w:sz w:val="24"/>
                <w14:textFill>
                  <w14:solidFill>
                    <w14:schemeClr w14:val="tx1"/>
                  </w14:solidFill>
                </w14:textFill>
              </w:rPr>
              <w:t xml:space="preserve">  废水类别、污染物及污染治理设施信息表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696"/>
              <w:gridCol w:w="890"/>
              <w:gridCol w:w="696"/>
              <w:gridCol w:w="1313"/>
              <w:gridCol w:w="610"/>
              <w:gridCol w:w="684"/>
              <w:gridCol w:w="676"/>
              <w:gridCol w:w="924"/>
              <w:gridCol w:w="746"/>
              <w:gridCol w:w="1684"/>
            </w:tblGrid>
            <w:tr w14:paraId="070C5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dxa"/>
                  <w:vMerge w:val="restart"/>
                  <w:vAlign w:val="center"/>
                </w:tcPr>
                <w:p w14:paraId="38455D97">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696" w:type="dxa"/>
                  <w:vMerge w:val="restart"/>
                  <w:vAlign w:val="center"/>
                </w:tcPr>
                <w:p w14:paraId="58243010">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废水类别</w:t>
                  </w:r>
                </w:p>
              </w:tc>
              <w:tc>
                <w:tcPr>
                  <w:tcW w:w="890" w:type="dxa"/>
                  <w:vMerge w:val="restart"/>
                  <w:vAlign w:val="center"/>
                </w:tcPr>
                <w:p w14:paraId="7F54B737">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污染物种类</w:t>
                  </w:r>
                </w:p>
              </w:tc>
              <w:tc>
                <w:tcPr>
                  <w:tcW w:w="696" w:type="dxa"/>
                  <w:vMerge w:val="restart"/>
                  <w:vAlign w:val="center"/>
                </w:tcPr>
                <w:p w14:paraId="7005BE46">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14:paraId="27618907">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去向</w:t>
                  </w:r>
                </w:p>
              </w:tc>
              <w:tc>
                <w:tcPr>
                  <w:tcW w:w="1313" w:type="dxa"/>
                  <w:vMerge w:val="restart"/>
                  <w:vAlign w:val="center"/>
                </w:tcPr>
                <w:p w14:paraId="63D2A649">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14:paraId="23422912">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规律</w:t>
                  </w:r>
                </w:p>
              </w:tc>
              <w:tc>
                <w:tcPr>
                  <w:tcW w:w="1970" w:type="dxa"/>
                  <w:gridSpan w:val="3"/>
                  <w:vAlign w:val="center"/>
                </w:tcPr>
                <w:p w14:paraId="3C2E5641">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污染治理设施</w:t>
                  </w:r>
                </w:p>
              </w:tc>
              <w:tc>
                <w:tcPr>
                  <w:tcW w:w="924" w:type="dxa"/>
                  <w:vMerge w:val="restart"/>
                  <w:vAlign w:val="center"/>
                </w:tcPr>
                <w:p w14:paraId="58AFD6BA">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排放口编号</w:t>
                  </w:r>
                </w:p>
              </w:tc>
              <w:tc>
                <w:tcPr>
                  <w:tcW w:w="746" w:type="dxa"/>
                  <w:vMerge w:val="restart"/>
                  <w:vAlign w:val="center"/>
                </w:tcPr>
                <w:p w14:paraId="6CCD729D">
                  <w:pPr>
                    <w:spacing w:line="240" w:lineRule="exact"/>
                    <w:ind w:left="-166" w:leftChars="-79" w:right="-107" w:rightChars="-5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排放口设施是否符合要求</w:t>
                  </w:r>
                </w:p>
              </w:tc>
              <w:tc>
                <w:tcPr>
                  <w:tcW w:w="1684" w:type="dxa"/>
                  <w:vMerge w:val="restart"/>
                  <w:vAlign w:val="center"/>
                </w:tcPr>
                <w:p w14:paraId="20B2D118">
                  <w:pPr>
                    <w:spacing w:line="240" w:lineRule="exact"/>
                    <w:ind w:left="-107" w:leftChars="-5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排放口类型</w:t>
                  </w:r>
                </w:p>
              </w:tc>
            </w:tr>
            <w:tr w14:paraId="6D6A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dxa"/>
                  <w:vMerge w:val="continue"/>
                  <w:vAlign w:val="center"/>
                </w:tcPr>
                <w:p w14:paraId="7FF74B69">
                  <w:pPr>
                    <w:widowControl/>
                    <w:jc w:val="left"/>
                    <w:rPr>
                      <w:color w:val="000000" w:themeColor="text1"/>
                      <w:szCs w:val="21"/>
                      <w14:textFill>
                        <w14:solidFill>
                          <w14:schemeClr w14:val="tx1"/>
                        </w14:solidFill>
                      </w14:textFill>
                    </w:rPr>
                  </w:pPr>
                </w:p>
              </w:tc>
              <w:tc>
                <w:tcPr>
                  <w:tcW w:w="696" w:type="dxa"/>
                  <w:vMerge w:val="continue"/>
                  <w:vAlign w:val="center"/>
                </w:tcPr>
                <w:p w14:paraId="4D150696">
                  <w:pPr>
                    <w:widowControl/>
                    <w:jc w:val="left"/>
                    <w:rPr>
                      <w:color w:val="000000" w:themeColor="text1"/>
                      <w:szCs w:val="21"/>
                      <w14:textFill>
                        <w14:solidFill>
                          <w14:schemeClr w14:val="tx1"/>
                        </w14:solidFill>
                      </w14:textFill>
                    </w:rPr>
                  </w:pPr>
                </w:p>
              </w:tc>
              <w:tc>
                <w:tcPr>
                  <w:tcW w:w="890" w:type="dxa"/>
                  <w:vMerge w:val="continue"/>
                  <w:vAlign w:val="center"/>
                </w:tcPr>
                <w:p w14:paraId="3AAA83AE">
                  <w:pPr>
                    <w:widowControl/>
                    <w:jc w:val="left"/>
                    <w:rPr>
                      <w:color w:val="000000" w:themeColor="text1"/>
                      <w:szCs w:val="21"/>
                      <w14:textFill>
                        <w14:solidFill>
                          <w14:schemeClr w14:val="tx1"/>
                        </w14:solidFill>
                      </w14:textFill>
                    </w:rPr>
                  </w:pPr>
                </w:p>
              </w:tc>
              <w:tc>
                <w:tcPr>
                  <w:tcW w:w="696" w:type="dxa"/>
                  <w:vMerge w:val="continue"/>
                  <w:vAlign w:val="center"/>
                </w:tcPr>
                <w:p w14:paraId="3A8A8639">
                  <w:pPr>
                    <w:widowControl/>
                    <w:jc w:val="left"/>
                    <w:rPr>
                      <w:color w:val="000000" w:themeColor="text1"/>
                      <w:szCs w:val="21"/>
                      <w14:textFill>
                        <w14:solidFill>
                          <w14:schemeClr w14:val="tx1"/>
                        </w14:solidFill>
                      </w14:textFill>
                    </w:rPr>
                  </w:pPr>
                </w:p>
              </w:tc>
              <w:tc>
                <w:tcPr>
                  <w:tcW w:w="1313" w:type="dxa"/>
                  <w:vMerge w:val="continue"/>
                  <w:vAlign w:val="center"/>
                </w:tcPr>
                <w:p w14:paraId="6F4C14A4">
                  <w:pPr>
                    <w:widowControl/>
                    <w:jc w:val="left"/>
                    <w:rPr>
                      <w:color w:val="000000" w:themeColor="text1"/>
                      <w:szCs w:val="21"/>
                      <w14:textFill>
                        <w14:solidFill>
                          <w14:schemeClr w14:val="tx1"/>
                        </w14:solidFill>
                      </w14:textFill>
                    </w:rPr>
                  </w:pPr>
                </w:p>
              </w:tc>
              <w:tc>
                <w:tcPr>
                  <w:tcW w:w="610" w:type="dxa"/>
                  <w:vAlign w:val="center"/>
                </w:tcPr>
                <w:p w14:paraId="54C0D2E9">
                  <w:pPr>
                    <w:spacing w:line="240" w:lineRule="exact"/>
                    <w:ind w:left="-71" w:leftChars="-34" w:right="-57" w:rightChars="-27"/>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污染治理设施编号</w:t>
                  </w:r>
                </w:p>
              </w:tc>
              <w:tc>
                <w:tcPr>
                  <w:tcW w:w="684" w:type="dxa"/>
                  <w:vAlign w:val="center"/>
                </w:tcPr>
                <w:p w14:paraId="04680DE3">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污染治理设施名称</w:t>
                  </w:r>
                </w:p>
              </w:tc>
              <w:tc>
                <w:tcPr>
                  <w:tcW w:w="676" w:type="dxa"/>
                  <w:vAlign w:val="center"/>
                </w:tcPr>
                <w:p w14:paraId="26E97DC1">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污染治理设施工艺</w:t>
                  </w:r>
                </w:p>
              </w:tc>
              <w:tc>
                <w:tcPr>
                  <w:tcW w:w="924" w:type="dxa"/>
                  <w:vMerge w:val="continue"/>
                  <w:vAlign w:val="center"/>
                </w:tcPr>
                <w:p w14:paraId="668A291B">
                  <w:pPr>
                    <w:widowControl/>
                    <w:jc w:val="left"/>
                    <w:rPr>
                      <w:color w:val="000000" w:themeColor="text1"/>
                      <w:szCs w:val="21"/>
                      <w14:textFill>
                        <w14:solidFill>
                          <w14:schemeClr w14:val="tx1"/>
                        </w14:solidFill>
                      </w14:textFill>
                    </w:rPr>
                  </w:pPr>
                </w:p>
              </w:tc>
              <w:tc>
                <w:tcPr>
                  <w:tcW w:w="746" w:type="dxa"/>
                  <w:vMerge w:val="continue"/>
                  <w:vAlign w:val="center"/>
                </w:tcPr>
                <w:p w14:paraId="5D57E266">
                  <w:pPr>
                    <w:widowControl/>
                    <w:jc w:val="left"/>
                    <w:rPr>
                      <w:color w:val="000000" w:themeColor="text1"/>
                      <w:szCs w:val="21"/>
                      <w14:textFill>
                        <w14:solidFill>
                          <w14:schemeClr w14:val="tx1"/>
                        </w14:solidFill>
                      </w14:textFill>
                    </w:rPr>
                  </w:pPr>
                </w:p>
              </w:tc>
              <w:tc>
                <w:tcPr>
                  <w:tcW w:w="1684" w:type="dxa"/>
                  <w:vMerge w:val="continue"/>
                  <w:vAlign w:val="center"/>
                </w:tcPr>
                <w:p w14:paraId="0F954AFC">
                  <w:pPr>
                    <w:widowControl/>
                    <w:jc w:val="left"/>
                    <w:rPr>
                      <w:color w:val="000000" w:themeColor="text1"/>
                      <w:szCs w:val="21"/>
                      <w14:textFill>
                        <w14:solidFill>
                          <w14:schemeClr w14:val="tx1"/>
                        </w14:solidFill>
                      </w14:textFill>
                    </w:rPr>
                  </w:pPr>
                </w:p>
              </w:tc>
            </w:tr>
            <w:tr w14:paraId="2B9E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dxa"/>
                  <w:vAlign w:val="center"/>
                </w:tcPr>
                <w:p w14:paraId="2387311F">
                  <w:pPr>
                    <w:spacing w:line="240" w:lineRule="exact"/>
                    <w:ind w:left="-7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696" w:type="dxa"/>
                  <w:vAlign w:val="center"/>
                </w:tcPr>
                <w:p w14:paraId="14743A45">
                  <w:pPr>
                    <w:widowControl/>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890" w:type="dxa"/>
                  <w:vAlign w:val="center"/>
                </w:tcPr>
                <w:p w14:paraId="49EC31E5">
                  <w:pPr>
                    <w:kinsoku w:val="0"/>
                    <w:overflowPunct w:val="0"/>
                    <w:autoSpaceDE w:val="0"/>
                    <w:autoSpaceDN w:val="0"/>
                    <w:adjustRightInd w:val="0"/>
                    <w:snapToGrid w:val="0"/>
                    <w:jc w:val="center"/>
                    <w:rPr>
                      <w:snapToGrid w:val="0"/>
                      <w:color w:val="000000" w:themeColor="text1"/>
                      <w:kern w:val="0"/>
                      <w14:textFill>
                        <w14:solidFill>
                          <w14:schemeClr w14:val="tx1"/>
                        </w14:solidFill>
                      </w14:textFill>
                    </w:rPr>
                  </w:pPr>
                  <w:r>
                    <w:rPr>
                      <w:snapToGrid w:val="0"/>
                      <w:color w:val="000000" w:themeColor="text1"/>
                      <w:kern w:val="0"/>
                      <w14:textFill>
                        <w14:solidFill>
                          <w14:schemeClr w14:val="tx1"/>
                        </w14:solidFill>
                      </w14:textFill>
                    </w:rPr>
                    <w:t>COD</w:t>
                  </w:r>
                </w:p>
                <w:p w14:paraId="05430D50">
                  <w:pPr>
                    <w:kinsoku w:val="0"/>
                    <w:overflowPunct w:val="0"/>
                    <w:autoSpaceDE w:val="0"/>
                    <w:autoSpaceDN w:val="0"/>
                    <w:adjustRightInd w:val="0"/>
                    <w:snapToGrid w:val="0"/>
                    <w:jc w:val="center"/>
                    <w:rPr>
                      <w:snapToGrid w:val="0"/>
                      <w:color w:val="000000" w:themeColor="text1"/>
                      <w:kern w:val="0"/>
                      <w14:textFill>
                        <w14:solidFill>
                          <w14:schemeClr w14:val="tx1"/>
                        </w14:solidFill>
                      </w14:textFill>
                    </w:rPr>
                  </w:pPr>
                  <w:r>
                    <w:rPr>
                      <w:snapToGrid w:val="0"/>
                      <w:color w:val="000000" w:themeColor="text1"/>
                      <w:kern w:val="0"/>
                      <w14:textFill>
                        <w14:solidFill>
                          <w14:schemeClr w14:val="tx1"/>
                        </w14:solidFill>
                      </w14:textFill>
                    </w:rPr>
                    <w:t>SS</w:t>
                  </w:r>
                </w:p>
                <w:p w14:paraId="786277D9">
                  <w:pPr>
                    <w:kinsoku w:val="0"/>
                    <w:overflowPunct w:val="0"/>
                    <w:autoSpaceDE w:val="0"/>
                    <w:autoSpaceDN w:val="0"/>
                    <w:adjustRightInd w:val="0"/>
                    <w:snapToGrid w:val="0"/>
                    <w:jc w:val="center"/>
                    <w:rPr>
                      <w:snapToGrid w:val="0"/>
                      <w:color w:val="000000" w:themeColor="text1"/>
                      <w:kern w:val="0"/>
                      <w14:textFill>
                        <w14:solidFill>
                          <w14:schemeClr w14:val="tx1"/>
                        </w14:solidFill>
                      </w14:textFill>
                    </w:rPr>
                  </w:pPr>
                  <w:r>
                    <w:rPr>
                      <w:rFonts w:hint="eastAsia"/>
                      <w:snapToGrid w:val="0"/>
                      <w:color w:val="000000" w:themeColor="text1"/>
                      <w:kern w:val="0"/>
                      <w14:textFill>
                        <w14:solidFill>
                          <w14:schemeClr w14:val="tx1"/>
                        </w14:solidFill>
                      </w14:textFill>
                    </w:rPr>
                    <w:t>氨氮</w:t>
                  </w:r>
                </w:p>
              </w:tc>
              <w:tc>
                <w:tcPr>
                  <w:tcW w:w="696" w:type="dxa"/>
                  <w:vMerge w:val="restart"/>
                  <w:vAlign w:val="center"/>
                </w:tcPr>
                <w:p w14:paraId="749CAC1A">
                  <w:pPr>
                    <w:widowControl/>
                    <w:spacing w:line="240" w:lineRule="exact"/>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进入城镇污水处理</w:t>
                  </w:r>
                  <w:r>
                    <w:rPr>
                      <w:rFonts w:hint="eastAsia"/>
                      <w:snapToGrid w:val="0"/>
                      <w:color w:val="000000" w:themeColor="text1"/>
                      <w:kern w:val="0"/>
                      <w:szCs w:val="21"/>
                      <w14:textFill>
                        <w14:solidFill>
                          <w14:schemeClr w14:val="tx1"/>
                        </w14:solidFill>
                      </w14:textFill>
                    </w:rPr>
                    <w:t>厂</w:t>
                  </w:r>
                </w:p>
              </w:tc>
              <w:tc>
                <w:tcPr>
                  <w:tcW w:w="1313" w:type="dxa"/>
                  <w:vMerge w:val="restart"/>
                  <w:vAlign w:val="center"/>
                </w:tcPr>
                <w:p w14:paraId="39834D6B">
                  <w:pPr>
                    <w:widowControl/>
                    <w:spacing w:line="240" w:lineRule="exact"/>
                    <w:ind w:left="-152" w:leftChars="-73" w:right="-143" w:rightChars="-68" w:hang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间断排放，排</w:t>
                  </w:r>
                </w:p>
                <w:p w14:paraId="7D3DD1F7">
                  <w:pPr>
                    <w:widowControl/>
                    <w:spacing w:line="240" w:lineRule="exact"/>
                    <w:ind w:left="-152" w:leftChars="-73" w:right="-143" w:rightChars="-68" w:hang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放期间流量</w:t>
                  </w:r>
                </w:p>
                <w:p w14:paraId="47ACF79A">
                  <w:pPr>
                    <w:widowControl/>
                    <w:spacing w:line="240" w:lineRule="exact"/>
                    <w:ind w:left="-152" w:leftChars="-73" w:right="-143" w:rightChars="-68" w:hang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不稳定且无</w:t>
                  </w:r>
                </w:p>
                <w:p w14:paraId="51A3A6FC">
                  <w:pPr>
                    <w:widowControl/>
                    <w:spacing w:line="240" w:lineRule="exact"/>
                    <w:ind w:left="-152" w:leftChars="-73" w:right="-143" w:rightChars="-68" w:hang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规律，但不属</w:t>
                  </w:r>
                </w:p>
                <w:p w14:paraId="0E49FBCC">
                  <w:pPr>
                    <w:widowControl/>
                    <w:spacing w:line="240" w:lineRule="exact"/>
                    <w:ind w:left="-152" w:leftChars="-73" w:right="-143" w:rightChars="-68" w:hang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于冲击型排放</w:t>
                  </w:r>
                </w:p>
              </w:tc>
              <w:tc>
                <w:tcPr>
                  <w:tcW w:w="610" w:type="dxa"/>
                  <w:vAlign w:val="center"/>
                </w:tcPr>
                <w:p w14:paraId="474D8A50">
                  <w:pPr>
                    <w:spacing w:line="240" w:lineRule="exact"/>
                    <w:ind w:left="-214" w:leftChars="-102" w:right="-199" w:rightChars="-95"/>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TW001</w:t>
                  </w:r>
                </w:p>
              </w:tc>
              <w:tc>
                <w:tcPr>
                  <w:tcW w:w="684" w:type="dxa"/>
                  <w:vAlign w:val="center"/>
                </w:tcPr>
                <w:p w14:paraId="04C00AAA">
                  <w:pPr>
                    <w:spacing w:line="240" w:lineRule="exact"/>
                    <w:ind w:left="-62" w:leftChars="-30" w:right="-456" w:rightChars="-217" w:hanging="1"/>
                    <w:rPr>
                      <w:color w:val="000000" w:themeColor="text1"/>
                      <w:szCs w:val="21"/>
                      <w14:textFill>
                        <w14:solidFill>
                          <w14:schemeClr w14:val="tx1"/>
                        </w14:solidFill>
                      </w14:textFill>
                    </w:rPr>
                  </w:pPr>
                  <w:r>
                    <w:rPr>
                      <w:color w:val="000000" w:themeColor="text1"/>
                      <w:szCs w:val="21"/>
                      <w14:textFill>
                        <w14:solidFill>
                          <w14:schemeClr w14:val="tx1"/>
                        </w14:solidFill>
                      </w14:textFill>
                    </w:rPr>
                    <w:t>化粪池</w:t>
                  </w:r>
                </w:p>
                <w:p w14:paraId="5665C8F0">
                  <w:pPr>
                    <w:spacing w:line="240" w:lineRule="exact"/>
                    <w:ind w:left="-62" w:leftChars="-30" w:right="-456" w:rightChars="-217" w:hanging="1"/>
                    <w:rPr>
                      <w:color w:val="000000" w:themeColor="text1"/>
                      <w:szCs w:val="21"/>
                      <w14:textFill>
                        <w14:solidFill>
                          <w14:schemeClr w14:val="tx1"/>
                        </w14:solidFill>
                      </w14:textFill>
                    </w:rPr>
                  </w:pPr>
                </w:p>
              </w:tc>
              <w:tc>
                <w:tcPr>
                  <w:tcW w:w="676" w:type="dxa"/>
                  <w:vAlign w:val="center"/>
                </w:tcPr>
                <w:p w14:paraId="19DA8D56">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厌氧</w:t>
                  </w:r>
                </w:p>
              </w:tc>
              <w:tc>
                <w:tcPr>
                  <w:tcW w:w="924" w:type="dxa"/>
                  <w:vMerge w:val="restart"/>
                  <w:vAlign w:val="center"/>
                </w:tcPr>
                <w:p w14:paraId="706CD02A">
                  <w:pPr>
                    <w:widowControl/>
                    <w:spacing w:line="2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DW001</w:t>
                  </w:r>
                </w:p>
              </w:tc>
              <w:tc>
                <w:tcPr>
                  <w:tcW w:w="746" w:type="dxa"/>
                  <w:vMerge w:val="restart"/>
                  <w:vAlign w:val="center"/>
                </w:tcPr>
                <w:p w14:paraId="197AD6BE">
                  <w:pPr>
                    <w:widowControl/>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684" w:type="dxa"/>
                  <w:vMerge w:val="restart"/>
                  <w:vAlign w:val="center"/>
                </w:tcPr>
                <w:p w14:paraId="188CF7B0">
                  <w:pPr>
                    <w:widowControl/>
                    <w:spacing w:line="240" w:lineRule="exact"/>
                    <w:ind w:left="-46" w:leftChars="-22" w:right="-204" w:rightChars="-97"/>
                    <w:rPr>
                      <w:color w:val="000000" w:themeColor="text1"/>
                      <w:szCs w:val="21"/>
                      <w14:textFill>
                        <w14:solidFill>
                          <w14:schemeClr w14:val="tx1"/>
                        </w14:solidFill>
                      </w14:textFill>
                    </w:rPr>
                  </w:pPr>
                  <w:r>
                    <w:rPr>
                      <w:color w:val="000000" w:themeColor="text1"/>
                      <w:szCs w:val="21"/>
                      <w14:textFill>
                        <w14:solidFill>
                          <w14:schemeClr w14:val="tx1"/>
                        </w14:solidFill>
                      </w14:textFill>
                    </w:rPr>
                    <w:t>■企业总排</w:t>
                  </w:r>
                </w:p>
                <w:p w14:paraId="7306EB68">
                  <w:pPr>
                    <w:widowControl/>
                    <w:spacing w:line="240" w:lineRule="exact"/>
                    <w:ind w:left="-46" w:leftChars="-22" w:right="-204" w:rightChars="-97"/>
                    <w:rPr>
                      <w:color w:val="000000" w:themeColor="text1"/>
                      <w:szCs w:val="21"/>
                      <w14:textFill>
                        <w14:solidFill>
                          <w14:schemeClr w14:val="tx1"/>
                        </w14:solidFill>
                      </w14:textFill>
                    </w:rPr>
                  </w:pPr>
                  <w:r>
                    <w:rPr>
                      <w:color w:val="000000" w:themeColor="text1"/>
                      <w:szCs w:val="21"/>
                      <w14:textFill>
                        <w14:solidFill>
                          <w14:schemeClr w14:val="tx1"/>
                        </w14:solidFill>
                      </w14:textFill>
                    </w:rPr>
                    <w:t>口雨水排放</w:t>
                  </w:r>
                </w:p>
                <w:p w14:paraId="6B81F821">
                  <w:pPr>
                    <w:widowControl/>
                    <w:spacing w:line="240" w:lineRule="exact"/>
                    <w:ind w:left="-46" w:leftChars="-22" w:right="-204" w:rightChars="-97"/>
                    <w:rPr>
                      <w:color w:val="000000" w:themeColor="text1"/>
                      <w:szCs w:val="21"/>
                      <w14:textFill>
                        <w14:solidFill>
                          <w14:schemeClr w14:val="tx1"/>
                        </w14:solidFill>
                      </w14:textFill>
                    </w:rPr>
                  </w:pPr>
                  <w:r>
                    <w:rPr>
                      <w:color w:val="000000" w:themeColor="text1"/>
                      <w:szCs w:val="21"/>
                      <w14:textFill>
                        <w14:solidFill>
                          <w14:schemeClr w14:val="tx1"/>
                        </w14:solidFill>
                      </w14:textFill>
                    </w:rPr>
                    <w:t>口清静下水排放</w:t>
                  </w:r>
                </w:p>
                <w:p w14:paraId="7418F3DC">
                  <w:pPr>
                    <w:widowControl/>
                    <w:spacing w:line="240" w:lineRule="exact"/>
                    <w:ind w:left="-46" w:leftChars="-22" w:right="-204" w:rightChars="-97"/>
                    <w:rPr>
                      <w:color w:val="000000" w:themeColor="text1"/>
                      <w:szCs w:val="21"/>
                      <w14:textFill>
                        <w14:solidFill>
                          <w14:schemeClr w14:val="tx1"/>
                        </w14:solidFill>
                      </w14:textFill>
                    </w:rPr>
                  </w:pPr>
                  <w:r>
                    <w:rPr>
                      <w:color w:val="000000" w:themeColor="text1"/>
                      <w:szCs w:val="21"/>
                      <w14:textFill>
                        <w14:solidFill>
                          <w14:schemeClr w14:val="tx1"/>
                        </w14:solidFill>
                      </w14:textFill>
                    </w:rPr>
                    <w:t>口温排水排放</w:t>
                  </w:r>
                </w:p>
                <w:p w14:paraId="7C503215">
                  <w:pPr>
                    <w:widowControl/>
                    <w:spacing w:line="240" w:lineRule="exact"/>
                    <w:ind w:left="-46" w:leftChars="-22" w:right="-63" w:rightChars="-30"/>
                    <w:rPr>
                      <w:color w:val="000000" w:themeColor="text1"/>
                      <w:szCs w:val="21"/>
                      <w14:textFill>
                        <w14:solidFill>
                          <w14:schemeClr w14:val="tx1"/>
                        </w14:solidFill>
                      </w14:textFill>
                    </w:rPr>
                  </w:pPr>
                  <w:r>
                    <w:rPr>
                      <w:color w:val="000000" w:themeColor="text1"/>
                      <w:szCs w:val="21"/>
                      <w14:textFill>
                        <w14:solidFill>
                          <w14:schemeClr w14:val="tx1"/>
                        </w14:solidFill>
                      </w14:textFill>
                    </w:rPr>
                    <w:t>口车间或车间处理设施排放口</w:t>
                  </w:r>
                </w:p>
              </w:tc>
            </w:tr>
            <w:tr w14:paraId="16B2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dxa"/>
                  <w:vAlign w:val="center"/>
                </w:tcPr>
                <w:p w14:paraId="7477A3F7">
                  <w:pPr>
                    <w:spacing w:line="240" w:lineRule="exact"/>
                    <w:ind w:left="-7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696" w:type="dxa"/>
                  <w:vAlign w:val="center"/>
                </w:tcPr>
                <w:p w14:paraId="2CDA3DB5">
                  <w:pPr>
                    <w:widowControl/>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地面冲洗水</w:t>
                  </w:r>
                </w:p>
              </w:tc>
              <w:tc>
                <w:tcPr>
                  <w:tcW w:w="890" w:type="dxa"/>
                  <w:vAlign w:val="center"/>
                </w:tcPr>
                <w:p w14:paraId="4B7E0FB6">
                  <w:pPr>
                    <w:kinsoku w:val="0"/>
                    <w:overflowPunct w:val="0"/>
                    <w:autoSpaceDE w:val="0"/>
                    <w:autoSpaceDN w:val="0"/>
                    <w:adjustRightInd w:val="0"/>
                    <w:snapToGrid w:val="0"/>
                    <w:jc w:val="center"/>
                    <w:rPr>
                      <w:snapToGrid w:val="0"/>
                      <w:color w:val="000000" w:themeColor="text1"/>
                      <w:kern w:val="0"/>
                      <w14:textFill>
                        <w14:solidFill>
                          <w14:schemeClr w14:val="tx1"/>
                        </w14:solidFill>
                      </w14:textFill>
                    </w:rPr>
                  </w:pPr>
                  <w:r>
                    <w:rPr>
                      <w:snapToGrid w:val="0"/>
                      <w:color w:val="000000" w:themeColor="text1"/>
                      <w:kern w:val="0"/>
                      <w14:textFill>
                        <w14:solidFill>
                          <w14:schemeClr w14:val="tx1"/>
                        </w14:solidFill>
                      </w14:textFill>
                    </w:rPr>
                    <w:t>COD</w:t>
                  </w:r>
                </w:p>
                <w:p w14:paraId="3E2D937B">
                  <w:pPr>
                    <w:kinsoku w:val="0"/>
                    <w:overflowPunct w:val="0"/>
                    <w:autoSpaceDE w:val="0"/>
                    <w:autoSpaceDN w:val="0"/>
                    <w:adjustRightInd w:val="0"/>
                    <w:snapToGrid w:val="0"/>
                    <w:jc w:val="center"/>
                    <w:rPr>
                      <w:snapToGrid w:val="0"/>
                      <w:color w:val="000000" w:themeColor="text1"/>
                      <w:kern w:val="0"/>
                      <w14:textFill>
                        <w14:solidFill>
                          <w14:schemeClr w14:val="tx1"/>
                        </w14:solidFill>
                      </w14:textFill>
                    </w:rPr>
                  </w:pPr>
                  <w:r>
                    <w:rPr>
                      <w:snapToGrid w:val="0"/>
                      <w:color w:val="000000" w:themeColor="text1"/>
                      <w:kern w:val="0"/>
                      <w14:textFill>
                        <w14:solidFill>
                          <w14:schemeClr w14:val="tx1"/>
                        </w14:solidFill>
                      </w14:textFill>
                    </w:rPr>
                    <w:t>SS</w:t>
                  </w:r>
                </w:p>
                <w:p w14:paraId="757FB1C4">
                  <w:pPr>
                    <w:kinsoku w:val="0"/>
                    <w:overflowPunct w:val="0"/>
                    <w:autoSpaceDE w:val="0"/>
                    <w:autoSpaceDN w:val="0"/>
                    <w:adjustRightInd w:val="0"/>
                    <w:snapToGrid w:val="0"/>
                    <w:jc w:val="center"/>
                    <w:rPr>
                      <w:snapToGrid w:val="0"/>
                      <w:color w:val="000000" w:themeColor="text1"/>
                      <w:kern w:val="0"/>
                      <w14:textFill>
                        <w14:solidFill>
                          <w14:schemeClr w14:val="tx1"/>
                        </w14:solidFill>
                      </w14:textFill>
                    </w:rPr>
                  </w:pPr>
                  <w:r>
                    <w:rPr>
                      <w:rFonts w:hint="eastAsia"/>
                      <w:snapToGrid w:val="0"/>
                      <w:color w:val="000000" w:themeColor="text1"/>
                      <w:kern w:val="0"/>
                      <w14:textFill>
                        <w14:solidFill>
                          <w14:schemeClr w14:val="tx1"/>
                        </w14:solidFill>
                      </w14:textFill>
                    </w:rPr>
                    <w:t>石油类</w:t>
                  </w:r>
                </w:p>
              </w:tc>
              <w:tc>
                <w:tcPr>
                  <w:tcW w:w="696" w:type="dxa"/>
                  <w:vMerge w:val="continue"/>
                  <w:vAlign w:val="center"/>
                </w:tcPr>
                <w:p w14:paraId="3ED3B579">
                  <w:pPr>
                    <w:widowControl/>
                    <w:spacing w:line="240" w:lineRule="exact"/>
                    <w:jc w:val="center"/>
                    <w:rPr>
                      <w:color w:val="000000" w:themeColor="text1"/>
                      <w:szCs w:val="21"/>
                      <w14:textFill>
                        <w14:solidFill>
                          <w14:schemeClr w14:val="tx1"/>
                        </w14:solidFill>
                      </w14:textFill>
                    </w:rPr>
                  </w:pPr>
                </w:p>
              </w:tc>
              <w:tc>
                <w:tcPr>
                  <w:tcW w:w="1313" w:type="dxa"/>
                  <w:vMerge w:val="continue"/>
                  <w:vAlign w:val="center"/>
                </w:tcPr>
                <w:p w14:paraId="5AE5B3CE">
                  <w:pPr>
                    <w:widowControl/>
                    <w:spacing w:line="240" w:lineRule="exact"/>
                    <w:ind w:left="-152" w:leftChars="-73" w:right="-143" w:rightChars="-68" w:hanging="1"/>
                    <w:jc w:val="center"/>
                    <w:rPr>
                      <w:color w:val="000000" w:themeColor="text1"/>
                      <w:szCs w:val="21"/>
                      <w14:textFill>
                        <w14:solidFill>
                          <w14:schemeClr w14:val="tx1"/>
                        </w14:solidFill>
                      </w14:textFill>
                    </w:rPr>
                  </w:pPr>
                </w:p>
              </w:tc>
              <w:tc>
                <w:tcPr>
                  <w:tcW w:w="610" w:type="dxa"/>
                  <w:vAlign w:val="center"/>
                </w:tcPr>
                <w:p w14:paraId="392FBF4D">
                  <w:pPr>
                    <w:spacing w:line="240" w:lineRule="exact"/>
                    <w:ind w:left="-214" w:leftChars="-102" w:right="-199" w:rightChars="-95"/>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TW002</w:t>
                  </w:r>
                </w:p>
              </w:tc>
              <w:tc>
                <w:tcPr>
                  <w:tcW w:w="684" w:type="dxa"/>
                  <w:vAlign w:val="center"/>
                </w:tcPr>
                <w:p w14:paraId="77CAC22A">
                  <w:pPr>
                    <w:spacing w:line="240" w:lineRule="exact"/>
                    <w:ind w:left="-62" w:leftChars="-30" w:right="-456" w:rightChars="-217" w:hanging="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隔油池</w:t>
                  </w:r>
                </w:p>
              </w:tc>
              <w:tc>
                <w:tcPr>
                  <w:tcW w:w="676" w:type="dxa"/>
                  <w:vAlign w:val="center"/>
                </w:tcPr>
                <w:p w14:paraId="3887B341">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隔离</w:t>
                  </w:r>
                </w:p>
              </w:tc>
              <w:tc>
                <w:tcPr>
                  <w:tcW w:w="924" w:type="dxa"/>
                  <w:vMerge w:val="continue"/>
                  <w:vAlign w:val="center"/>
                </w:tcPr>
                <w:p w14:paraId="48F490F7">
                  <w:pPr>
                    <w:widowControl/>
                    <w:spacing w:line="240" w:lineRule="exact"/>
                    <w:rPr>
                      <w:color w:val="000000" w:themeColor="text1"/>
                      <w:szCs w:val="21"/>
                      <w14:textFill>
                        <w14:solidFill>
                          <w14:schemeClr w14:val="tx1"/>
                        </w14:solidFill>
                      </w14:textFill>
                    </w:rPr>
                  </w:pPr>
                </w:p>
              </w:tc>
              <w:tc>
                <w:tcPr>
                  <w:tcW w:w="746" w:type="dxa"/>
                  <w:vMerge w:val="continue"/>
                  <w:vAlign w:val="center"/>
                </w:tcPr>
                <w:p w14:paraId="696A3117">
                  <w:pPr>
                    <w:widowControl/>
                    <w:spacing w:line="240" w:lineRule="exact"/>
                    <w:jc w:val="center"/>
                    <w:rPr>
                      <w:color w:val="000000" w:themeColor="text1"/>
                      <w:szCs w:val="21"/>
                      <w14:textFill>
                        <w14:solidFill>
                          <w14:schemeClr w14:val="tx1"/>
                        </w14:solidFill>
                      </w14:textFill>
                    </w:rPr>
                  </w:pPr>
                </w:p>
              </w:tc>
              <w:tc>
                <w:tcPr>
                  <w:tcW w:w="1684" w:type="dxa"/>
                  <w:vMerge w:val="continue"/>
                  <w:vAlign w:val="center"/>
                </w:tcPr>
                <w:p w14:paraId="29EA25A2">
                  <w:pPr>
                    <w:widowControl/>
                    <w:spacing w:line="240" w:lineRule="exact"/>
                    <w:ind w:left="-46" w:leftChars="-22" w:right="-63" w:rightChars="-30"/>
                    <w:rPr>
                      <w:color w:val="000000" w:themeColor="text1"/>
                      <w:szCs w:val="21"/>
                      <w14:textFill>
                        <w14:solidFill>
                          <w14:schemeClr w14:val="tx1"/>
                        </w14:solidFill>
                      </w14:textFill>
                    </w:rPr>
                  </w:pPr>
                </w:p>
              </w:tc>
            </w:tr>
          </w:tbl>
          <w:p w14:paraId="5B32E8FB">
            <w:pPr>
              <w:spacing w:line="500" w:lineRule="exact"/>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10</w:t>
            </w:r>
            <w:r>
              <w:rPr>
                <w:b/>
                <w:color w:val="000000" w:themeColor="text1"/>
                <w:sz w:val="24"/>
                <w14:textFill>
                  <w14:solidFill>
                    <w14:schemeClr w14:val="tx1"/>
                  </w14:solidFill>
                </w14:textFill>
              </w:rPr>
              <w:t xml:space="preserve">  废水间接排放口基本情况表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701"/>
              <w:gridCol w:w="1325"/>
              <w:gridCol w:w="1235"/>
              <w:gridCol w:w="757"/>
              <w:gridCol w:w="615"/>
              <w:gridCol w:w="1147"/>
              <w:gridCol w:w="586"/>
              <w:gridCol w:w="485"/>
              <w:gridCol w:w="764"/>
              <w:gridCol w:w="1298"/>
            </w:tblGrid>
            <w:tr w14:paraId="7CCE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8" w:type="pct"/>
                  <w:vMerge w:val="restart"/>
                  <w:vAlign w:val="center"/>
                </w:tcPr>
                <w:p w14:paraId="4B20CB3C">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374" w:type="pct"/>
                  <w:vMerge w:val="restart"/>
                  <w:vAlign w:val="center"/>
                </w:tcPr>
                <w:p w14:paraId="4421A5C5">
                  <w:pPr>
                    <w:spacing w:line="240" w:lineRule="exact"/>
                    <w:ind w:left="-153" w:leftChars="-73" w:right="-185" w:rightChars="-8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w:t>
                  </w:r>
                </w:p>
                <w:p w14:paraId="59E162C3">
                  <w:pPr>
                    <w:spacing w:line="240" w:lineRule="exact"/>
                    <w:ind w:left="-153" w:leftChars="-73" w:right="-185" w:rightChars="-8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编号</w:t>
                  </w:r>
                </w:p>
              </w:tc>
              <w:tc>
                <w:tcPr>
                  <w:tcW w:w="1366" w:type="pct"/>
                  <w:gridSpan w:val="2"/>
                  <w:vAlign w:val="center"/>
                </w:tcPr>
                <w:p w14:paraId="3696B7C5">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排放口地理坐标</w:t>
                  </w:r>
                </w:p>
              </w:tc>
              <w:tc>
                <w:tcPr>
                  <w:tcW w:w="404" w:type="pct"/>
                  <w:vMerge w:val="restart"/>
                  <w:vAlign w:val="center"/>
                </w:tcPr>
                <w:p w14:paraId="4F14CDBE">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废水排放量</w:t>
                  </w:r>
                  <w:r>
                    <w:rPr>
                      <w:color w:val="000000" w:themeColor="text1"/>
                      <w:spacing w:val="-20"/>
                      <w:szCs w:val="21"/>
                      <w14:textFill>
                        <w14:solidFill>
                          <w14:schemeClr w14:val="tx1"/>
                        </w14:solidFill>
                      </w14:textFill>
                    </w:rPr>
                    <w:t>（万t/a）</w:t>
                  </w:r>
                </w:p>
              </w:tc>
              <w:tc>
                <w:tcPr>
                  <w:tcW w:w="328" w:type="pct"/>
                  <w:vMerge w:val="restart"/>
                  <w:vAlign w:val="center"/>
                </w:tcPr>
                <w:p w14:paraId="6C25CF4F">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14:paraId="018EE903">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去向</w:t>
                  </w:r>
                </w:p>
              </w:tc>
              <w:tc>
                <w:tcPr>
                  <w:tcW w:w="612" w:type="pct"/>
                  <w:vMerge w:val="restart"/>
                  <w:vAlign w:val="center"/>
                </w:tcPr>
                <w:p w14:paraId="628DCD5D">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14:paraId="750C483E">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规律</w:t>
                  </w:r>
                </w:p>
              </w:tc>
              <w:tc>
                <w:tcPr>
                  <w:tcW w:w="313" w:type="pct"/>
                  <w:vMerge w:val="restart"/>
                  <w:vAlign w:val="center"/>
                </w:tcPr>
                <w:p w14:paraId="733C678F">
                  <w:pPr>
                    <w:spacing w:line="240" w:lineRule="exact"/>
                    <w:ind w:left="-106" w:leftChars="-51" w:right="-107" w:rightChars="-51" w:hang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间歇排放时段</w:t>
                  </w:r>
                </w:p>
              </w:tc>
              <w:tc>
                <w:tcPr>
                  <w:tcW w:w="1360" w:type="pct"/>
                  <w:gridSpan w:val="3"/>
                  <w:vAlign w:val="center"/>
                </w:tcPr>
                <w:p w14:paraId="6F5DCEA9">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收纳污水处理厂信息</w:t>
                  </w:r>
                </w:p>
              </w:tc>
            </w:tr>
            <w:tr w14:paraId="308D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8" w:type="pct"/>
                  <w:vMerge w:val="continue"/>
                  <w:vAlign w:val="center"/>
                </w:tcPr>
                <w:p w14:paraId="086FCEC0">
                  <w:pPr>
                    <w:widowControl/>
                    <w:jc w:val="left"/>
                    <w:rPr>
                      <w:color w:val="000000" w:themeColor="text1"/>
                      <w:szCs w:val="21"/>
                      <w14:textFill>
                        <w14:solidFill>
                          <w14:schemeClr w14:val="tx1"/>
                        </w14:solidFill>
                      </w14:textFill>
                    </w:rPr>
                  </w:pPr>
                </w:p>
              </w:tc>
              <w:tc>
                <w:tcPr>
                  <w:tcW w:w="374" w:type="pct"/>
                  <w:vMerge w:val="continue"/>
                  <w:vAlign w:val="center"/>
                </w:tcPr>
                <w:p w14:paraId="445B5ED0">
                  <w:pPr>
                    <w:widowControl/>
                    <w:jc w:val="left"/>
                    <w:rPr>
                      <w:color w:val="000000" w:themeColor="text1"/>
                      <w:szCs w:val="21"/>
                      <w14:textFill>
                        <w14:solidFill>
                          <w14:schemeClr w14:val="tx1"/>
                        </w14:solidFill>
                      </w14:textFill>
                    </w:rPr>
                  </w:pPr>
                </w:p>
              </w:tc>
              <w:tc>
                <w:tcPr>
                  <w:tcW w:w="707" w:type="pct"/>
                  <w:vAlign w:val="center"/>
                </w:tcPr>
                <w:p w14:paraId="00511AD9">
                  <w:pPr>
                    <w:ind w:left="-151" w:leftChars="-73" w:hanging="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经度E°</w:t>
                  </w:r>
                </w:p>
              </w:tc>
              <w:tc>
                <w:tcPr>
                  <w:tcW w:w="659" w:type="pct"/>
                  <w:vAlign w:val="center"/>
                </w:tcPr>
                <w:p w14:paraId="427F9CAC">
                  <w:pPr>
                    <w:jc w:val="center"/>
                    <w:rPr>
                      <w:color w:val="000000" w:themeColor="text1"/>
                      <w:spacing w:val="-20"/>
                      <w:szCs w:val="21"/>
                      <w14:textFill>
                        <w14:solidFill>
                          <w14:schemeClr w14:val="tx1"/>
                        </w14:solidFill>
                      </w14:textFill>
                    </w:rPr>
                  </w:pPr>
                  <w:r>
                    <w:rPr>
                      <w:color w:val="000000" w:themeColor="text1"/>
                      <w:szCs w:val="21"/>
                      <w14:textFill>
                        <w14:solidFill>
                          <w14:schemeClr w14:val="tx1"/>
                        </w14:solidFill>
                      </w14:textFill>
                    </w:rPr>
                    <w:t>纬度</w:t>
                  </w:r>
                  <w:r>
                    <w:rPr>
                      <w:color w:val="000000" w:themeColor="text1"/>
                      <w:spacing w:val="-20"/>
                      <w:szCs w:val="21"/>
                      <w14:textFill>
                        <w14:solidFill>
                          <w14:schemeClr w14:val="tx1"/>
                        </w14:solidFill>
                      </w14:textFill>
                    </w:rPr>
                    <w:t>N°</w:t>
                  </w:r>
                </w:p>
              </w:tc>
              <w:tc>
                <w:tcPr>
                  <w:tcW w:w="404" w:type="pct"/>
                  <w:vMerge w:val="continue"/>
                  <w:vAlign w:val="center"/>
                </w:tcPr>
                <w:p w14:paraId="34AA41E9">
                  <w:pPr>
                    <w:widowControl/>
                    <w:jc w:val="left"/>
                    <w:rPr>
                      <w:color w:val="000000" w:themeColor="text1"/>
                      <w:szCs w:val="21"/>
                      <w14:textFill>
                        <w14:solidFill>
                          <w14:schemeClr w14:val="tx1"/>
                        </w14:solidFill>
                      </w14:textFill>
                    </w:rPr>
                  </w:pPr>
                </w:p>
              </w:tc>
              <w:tc>
                <w:tcPr>
                  <w:tcW w:w="328" w:type="pct"/>
                  <w:vMerge w:val="continue"/>
                  <w:vAlign w:val="center"/>
                </w:tcPr>
                <w:p w14:paraId="02AF5E31">
                  <w:pPr>
                    <w:widowControl/>
                    <w:jc w:val="left"/>
                    <w:rPr>
                      <w:color w:val="000000" w:themeColor="text1"/>
                      <w:szCs w:val="21"/>
                      <w14:textFill>
                        <w14:solidFill>
                          <w14:schemeClr w14:val="tx1"/>
                        </w14:solidFill>
                      </w14:textFill>
                    </w:rPr>
                  </w:pPr>
                </w:p>
              </w:tc>
              <w:tc>
                <w:tcPr>
                  <w:tcW w:w="612" w:type="pct"/>
                  <w:vMerge w:val="continue"/>
                  <w:vAlign w:val="center"/>
                </w:tcPr>
                <w:p w14:paraId="1CBD2969">
                  <w:pPr>
                    <w:widowControl/>
                    <w:jc w:val="left"/>
                    <w:rPr>
                      <w:color w:val="000000" w:themeColor="text1"/>
                      <w:szCs w:val="21"/>
                      <w14:textFill>
                        <w14:solidFill>
                          <w14:schemeClr w14:val="tx1"/>
                        </w14:solidFill>
                      </w14:textFill>
                    </w:rPr>
                  </w:pPr>
                </w:p>
              </w:tc>
              <w:tc>
                <w:tcPr>
                  <w:tcW w:w="313" w:type="pct"/>
                  <w:vMerge w:val="continue"/>
                  <w:vAlign w:val="center"/>
                </w:tcPr>
                <w:p w14:paraId="1FEA700C">
                  <w:pPr>
                    <w:widowControl/>
                    <w:jc w:val="left"/>
                    <w:rPr>
                      <w:color w:val="000000" w:themeColor="text1"/>
                      <w:szCs w:val="21"/>
                      <w14:textFill>
                        <w14:solidFill>
                          <w14:schemeClr w14:val="tx1"/>
                        </w14:solidFill>
                      </w14:textFill>
                    </w:rPr>
                  </w:pPr>
                </w:p>
              </w:tc>
              <w:tc>
                <w:tcPr>
                  <w:tcW w:w="259" w:type="pct"/>
                  <w:vAlign w:val="center"/>
                </w:tcPr>
                <w:p w14:paraId="7FD9511A">
                  <w:pPr>
                    <w:spacing w:line="240" w:lineRule="exact"/>
                    <w:ind w:left="-107" w:leftChars="-51" w:right="-162" w:rightChars="-77"/>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408" w:type="pct"/>
                  <w:vAlign w:val="center"/>
                </w:tcPr>
                <w:p w14:paraId="4F093CFE">
                  <w:pPr>
                    <w:spacing w:line="240" w:lineRule="exact"/>
                    <w:ind w:left="-107" w:leftChars="-51" w:right="-76" w:rightChars="-36"/>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污染物种类</w:t>
                  </w:r>
                </w:p>
              </w:tc>
              <w:tc>
                <w:tcPr>
                  <w:tcW w:w="692" w:type="pct"/>
                  <w:vAlign w:val="center"/>
                </w:tcPr>
                <w:p w14:paraId="3075C181">
                  <w:pPr>
                    <w:spacing w:line="240" w:lineRule="exact"/>
                    <w:ind w:left="-107" w:leftChars="-51" w:right="-63" w:rightChars="-3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国家或地方污染物排放标准限值（mg/L）</w:t>
                  </w:r>
                </w:p>
              </w:tc>
            </w:tr>
            <w:tr w14:paraId="5BB9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8" w:type="pct"/>
                  <w:vMerge w:val="restart"/>
                  <w:vAlign w:val="center"/>
                </w:tcPr>
                <w:p w14:paraId="3425D206">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74" w:type="pct"/>
                  <w:vMerge w:val="restart"/>
                  <w:vAlign w:val="center"/>
                </w:tcPr>
                <w:p w14:paraId="29F710FD">
                  <w:pPr>
                    <w:spacing w:line="240" w:lineRule="exact"/>
                    <w:ind w:left="-155" w:leftChars="-74" w:right="-126" w:rightChars="-6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DW001</w:t>
                  </w:r>
                </w:p>
              </w:tc>
              <w:tc>
                <w:tcPr>
                  <w:tcW w:w="1325" w:type="dxa"/>
                  <w:vMerge w:val="restart"/>
                  <w:vAlign w:val="center"/>
                </w:tcPr>
                <w:p w14:paraId="06538777">
                  <w:pPr>
                    <w:widowControl/>
                    <w:jc w:val="center"/>
                    <w:rPr>
                      <w:color w:val="000000" w:themeColor="text1"/>
                      <w:spacing w:val="-20"/>
                      <w:szCs w:val="21"/>
                      <w14:textFill>
                        <w14:solidFill>
                          <w14:schemeClr w14:val="tx1"/>
                        </w14:solidFill>
                      </w14:textFill>
                    </w:rPr>
                  </w:pPr>
                  <w:r>
                    <w:rPr>
                      <w:rFonts w:hint="eastAsia"/>
                      <w:smallCaps/>
                      <w:color w:val="000000" w:themeColor="text1"/>
                      <w:szCs w:val="21"/>
                      <w14:textFill>
                        <w14:solidFill>
                          <w14:schemeClr w14:val="tx1"/>
                        </w14:solidFill>
                      </w14:textFill>
                    </w:rPr>
                    <w:t>117.326557</w:t>
                  </w:r>
                </w:p>
              </w:tc>
              <w:tc>
                <w:tcPr>
                  <w:tcW w:w="1235" w:type="dxa"/>
                  <w:vMerge w:val="restart"/>
                  <w:vAlign w:val="center"/>
                </w:tcPr>
                <w:p w14:paraId="4D8093A1">
                  <w:pPr>
                    <w:widowControl/>
                    <w:jc w:val="center"/>
                    <w:rPr>
                      <w:color w:val="000000" w:themeColor="text1"/>
                      <w:spacing w:val="-20"/>
                      <w:szCs w:val="21"/>
                      <w14:textFill>
                        <w14:solidFill>
                          <w14:schemeClr w14:val="tx1"/>
                        </w14:solidFill>
                      </w14:textFill>
                    </w:rPr>
                  </w:pPr>
                  <w:r>
                    <w:rPr>
                      <w:rFonts w:hint="eastAsia"/>
                      <w:smallCaps/>
                      <w:color w:val="000000" w:themeColor="text1"/>
                      <w:szCs w:val="21"/>
                      <w14:textFill>
                        <w14:solidFill>
                          <w14:schemeClr w14:val="tx1"/>
                        </w14:solidFill>
                      </w14:textFill>
                    </w:rPr>
                    <w:t xml:space="preserve"> 33.321592</w:t>
                  </w:r>
                </w:p>
              </w:tc>
              <w:tc>
                <w:tcPr>
                  <w:tcW w:w="404" w:type="pct"/>
                  <w:vMerge w:val="restart"/>
                  <w:vAlign w:val="center"/>
                </w:tcPr>
                <w:p w14:paraId="58AC788E">
                  <w:pPr>
                    <w:spacing w:line="24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0.11</w:t>
                  </w:r>
                </w:p>
              </w:tc>
              <w:tc>
                <w:tcPr>
                  <w:tcW w:w="328" w:type="pct"/>
                  <w:vMerge w:val="restart"/>
                  <w:vAlign w:val="center"/>
                </w:tcPr>
                <w:p w14:paraId="6B99BD18">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进入城镇污水处理厂</w:t>
                  </w:r>
                </w:p>
              </w:tc>
              <w:tc>
                <w:tcPr>
                  <w:tcW w:w="612" w:type="pct"/>
                  <w:vMerge w:val="restart"/>
                  <w:vAlign w:val="center"/>
                </w:tcPr>
                <w:p w14:paraId="03F835F0">
                  <w:pPr>
                    <w:spacing w:line="240" w:lineRule="exact"/>
                    <w:ind w:left="-106" w:leftChars="-51" w:right="-65" w:rightChars="-31" w:hang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间断排放，排放期间流量不稳定且无规律，但不属于冲击型排放</w:t>
                  </w:r>
                </w:p>
              </w:tc>
              <w:tc>
                <w:tcPr>
                  <w:tcW w:w="313" w:type="pct"/>
                  <w:vMerge w:val="restart"/>
                  <w:vAlign w:val="center"/>
                </w:tcPr>
                <w:p w14:paraId="6439E12C">
                  <w:pPr>
                    <w:spacing w:line="240" w:lineRule="exact"/>
                    <w:ind w:left="-106" w:leftChars="-51" w:right="-122" w:rightChars="-58" w:hang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流量产生期间</w:t>
                  </w:r>
                </w:p>
              </w:tc>
              <w:tc>
                <w:tcPr>
                  <w:tcW w:w="259" w:type="pct"/>
                  <w:vMerge w:val="restart"/>
                  <w:vAlign w:val="center"/>
                </w:tcPr>
                <w:p w14:paraId="1B803C8A">
                  <w:pPr>
                    <w:jc w:val="center"/>
                    <w:rPr>
                      <w:color w:val="000000" w:themeColor="text1"/>
                      <w:szCs w:val="21"/>
                      <w14:textFill>
                        <w14:solidFill>
                          <w14:schemeClr w14:val="tx1"/>
                        </w14:solidFill>
                      </w14:textFill>
                    </w:rPr>
                  </w:pPr>
                  <w:r>
                    <w:rPr>
                      <w:rFonts w:hint="eastAsia" w:hAnsi="宋体"/>
                      <w:snapToGrid w:val="0"/>
                      <w:color w:val="000000" w:themeColor="text1"/>
                      <w:kern w:val="24"/>
                      <w:szCs w:val="21"/>
                      <w14:textFill>
                        <w14:solidFill>
                          <w14:schemeClr w14:val="tx1"/>
                        </w14:solidFill>
                      </w14:textFill>
                    </w:rPr>
                    <w:t>固镇县污水处理厂</w:t>
                  </w:r>
                </w:p>
              </w:tc>
              <w:tc>
                <w:tcPr>
                  <w:tcW w:w="408" w:type="pct"/>
                  <w:vAlign w:val="center"/>
                </w:tcPr>
                <w:p w14:paraId="219F2EA9">
                  <w:pPr>
                    <w:kinsoku w:val="0"/>
                    <w:overflowPunct w:val="0"/>
                    <w:autoSpaceDE w:val="0"/>
                    <w:autoSpaceDN w:val="0"/>
                    <w:adjustRightInd w:val="0"/>
                    <w:snapToGrid w:val="0"/>
                    <w:ind w:left="-106" w:leftChars="-51" w:right="-76" w:rightChars="-36" w:hanging="1"/>
                    <w:jc w:val="center"/>
                    <w:rPr>
                      <w:snapToGrid w:val="0"/>
                      <w:color w:val="000000" w:themeColor="text1"/>
                      <w:kern w:val="0"/>
                      <w14:textFill>
                        <w14:solidFill>
                          <w14:schemeClr w14:val="tx1"/>
                        </w14:solidFill>
                      </w14:textFill>
                    </w:rPr>
                  </w:pPr>
                  <w:r>
                    <w:rPr>
                      <w:snapToGrid w:val="0"/>
                      <w:color w:val="000000" w:themeColor="text1"/>
                      <w:kern w:val="0"/>
                      <w14:textFill>
                        <w14:solidFill>
                          <w14:schemeClr w14:val="tx1"/>
                        </w14:solidFill>
                      </w14:textFill>
                    </w:rPr>
                    <w:t>COD</w:t>
                  </w:r>
                </w:p>
              </w:tc>
              <w:tc>
                <w:tcPr>
                  <w:tcW w:w="692" w:type="pct"/>
                  <w:vAlign w:val="center"/>
                </w:tcPr>
                <w:p w14:paraId="72CDC98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tr w14:paraId="79BD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8" w:type="pct"/>
                  <w:vMerge w:val="continue"/>
                  <w:vAlign w:val="center"/>
                </w:tcPr>
                <w:p w14:paraId="6FAB628F">
                  <w:pPr>
                    <w:widowControl/>
                    <w:jc w:val="left"/>
                    <w:rPr>
                      <w:color w:val="000000" w:themeColor="text1"/>
                      <w:szCs w:val="21"/>
                      <w14:textFill>
                        <w14:solidFill>
                          <w14:schemeClr w14:val="tx1"/>
                        </w14:solidFill>
                      </w14:textFill>
                    </w:rPr>
                  </w:pPr>
                </w:p>
              </w:tc>
              <w:tc>
                <w:tcPr>
                  <w:tcW w:w="374" w:type="pct"/>
                  <w:vMerge w:val="continue"/>
                  <w:vAlign w:val="center"/>
                </w:tcPr>
                <w:p w14:paraId="1CF0F619">
                  <w:pPr>
                    <w:widowControl/>
                    <w:jc w:val="left"/>
                    <w:rPr>
                      <w:color w:val="000000" w:themeColor="text1"/>
                      <w:szCs w:val="21"/>
                      <w14:textFill>
                        <w14:solidFill>
                          <w14:schemeClr w14:val="tx1"/>
                        </w14:solidFill>
                      </w14:textFill>
                    </w:rPr>
                  </w:pPr>
                </w:p>
              </w:tc>
              <w:tc>
                <w:tcPr>
                  <w:tcW w:w="707" w:type="pct"/>
                  <w:vMerge w:val="continue"/>
                  <w:vAlign w:val="center"/>
                </w:tcPr>
                <w:p w14:paraId="631DD128">
                  <w:pPr>
                    <w:widowControl/>
                    <w:jc w:val="left"/>
                    <w:rPr>
                      <w:color w:val="000000" w:themeColor="text1"/>
                      <w:spacing w:val="-20"/>
                      <w:szCs w:val="21"/>
                      <w14:textFill>
                        <w14:solidFill>
                          <w14:schemeClr w14:val="tx1"/>
                        </w14:solidFill>
                      </w14:textFill>
                    </w:rPr>
                  </w:pPr>
                </w:p>
              </w:tc>
              <w:tc>
                <w:tcPr>
                  <w:tcW w:w="659" w:type="pct"/>
                  <w:vMerge w:val="continue"/>
                  <w:vAlign w:val="center"/>
                </w:tcPr>
                <w:p w14:paraId="09EDCE97">
                  <w:pPr>
                    <w:widowControl/>
                    <w:jc w:val="left"/>
                    <w:rPr>
                      <w:color w:val="000000" w:themeColor="text1"/>
                      <w:spacing w:val="-20"/>
                      <w:szCs w:val="21"/>
                      <w14:textFill>
                        <w14:solidFill>
                          <w14:schemeClr w14:val="tx1"/>
                        </w14:solidFill>
                      </w14:textFill>
                    </w:rPr>
                  </w:pPr>
                </w:p>
              </w:tc>
              <w:tc>
                <w:tcPr>
                  <w:tcW w:w="404" w:type="pct"/>
                  <w:vMerge w:val="continue"/>
                  <w:vAlign w:val="center"/>
                </w:tcPr>
                <w:p w14:paraId="031B2F48">
                  <w:pPr>
                    <w:widowControl/>
                    <w:jc w:val="left"/>
                    <w:rPr>
                      <w:color w:val="000000" w:themeColor="text1"/>
                      <w:spacing w:val="-20"/>
                      <w:szCs w:val="21"/>
                      <w14:textFill>
                        <w14:solidFill>
                          <w14:schemeClr w14:val="tx1"/>
                        </w14:solidFill>
                      </w14:textFill>
                    </w:rPr>
                  </w:pPr>
                </w:p>
              </w:tc>
              <w:tc>
                <w:tcPr>
                  <w:tcW w:w="328" w:type="pct"/>
                  <w:vMerge w:val="continue"/>
                  <w:vAlign w:val="center"/>
                </w:tcPr>
                <w:p w14:paraId="44F18804">
                  <w:pPr>
                    <w:widowControl/>
                    <w:jc w:val="left"/>
                    <w:rPr>
                      <w:color w:val="000000" w:themeColor="text1"/>
                      <w:szCs w:val="21"/>
                      <w14:textFill>
                        <w14:solidFill>
                          <w14:schemeClr w14:val="tx1"/>
                        </w14:solidFill>
                      </w14:textFill>
                    </w:rPr>
                  </w:pPr>
                </w:p>
              </w:tc>
              <w:tc>
                <w:tcPr>
                  <w:tcW w:w="612" w:type="pct"/>
                  <w:vMerge w:val="continue"/>
                  <w:vAlign w:val="center"/>
                </w:tcPr>
                <w:p w14:paraId="00FBD767">
                  <w:pPr>
                    <w:widowControl/>
                    <w:jc w:val="left"/>
                    <w:rPr>
                      <w:color w:val="000000" w:themeColor="text1"/>
                      <w:szCs w:val="21"/>
                      <w14:textFill>
                        <w14:solidFill>
                          <w14:schemeClr w14:val="tx1"/>
                        </w14:solidFill>
                      </w14:textFill>
                    </w:rPr>
                  </w:pPr>
                </w:p>
              </w:tc>
              <w:tc>
                <w:tcPr>
                  <w:tcW w:w="313" w:type="pct"/>
                  <w:vMerge w:val="continue"/>
                  <w:vAlign w:val="center"/>
                </w:tcPr>
                <w:p w14:paraId="58833BA5">
                  <w:pPr>
                    <w:widowControl/>
                    <w:jc w:val="left"/>
                    <w:rPr>
                      <w:color w:val="000000" w:themeColor="text1"/>
                      <w:szCs w:val="21"/>
                      <w14:textFill>
                        <w14:solidFill>
                          <w14:schemeClr w14:val="tx1"/>
                        </w14:solidFill>
                      </w14:textFill>
                    </w:rPr>
                  </w:pPr>
                </w:p>
              </w:tc>
              <w:tc>
                <w:tcPr>
                  <w:tcW w:w="259" w:type="pct"/>
                  <w:vMerge w:val="continue"/>
                  <w:vAlign w:val="center"/>
                </w:tcPr>
                <w:p w14:paraId="3D940FBF">
                  <w:pPr>
                    <w:widowControl/>
                    <w:jc w:val="left"/>
                    <w:rPr>
                      <w:color w:val="000000" w:themeColor="text1"/>
                      <w:szCs w:val="21"/>
                      <w14:textFill>
                        <w14:solidFill>
                          <w14:schemeClr w14:val="tx1"/>
                        </w14:solidFill>
                      </w14:textFill>
                    </w:rPr>
                  </w:pPr>
                </w:p>
              </w:tc>
              <w:tc>
                <w:tcPr>
                  <w:tcW w:w="408" w:type="pct"/>
                  <w:vAlign w:val="center"/>
                </w:tcPr>
                <w:p w14:paraId="742CD96A">
                  <w:pPr>
                    <w:kinsoku w:val="0"/>
                    <w:overflowPunct w:val="0"/>
                    <w:autoSpaceDE w:val="0"/>
                    <w:autoSpaceDN w:val="0"/>
                    <w:adjustRightInd w:val="0"/>
                    <w:snapToGrid w:val="0"/>
                    <w:ind w:left="-107" w:leftChars="-51" w:right="-76" w:rightChars="-36"/>
                    <w:jc w:val="center"/>
                    <w:rPr>
                      <w:snapToGrid w:val="0"/>
                      <w:color w:val="000000" w:themeColor="text1"/>
                      <w:kern w:val="0"/>
                      <w14:textFill>
                        <w14:solidFill>
                          <w14:schemeClr w14:val="tx1"/>
                        </w14:solidFill>
                      </w14:textFill>
                    </w:rPr>
                  </w:pPr>
                  <w:r>
                    <w:rPr>
                      <w:rFonts w:hint="eastAsia"/>
                      <w:snapToGrid w:val="0"/>
                      <w:color w:val="000000" w:themeColor="text1"/>
                      <w:kern w:val="0"/>
                      <w14:textFill>
                        <w14:solidFill>
                          <w14:schemeClr w14:val="tx1"/>
                        </w14:solidFill>
                      </w14:textFill>
                    </w:rPr>
                    <w:t>石油类</w:t>
                  </w:r>
                </w:p>
              </w:tc>
              <w:tc>
                <w:tcPr>
                  <w:tcW w:w="692" w:type="pct"/>
                  <w:vAlign w:val="center"/>
                </w:tcPr>
                <w:p w14:paraId="779DBF3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14:paraId="310B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8" w:type="pct"/>
                  <w:vMerge w:val="continue"/>
                  <w:vAlign w:val="center"/>
                </w:tcPr>
                <w:p w14:paraId="639965C8">
                  <w:pPr>
                    <w:widowControl/>
                    <w:jc w:val="left"/>
                    <w:rPr>
                      <w:color w:val="000000" w:themeColor="text1"/>
                      <w:szCs w:val="21"/>
                      <w14:textFill>
                        <w14:solidFill>
                          <w14:schemeClr w14:val="tx1"/>
                        </w14:solidFill>
                      </w14:textFill>
                    </w:rPr>
                  </w:pPr>
                </w:p>
              </w:tc>
              <w:tc>
                <w:tcPr>
                  <w:tcW w:w="374" w:type="pct"/>
                  <w:vMerge w:val="continue"/>
                  <w:vAlign w:val="center"/>
                </w:tcPr>
                <w:p w14:paraId="0EE2A045">
                  <w:pPr>
                    <w:widowControl/>
                    <w:jc w:val="left"/>
                    <w:rPr>
                      <w:color w:val="000000" w:themeColor="text1"/>
                      <w:szCs w:val="21"/>
                      <w14:textFill>
                        <w14:solidFill>
                          <w14:schemeClr w14:val="tx1"/>
                        </w14:solidFill>
                      </w14:textFill>
                    </w:rPr>
                  </w:pPr>
                </w:p>
              </w:tc>
              <w:tc>
                <w:tcPr>
                  <w:tcW w:w="707" w:type="pct"/>
                  <w:vMerge w:val="continue"/>
                  <w:vAlign w:val="center"/>
                </w:tcPr>
                <w:p w14:paraId="272B3F26">
                  <w:pPr>
                    <w:widowControl/>
                    <w:jc w:val="left"/>
                    <w:rPr>
                      <w:color w:val="000000" w:themeColor="text1"/>
                      <w:spacing w:val="-20"/>
                      <w:szCs w:val="21"/>
                      <w14:textFill>
                        <w14:solidFill>
                          <w14:schemeClr w14:val="tx1"/>
                        </w14:solidFill>
                      </w14:textFill>
                    </w:rPr>
                  </w:pPr>
                </w:p>
              </w:tc>
              <w:tc>
                <w:tcPr>
                  <w:tcW w:w="659" w:type="pct"/>
                  <w:vMerge w:val="continue"/>
                  <w:vAlign w:val="center"/>
                </w:tcPr>
                <w:p w14:paraId="4122649B">
                  <w:pPr>
                    <w:widowControl/>
                    <w:jc w:val="left"/>
                    <w:rPr>
                      <w:color w:val="000000" w:themeColor="text1"/>
                      <w:spacing w:val="-20"/>
                      <w:szCs w:val="21"/>
                      <w14:textFill>
                        <w14:solidFill>
                          <w14:schemeClr w14:val="tx1"/>
                        </w14:solidFill>
                      </w14:textFill>
                    </w:rPr>
                  </w:pPr>
                </w:p>
              </w:tc>
              <w:tc>
                <w:tcPr>
                  <w:tcW w:w="404" w:type="pct"/>
                  <w:vMerge w:val="continue"/>
                  <w:vAlign w:val="center"/>
                </w:tcPr>
                <w:p w14:paraId="5F7A52F1">
                  <w:pPr>
                    <w:widowControl/>
                    <w:jc w:val="left"/>
                    <w:rPr>
                      <w:color w:val="000000" w:themeColor="text1"/>
                      <w:spacing w:val="-20"/>
                      <w:szCs w:val="21"/>
                      <w14:textFill>
                        <w14:solidFill>
                          <w14:schemeClr w14:val="tx1"/>
                        </w14:solidFill>
                      </w14:textFill>
                    </w:rPr>
                  </w:pPr>
                </w:p>
              </w:tc>
              <w:tc>
                <w:tcPr>
                  <w:tcW w:w="328" w:type="pct"/>
                  <w:vMerge w:val="continue"/>
                  <w:vAlign w:val="center"/>
                </w:tcPr>
                <w:p w14:paraId="72CCD013">
                  <w:pPr>
                    <w:widowControl/>
                    <w:jc w:val="left"/>
                    <w:rPr>
                      <w:color w:val="000000" w:themeColor="text1"/>
                      <w:szCs w:val="21"/>
                      <w14:textFill>
                        <w14:solidFill>
                          <w14:schemeClr w14:val="tx1"/>
                        </w14:solidFill>
                      </w14:textFill>
                    </w:rPr>
                  </w:pPr>
                </w:p>
              </w:tc>
              <w:tc>
                <w:tcPr>
                  <w:tcW w:w="612" w:type="pct"/>
                  <w:vMerge w:val="continue"/>
                  <w:vAlign w:val="center"/>
                </w:tcPr>
                <w:p w14:paraId="365751A7">
                  <w:pPr>
                    <w:widowControl/>
                    <w:jc w:val="left"/>
                    <w:rPr>
                      <w:color w:val="000000" w:themeColor="text1"/>
                      <w:szCs w:val="21"/>
                      <w14:textFill>
                        <w14:solidFill>
                          <w14:schemeClr w14:val="tx1"/>
                        </w14:solidFill>
                      </w14:textFill>
                    </w:rPr>
                  </w:pPr>
                </w:p>
              </w:tc>
              <w:tc>
                <w:tcPr>
                  <w:tcW w:w="313" w:type="pct"/>
                  <w:vMerge w:val="continue"/>
                  <w:vAlign w:val="center"/>
                </w:tcPr>
                <w:p w14:paraId="4EE44B1C">
                  <w:pPr>
                    <w:widowControl/>
                    <w:jc w:val="left"/>
                    <w:rPr>
                      <w:color w:val="000000" w:themeColor="text1"/>
                      <w:szCs w:val="21"/>
                      <w14:textFill>
                        <w14:solidFill>
                          <w14:schemeClr w14:val="tx1"/>
                        </w14:solidFill>
                      </w14:textFill>
                    </w:rPr>
                  </w:pPr>
                </w:p>
              </w:tc>
              <w:tc>
                <w:tcPr>
                  <w:tcW w:w="259" w:type="pct"/>
                  <w:vMerge w:val="continue"/>
                  <w:vAlign w:val="center"/>
                </w:tcPr>
                <w:p w14:paraId="27224A0A">
                  <w:pPr>
                    <w:widowControl/>
                    <w:jc w:val="left"/>
                    <w:rPr>
                      <w:color w:val="000000" w:themeColor="text1"/>
                      <w:szCs w:val="21"/>
                      <w14:textFill>
                        <w14:solidFill>
                          <w14:schemeClr w14:val="tx1"/>
                        </w14:solidFill>
                      </w14:textFill>
                    </w:rPr>
                  </w:pPr>
                </w:p>
              </w:tc>
              <w:tc>
                <w:tcPr>
                  <w:tcW w:w="408" w:type="pct"/>
                  <w:vAlign w:val="center"/>
                </w:tcPr>
                <w:p w14:paraId="697F2571">
                  <w:pPr>
                    <w:kinsoku w:val="0"/>
                    <w:overflowPunct w:val="0"/>
                    <w:autoSpaceDE w:val="0"/>
                    <w:autoSpaceDN w:val="0"/>
                    <w:adjustRightInd w:val="0"/>
                    <w:snapToGrid w:val="0"/>
                    <w:ind w:left="-107" w:leftChars="-51" w:right="-76" w:rightChars="-36"/>
                    <w:jc w:val="center"/>
                    <w:rPr>
                      <w:snapToGrid w:val="0"/>
                      <w:color w:val="000000" w:themeColor="text1"/>
                      <w:kern w:val="0"/>
                      <w14:textFill>
                        <w14:solidFill>
                          <w14:schemeClr w14:val="tx1"/>
                        </w14:solidFill>
                      </w14:textFill>
                    </w:rPr>
                  </w:pPr>
                  <w:r>
                    <w:rPr>
                      <w:snapToGrid w:val="0"/>
                      <w:color w:val="000000" w:themeColor="text1"/>
                      <w:kern w:val="0"/>
                      <w14:textFill>
                        <w14:solidFill>
                          <w14:schemeClr w14:val="tx1"/>
                        </w14:solidFill>
                      </w14:textFill>
                    </w:rPr>
                    <w:t>SS</w:t>
                  </w:r>
                </w:p>
              </w:tc>
              <w:tc>
                <w:tcPr>
                  <w:tcW w:w="692" w:type="pct"/>
                  <w:vAlign w:val="center"/>
                </w:tcPr>
                <w:p w14:paraId="4DCC48A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14:paraId="4513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8" w:type="pct"/>
                  <w:vMerge w:val="continue"/>
                  <w:vAlign w:val="center"/>
                </w:tcPr>
                <w:p w14:paraId="3336D15A">
                  <w:pPr>
                    <w:widowControl/>
                    <w:jc w:val="left"/>
                    <w:rPr>
                      <w:color w:val="000000" w:themeColor="text1"/>
                      <w:szCs w:val="21"/>
                      <w14:textFill>
                        <w14:solidFill>
                          <w14:schemeClr w14:val="tx1"/>
                        </w14:solidFill>
                      </w14:textFill>
                    </w:rPr>
                  </w:pPr>
                </w:p>
              </w:tc>
              <w:tc>
                <w:tcPr>
                  <w:tcW w:w="374" w:type="pct"/>
                  <w:vMerge w:val="continue"/>
                  <w:vAlign w:val="center"/>
                </w:tcPr>
                <w:p w14:paraId="590A34FF">
                  <w:pPr>
                    <w:widowControl/>
                    <w:jc w:val="left"/>
                    <w:rPr>
                      <w:color w:val="000000" w:themeColor="text1"/>
                      <w:szCs w:val="21"/>
                      <w14:textFill>
                        <w14:solidFill>
                          <w14:schemeClr w14:val="tx1"/>
                        </w14:solidFill>
                      </w14:textFill>
                    </w:rPr>
                  </w:pPr>
                </w:p>
              </w:tc>
              <w:tc>
                <w:tcPr>
                  <w:tcW w:w="707" w:type="pct"/>
                  <w:vMerge w:val="continue"/>
                  <w:vAlign w:val="center"/>
                </w:tcPr>
                <w:p w14:paraId="77A00987">
                  <w:pPr>
                    <w:widowControl/>
                    <w:jc w:val="left"/>
                    <w:rPr>
                      <w:color w:val="000000" w:themeColor="text1"/>
                      <w:spacing w:val="-20"/>
                      <w:szCs w:val="21"/>
                      <w14:textFill>
                        <w14:solidFill>
                          <w14:schemeClr w14:val="tx1"/>
                        </w14:solidFill>
                      </w14:textFill>
                    </w:rPr>
                  </w:pPr>
                </w:p>
              </w:tc>
              <w:tc>
                <w:tcPr>
                  <w:tcW w:w="659" w:type="pct"/>
                  <w:vMerge w:val="continue"/>
                  <w:vAlign w:val="center"/>
                </w:tcPr>
                <w:p w14:paraId="519A79A7">
                  <w:pPr>
                    <w:widowControl/>
                    <w:jc w:val="left"/>
                    <w:rPr>
                      <w:color w:val="000000" w:themeColor="text1"/>
                      <w:spacing w:val="-20"/>
                      <w:szCs w:val="21"/>
                      <w14:textFill>
                        <w14:solidFill>
                          <w14:schemeClr w14:val="tx1"/>
                        </w14:solidFill>
                      </w14:textFill>
                    </w:rPr>
                  </w:pPr>
                </w:p>
              </w:tc>
              <w:tc>
                <w:tcPr>
                  <w:tcW w:w="404" w:type="pct"/>
                  <w:vMerge w:val="continue"/>
                  <w:vAlign w:val="center"/>
                </w:tcPr>
                <w:p w14:paraId="2E39CE04">
                  <w:pPr>
                    <w:widowControl/>
                    <w:jc w:val="left"/>
                    <w:rPr>
                      <w:color w:val="000000" w:themeColor="text1"/>
                      <w:spacing w:val="-20"/>
                      <w:szCs w:val="21"/>
                      <w14:textFill>
                        <w14:solidFill>
                          <w14:schemeClr w14:val="tx1"/>
                        </w14:solidFill>
                      </w14:textFill>
                    </w:rPr>
                  </w:pPr>
                </w:p>
              </w:tc>
              <w:tc>
                <w:tcPr>
                  <w:tcW w:w="328" w:type="pct"/>
                  <w:vMerge w:val="continue"/>
                  <w:vAlign w:val="center"/>
                </w:tcPr>
                <w:p w14:paraId="7AA13AD4">
                  <w:pPr>
                    <w:widowControl/>
                    <w:jc w:val="left"/>
                    <w:rPr>
                      <w:color w:val="000000" w:themeColor="text1"/>
                      <w:szCs w:val="21"/>
                      <w14:textFill>
                        <w14:solidFill>
                          <w14:schemeClr w14:val="tx1"/>
                        </w14:solidFill>
                      </w14:textFill>
                    </w:rPr>
                  </w:pPr>
                </w:p>
              </w:tc>
              <w:tc>
                <w:tcPr>
                  <w:tcW w:w="612" w:type="pct"/>
                  <w:vMerge w:val="continue"/>
                  <w:vAlign w:val="center"/>
                </w:tcPr>
                <w:p w14:paraId="165ACCE1">
                  <w:pPr>
                    <w:widowControl/>
                    <w:jc w:val="left"/>
                    <w:rPr>
                      <w:color w:val="000000" w:themeColor="text1"/>
                      <w:szCs w:val="21"/>
                      <w14:textFill>
                        <w14:solidFill>
                          <w14:schemeClr w14:val="tx1"/>
                        </w14:solidFill>
                      </w14:textFill>
                    </w:rPr>
                  </w:pPr>
                </w:p>
              </w:tc>
              <w:tc>
                <w:tcPr>
                  <w:tcW w:w="313" w:type="pct"/>
                  <w:vMerge w:val="continue"/>
                  <w:vAlign w:val="center"/>
                </w:tcPr>
                <w:p w14:paraId="3472A2F0">
                  <w:pPr>
                    <w:widowControl/>
                    <w:jc w:val="left"/>
                    <w:rPr>
                      <w:color w:val="000000" w:themeColor="text1"/>
                      <w:szCs w:val="21"/>
                      <w14:textFill>
                        <w14:solidFill>
                          <w14:schemeClr w14:val="tx1"/>
                        </w14:solidFill>
                      </w14:textFill>
                    </w:rPr>
                  </w:pPr>
                </w:p>
              </w:tc>
              <w:tc>
                <w:tcPr>
                  <w:tcW w:w="259" w:type="pct"/>
                  <w:vMerge w:val="continue"/>
                  <w:vAlign w:val="center"/>
                </w:tcPr>
                <w:p w14:paraId="2CE1AACE">
                  <w:pPr>
                    <w:widowControl/>
                    <w:jc w:val="left"/>
                    <w:rPr>
                      <w:color w:val="000000" w:themeColor="text1"/>
                      <w:szCs w:val="21"/>
                      <w14:textFill>
                        <w14:solidFill>
                          <w14:schemeClr w14:val="tx1"/>
                        </w14:solidFill>
                      </w14:textFill>
                    </w:rPr>
                  </w:pPr>
                </w:p>
              </w:tc>
              <w:tc>
                <w:tcPr>
                  <w:tcW w:w="408" w:type="pct"/>
                  <w:vAlign w:val="center"/>
                </w:tcPr>
                <w:p w14:paraId="68625D9A">
                  <w:pPr>
                    <w:kinsoku w:val="0"/>
                    <w:overflowPunct w:val="0"/>
                    <w:autoSpaceDE w:val="0"/>
                    <w:autoSpaceDN w:val="0"/>
                    <w:adjustRightInd w:val="0"/>
                    <w:snapToGrid w:val="0"/>
                    <w:ind w:left="-107" w:leftChars="-51" w:right="-76" w:rightChars="-36"/>
                    <w:jc w:val="center"/>
                    <w:rPr>
                      <w:snapToGrid w:val="0"/>
                      <w:color w:val="000000" w:themeColor="text1"/>
                      <w:kern w:val="0"/>
                      <w14:textFill>
                        <w14:solidFill>
                          <w14:schemeClr w14:val="tx1"/>
                        </w14:solidFill>
                      </w14:textFill>
                    </w:rPr>
                  </w:pPr>
                  <w:r>
                    <w:rPr>
                      <w:rFonts w:hint="eastAsia"/>
                      <w:snapToGrid w:val="0"/>
                      <w:color w:val="000000" w:themeColor="text1"/>
                      <w:kern w:val="0"/>
                      <w14:textFill>
                        <w14:solidFill>
                          <w14:schemeClr w14:val="tx1"/>
                        </w14:solidFill>
                      </w14:textFill>
                    </w:rPr>
                    <w:t>氨氮</w:t>
                  </w:r>
                </w:p>
              </w:tc>
              <w:tc>
                <w:tcPr>
                  <w:tcW w:w="692" w:type="pct"/>
                  <w:vAlign w:val="center"/>
                </w:tcPr>
                <w:p w14:paraId="20ADC2B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（8）</w:t>
                  </w:r>
                </w:p>
              </w:tc>
            </w:tr>
          </w:tbl>
          <w:p w14:paraId="08DE3A4F">
            <w:pPr>
              <w:spacing w:line="500" w:lineRule="exact"/>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2、防治措施可行性及达标性</w:t>
            </w:r>
          </w:p>
          <w:p w14:paraId="506FA5C4">
            <w:pPr>
              <w:spacing w:line="500" w:lineRule="exact"/>
              <w:ind w:firstLine="480" w:firstLineChars="200"/>
              <w:rPr>
                <w:color w:val="000000"/>
                <w:sz w:val="24"/>
              </w:rPr>
            </w:pPr>
            <w:r>
              <w:rPr>
                <w:color w:val="000000"/>
                <w:sz w:val="24"/>
              </w:rPr>
              <w:t>本项目废水种类主要为生活污水。接入市政污水管网，排入固镇县污水处理厂深度处理，处理达到《城镇污水处理厂污染物排放标准》（GB18918-2002）表1中的一级A标准，最终排入</w:t>
            </w:r>
            <w:r>
              <w:rPr>
                <w:rFonts w:hint="eastAsia"/>
                <w:color w:val="000000"/>
                <w:sz w:val="24"/>
              </w:rPr>
              <w:t>浍河</w:t>
            </w:r>
            <w:r>
              <w:rPr>
                <w:color w:val="000000"/>
                <w:sz w:val="24"/>
              </w:rPr>
              <w:t>。</w:t>
            </w:r>
          </w:p>
          <w:p w14:paraId="66372B77">
            <w:pPr>
              <w:spacing w:line="500" w:lineRule="exact"/>
              <w:ind w:firstLine="480" w:firstLineChars="200"/>
              <w:rPr>
                <w:color w:val="000000"/>
                <w:sz w:val="24"/>
              </w:rPr>
            </w:pPr>
            <w:r>
              <w:rPr>
                <w:color w:val="000000"/>
                <w:sz w:val="24"/>
              </w:rPr>
              <w:t>固镇县污水处理厂采用</w:t>
            </w:r>
            <w:r>
              <w:rPr>
                <w:rFonts w:hint="eastAsia"/>
                <w:color w:val="000000"/>
                <w:sz w:val="24"/>
              </w:rPr>
              <w:t>“</w:t>
            </w:r>
            <w:r>
              <w:rPr>
                <w:color w:val="000000"/>
                <w:sz w:val="24"/>
              </w:rPr>
              <w:t>改良型卡式氧化沟处理工艺</w:t>
            </w:r>
            <w:r>
              <w:rPr>
                <w:rFonts w:hint="eastAsia"/>
                <w:color w:val="000000"/>
                <w:sz w:val="24"/>
              </w:rPr>
              <w:t>”</w:t>
            </w:r>
            <w:r>
              <w:rPr>
                <w:color w:val="000000"/>
                <w:sz w:val="24"/>
              </w:rPr>
              <w:t>工艺处理废水，尾水达《城镇污水处理厂污染物排放标准》（GB18918-2002）中一级A标准排放至</w:t>
            </w:r>
            <w:r>
              <w:rPr>
                <w:rFonts w:hint="eastAsia"/>
                <w:color w:val="000000"/>
                <w:sz w:val="24"/>
              </w:rPr>
              <w:t>浍河</w:t>
            </w:r>
            <w:r>
              <w:rPr>
                <w:color w:val="000000"/>
                <w:sz w:val="24"/>
              </w:rPr>
              <w:t>。</w:t>
            </w:r>
          </w:p>
          <w:p w14:paraId="6D8B5735">
            <w:pPr>
              <w:spacing w:line="500" w:lineRule="exact"/>
              <w:ind w:firstLine="480" w:firstLineChars="200"/>
              <w:rPr>
                <w:color w:val="000000"/>
                <w:sz w:val="24"/>
              </w:rPr>
            </w:pPr>
            <w:r>
              <w:rPr>
                <w:color w:val="000000"/>
                <w:sz w:val="24"/>
              </w:rPr>
              <w:t>固镇县污水处理厂</w:t>
            </w:r>
            <w:r>
              <w:rPr>
                <w:rFonts w:hint="eastAsia"/>
                <w:color w:val="000000"/>
                <w:sz w:val="24"/>
              </w:rPr>
              <w:t>处理</w:t>
            </w:r>
            <w:r>
              <w:rPr>
                <w:color w:val="000000"/>
                <w:sz w:val="24"/>
              </w:rPr>
              <w:t>规模为2.5万m</w:t>
            </w:r>
            <w:r>
              <w:rPr>
                <w:color w:val="000000"/>
                <w:sz w:val="24"/>
                <w:vertAlign w:val="superscript"/>
              </w:rPr>
              <w:t>3</w:t>
            </w:r>
            <w:r>
              <w:rPr>
                <w:color w:val="000000"/>
                <w:sz w:val="24"/>
              </w:rPr>
              <w:t>/d，现状处理量约1.2万m</w:t>
            </w:r>
            <w:r>
              <w:rPr>
                <w:color w:val="000000"/>
                <w:sz w:val="24"/>
                <w:vertAlign w:val="superscript"/>
              </w:rPr>
              <w:t>3</w:t>
            </w:r>
            <w:r>
              <w:rPr>
                <w:color w:val="000000"/>
                <w:sz w:val="24"/>
              </w:rPr>
              <w:t>/d，污水处理厂余量为1.3万m</w:t>
            </w:r>
            <w:r>
              <w:rPr>
                <w:color w:val="000000"/>
                <w:sz w:val="24"/>
                <w:vertAlign w:val="superscript"/>
              </w:rPr>
              <w:t>3</w:t>
            </w:r>
            <w:r>
              <w:rPr>
                <w:color w:val="000000"/>
                <w:sz w:val="24"/>
              </w:rPr>
              <w:t>/d。本项目废水排放量为</w:t>
            </w:r>
            <w:r>
              <w:rPr>
                <w:rFonts w:hint="eastAsia"/>
                <w:color w:val="000000"/>
                <w:sz w:val="24"/>
              </w:rPr>
              <w:t>1.28</w:t>
            </w:r>
            <w:r>
              <w:rPr>
                <w:color w:val="000000"/>
                <w:sz w:val="24"/>
              </w:rPr>
              <w:t>m</w:t>
            </w:r>
            <w:r>
              <w:rPr>
                <w:color w:val="000000"/>
                <w:sz w:val="24"/>
                <w:vertAlign w:val="superscript"/>
              </w:rPr>
              <w:t>3</w:t>
            </w:r>
            <w:r>
              <w:rPr>
                <w:color w:val="000000"/>
                <w:sz w:val="24"/>
              </w:rPr>
              <w:t>/d，占仅占余量的极小部分。且根据上述分析，本项目废水经</w:t>
            </w:r>
            <w:r>
              <w:rPr>
                <w:rFonts w:hint="eastAsia"/>
                <w:color w:val="000000"/>
                <w:sz w:val="24"/>
              </w:rPr>
              <w:t>化粪池预处理</w:t>
            </w:r>
            <w:r>
              <w:rPr>
                <w:color w:val="000000"/>
                <w:sz w:val="24"/>
              </w:rPr>
              <w:t>后水质满足固镇县污水处理厂接管标准。综上所述，本项目废水接入固镇县污水处理厂从地理位置和管网铺设方面考虑都是可行的。</w:t>
            </w:r>
          </w:p>
          <w:p w14:paraId="159D8A70">
            <w:p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3、地表水环境监测计划</w:t>
            </w:r>
          </w:p>
          <w:p w14:paraId="57D499AB">
            <w:p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w:t>
            </w:r>
            <w:r>
              <w:rPr>
                <w:rFonts w:hint="eastAsia"/>
                <w:color w:val="000000" w:themeColor="text1"/>
                <w:sz w:val="24"/>
                <w:highlight w:val="none"/>
                <w14:textFill>
                  <w14:solidFill>
                    <w14:schemeClr w14:val="tx1"/>
                  </w14:solidFill>
                </w14:textFill>
              </w:rPr>
              <w:t>《排污单位自行监测技术指南总则》（</w:t>
            </w:r>
            <w:r>
              <w:rPr>
                <w:color w:val="000000" w:themeColor="text1"/>
                <w:sz w:val="24"/>
                <w:highlight w:val="none"/>
                <w14:textFill>
                  <w14:solidFill>
                    <w14:schemeClr w14:val="tx1"/>
                  </w14:solidFill>
                </w14:textFill>
              </w:rPr>
              <w:t>HJ819-2017</w:t>
            </w:r>
            <w:r>
              <w:rPr>
                <w:rFonts w:hint="eastAsia"/>
                <w:color w:val="000000" w:themeColor="text1"/>
                <w:sz w:val="24"/>
                <w:highlight w:val="none"/>
                <w14:textFill>
                  <w14:solidFill>
                    <w14:schemeClr w14:val="tx1"/>
                  </w14:solidFill>
                </w14:textFill>
              </w:rPr>
              <w:t>）</w:t>
            </w:r>
            <w:r>
              <w:rPr>
                <w:rFonts w:hint="eastAsia"/>
                <w:color w:val="000000" w:themeColor="text1"/>
                <w:sz w:val="24"/>
                <w14:textFill>
                  <w14:solidFill>
                    <w14:schemeClr w14:val="tx1"/>
                  </w14:solidFill>
                </w14:textFill>
              </w:rPr>
              <w:t>，本项目污染源监测计划见下表：</w:t>
            </w:r>
          </w:p>
          <w:p w14:paraId="12180AB1">
            <w:pPr>
              <w:spacing w:line="500" w:lineRule="exact"/>
              <w:ind w:firstLine="482" w:firstLineChars="200"/>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 xml:space="preserve">表 </w:t>
            </w:r>
            <w:r>
              <w:rPr>
                <w:b/>
                <w:bCs/>
                <w:color w:val="000000" w:themeColor="text1"/>
                <w:kern w:val="0"/>
                <w:sz w:val="24"/>
                <w14:textFill>
                  <w14:solidFill>
                    <w14:schemeClr w14:val="tx1"/>
                  </w14:solidFill>
                </w14:textFill>
              </w:rPr>
              <w:t>4-</w:t>
            </w:r>
            <w:r>
              <w:rPr>
                <w:rFonts w:hint="eastAsia"/>
                <w:b/>
                <w:bCs/>
                <w:color w:val="000000" w:themeColor="text1"/>
                <w:kern w:val="0"/>
                <w:sz w:val="24"/>
                <w14:textFill>
                  <w14:solidFill>
                    <w14:schemeClr w14:val="tx1"/>
                  </w14:solidFill>
                </w14:textFill>
              </w:rPr>
              <w:t>11</w:t>
            </w:r>
            <w:r>
              <w:rPr>
                <w:b/>
                <w:bCs/>
                <w:color w:val="000000" w:themeColor="text1"/>
                <w:kern w:val="0"/>
                <w:sz w:val="24"/>
                <w14:textFill>
                  <w14:solidFill>
                    <w14:schemeClr w14:val="tx1"/>
                  </w14:solidFill>
                </w14:textFill>
              </w:rPr>
              <w:t xml:space="preserve">  </w:t>
            </w:r>
            <w:r>
              <w:rPr>
                <w:rFonts w:hint="eastAsia" w:ascii="宋体" w:hAnsi="宋体" w:cs="宋体"/>
                <w:b/>
                <w:bCs/>
                <w:color w:val="000000" w:themeColor="text1"/>
                <w:kern w:val="0"/>
                <w:sz w:val="24"/>
                <w14:textFill>
                  <w14:solidFill>
                    <w14:schemeClr w14:val="tx1"/>
                  </w14:solidFill>
                </w14:textFill>
              </w:rPr>
              <w:t>环境噪声监测计划及记录信息表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740"/>
              <w:gridCol w:w="1184"/>
              <w:gridCol w:w="2507"/>
              <w:gridCol w:w="1194"/>
              <w:gridCol w:w="2878"/>
            </w:tblGrid>
            <w:tr w14:paraId="6D09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0" w:type="pct"/>
                  <w:vAlign w:val="center"/>
                </w:tcPr>
                <w:p w14:paraId="3F5EEC69">
                  <w:pPr>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项目</w:t>
                  </w:r>
                </w:p>
              </w:tc>
              <w:tc>
                <w:tcPr>
                  <w:tcW w:w="395" w:type="pct"/>
                  <w:vAlign w:val="center"/>
                </w:tcPr>
                <w:p w14:paraId="37A05641">
                  <w:pPr>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类别</w:t>
                  </w:r>
                </w:p>
              </w:tc>
              <w:tc>
                <w:tcPr>
                  <w:tcW w:w="632" w:type="pct"/>
                  <w:vAlign w:val="center"/>
                </w:tcPr>
                <w:p w14:paraId="1D19DAD9">
                  <w:pPr>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监测点位</w:t>
                  </w:r>
                </w:p>
              </w:tc>
              <w:tc>
                <w:tcPr>
                  <w:tcW w:w="1338" w:type="pct"/>
                  <w:vAlign w:val="bottom"/>
                </w:tcPr>
                <w:p w14:paraId="03ED8B81">
                  <w:pPr>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监测项目</w:t>
                  </w:r>
                </w:p>
              </w:tc>
              <w:tc>
                <w:tcPr>
                  <w:tcW w:w="637" w:type="pct"/>
                  <w:vAlign w:val="center"/>
                </w:tcPr>
                <w:p w14:paraId="4B0D9114">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监测频次</w:t>
                  </w:r>
                </w:p>
              </w:tc>
              <w:tc>
                <w:tcPr>
                  <w:tcW w:w="1536" w:type="pct"/>
                  <w:vAlign w:val="center"/>
                </w:tcPr>
                <w:p w14:paraId="62839577">
                  <w:pPr>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执行</w:t>
                  </w:r>
                  <w:r>
                    <w:rPr>
                      <w:color w:val="000000" w:themeColor="text1"/>
                      <w:kern w:val="24"/>
                      <w:szCs w:val="21"/>
                      <w14:textFill>
                        <w14:solidFill>
                          <w14:schemeClr w14:val="tx1"/>
                        </w14:solidFill>
                      </w14:textFill>
                    </w:rPr>
                    <w:t>排放标准</w:t>
                  </w:r>
                </w:p>
              </w:tc>
            </w:tr>
            <w:tr w14:paraId="515D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0" w:type="pct"/>
                  <w:vMerge w:val="restart"/>
                  <w:vAlign w:val="center"/>
                </w:tcPr>
                <w:p w14:paraId="2CA292A9">
                  <w:pPr>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废水</w:t>
                  </w:r>
                </w:p>
              </w:tc>
              <w:tc>
                <w:tcPr>
                  <w:tcW w:w="395" w:type="pct"/>
                  <w:vAlign w:val="center"/>
                </w:tcPr>
                <w:p w14:paraId="73E12BD7">
                  <w:pPr>
                    <w:jc w:val="center"/>
                    <w:rPr>
                      <w:color w:val="000000" w:themeColor="text1"/>
                      <w:kern w:val="24"/>
                      <w:szCs w:val="21"/>
                      <w14:textFill>
                        <w14:solidFill>
                          <w14:schemeClr w14:val="tx1"/>
                        </w14:solidFill>
                      </w14:textFill>
                    </w:rPr>
                  </w:pPr>
                  <w:r>
                    <w:rPr>
                      <w:rFonts w:hint="eastAsia"/>
                      <w:snapToGrid w:val="0"/>
                      <w:color w:val="000000" w:themeColor="text1"/>
                      <w:kern w:val="24"/>
                      <w:szCs w:val="21"/>
                      <w14:textFill>
                        <w14:solidFill>
                          <w14:schemeClr w14:val="tx1"/>
                        </w14:solidFill>
                      </w14:textFill>
                    </w:rPr>
                    <w:t>生活污水</w:t>
                  </w:r>
                </w:p>
              </w:tc>
              <w:tc>
                <w:tcPr>
                  <w:tcW w:w="632" w:type="pct"/>
                  <w:vMerge w:val="restart"/>
                  <w:vAlign w:val="center"/>
                </w:tcPr>
                <w:p w14:paraId="205BDE21">
                  <w:pPr>
                    <w:jc w:val="center"/>
                    <w:rPr>
                      <w:snapToGrid w:val="0"/>
                      <w:color w:val="000000" w:themeColor="text1"/>
                      <w:kern w:val="24"/>
                      <w:szCs w:val="21"/>
                      <w14:textFill>
                        <w14:solidFill>
                          <w14:schemeClr w14:val="tx1"/>
                        </w14:solidFill>
                      </w14:textFill>
                    </w:rPr>
                  </w:pPr>
                  <w:r>
                    <w:rPr>
                      <w:rFonts w:hint="eastAsia"/>
                      <w:snapToGrid w:val="0"/>
                      <w:color w:val="000000" w:themeColor="text1"/>
                      <w:kern w:val="24"/>
                      <w:szCs w:val="21"/>
                      <w14:textFill>
                        <w14:solidFill>
                          <w14:schemeClr w14:val="tx1"/>
                        </w14:solidFill>
                      </w14:textFill>
                    </w:rPr>
                    <w:t>厂区</w:t>
                  </w:r>
                </w:p>
                <w:p w14:paraId="7F6557C0">
                  <w:pPr>
                    <w:jc w:val="center"/>
                    <w:rPr>
                      <w:snapToGrid w:val="0"/>
                      <w:color w:val="000000" w:themeColor="text1"/>
                      <w:kern w:val="24"/>
                      <w:szCs w:val="21"/>
                      <w14:textFill>
                        <w14:solidFill>
                          <w14:schemeClr w14:val="tx1"/>
                        </w14:solidFill>
                      </w14:textFill>
                    </w:rPr>
                  </w:pPr>
                  <w:r>
                    <w:rPr>
                      <w:rFonts w:hint="eastAsia"/>
                      <w:snapToGrid w:val="0"/>
                      <w:color w:val="000000" w:themeColor="text1"/>
                      <w:kern w:val="24"/>
                      <w:szCs w:val="21"/>
                      <w14:textFill>
                        <w14:solidFill>
                          <w14:schemeClr w14:val="tx1"/>
                        </w14:solidFill>
                      </w14:textFill>
                    </w:rPr>
                    <w:t>总排口</w:t>
                  </w:r>
                </w:p>
              </w:tc>
              <w:tc>
                <w:tcPr>
                  <w:tcW w:w="1338" w:type="pct"/>
                  <w:vMerge w:val="restart"/>
                  <w:vAlign w:val="center"/>
                </w:tcPr>
                <w:p w14:paraId="6DE450B1">
                  <w:pPr>
                    <w:jc w:val="center"/>
                    <w:rPr>
                      <w:snapToGrid w:val="0"/>
                      <w:color w:val="000000" w:themeColor="text1"/>
                      <w:kern w:val="24"/>
                      <w:szCs w:val="21"/>
                      <w14:textFill>
                        <w14:solidFill>
                          <w14:schemeClr w14:val="tx1"/>
                        </w14:solidFill>
                      </w14:textFill>
                    </w:rPr>
                  </w:pPr>
                  <w:r>
                    <w:rPr>
                      <w:rFonts w:hint="eastAsia"/>
                      <w:snapToGrid w:val="0"/>
                      <w:color w:val="000000" w:themeColor="text1"/>
                      <w:kern w:val="0"/>
                      <w14:textFill>
                        <w14:solidFill>
                          <w14:schemeClr w14:val="tx1"/>
                        </w14:solidFill>
                      </w14:textFill>
                    </w:rPr>
                    <w:t>流量、</w:t>
                  </w:r>
                  <w:r>
                    <w:rPr>
                      <w:snapToGrid w:val="0"/>
                      <w:color w:val="000000" w:themeColor="text1"/>
                      <w:kern w:val="0"/>
                      <w14:textFill>
                        <w14:solidFill>
                          <w14:schemeClr w14:val="tx1"/>
                        </w14:solidFill>
                      </w14:textFill>
                    </w:rPr>
                    <w:t>pH</w:t>
                  </w:r>
                  <w:r>
                    <w:rPr>
                      <w:rFonts w:hint="eastAsia"/>
                      <w:snapToGrid w:val="0"/>
                      <w:color w:val="000000" w:themeColor="text1"/>
                      <w:kern w:val="0"/>
                      <w14:textFill>
                        <w14:solidFill>
                          <w14:schemeClr w14:val="tx1"/>
                        </w14:solidFill>
                      </w14:textFill>
                    </w:rPr>
                    <w:t>、</w:t>
                  </w:r>
                  <w:r>
                    <w:rPr>
                      <w:snapToGrid w:val="0"/>
                      <w:color w:val="000000" w:themeColor="text1"/>
                      <w:kern w:val="0"/>
                      <w14:textFill>
                        <w14:solidFill>
                          <w14:schemeClr w14:val="tx1"/>
                        </w14:solidFill>
                      </w14:textFill>
                    </w:rPr>
                    <w:t>COD</w:t>
                  </w:r>
                  <w:r>
                    <w:rPr>
                      <w:rFonts w:hint="eastAsia"/>
                      <w:snapToGrid w:val="0"/>
                      <w:color w:val="000000" w:themeColor="text1"/>
                      <w:kern w:val="0"/>
                      <w14:textFill>
                        <w14:solidFill>
                          <w14:schemeClr w14:val="tx1"/>
                        </w14:solidFill>
                      </w14:textFill>
                    </w:rPr>
                    <w:t>、</w:t>
                  </w:r>
                  <w:r>
                    <w:rPr>
                      <w:snapToGrid w:val="0"/>
                      <w:color w:val="000000" w:themeColor="text1"/>
                      <w:kern w:val="0"/>
                      <w14:textFill>
                        <w14:solidFill>
                          <w14:schemeClr w14:val="tx1"/>
                        </w14:solidFill>
                      </w14:textFill>
                    </w:rPr>
                    <w:t>SS</w:t>
                  </w:r>
                  <w:r>
                    <w:rPr>
                      <w:rFonts w:hint="eastAsia"/>
                      <w:snapToGrid w:val="0"/>
                      <w:color w:val="000000" w:themeColor="text1"/>
                      <w:kern w:val="0"/>
                      <w14:textFill>
                        <w14:solidFill>
                          <w14:schemeClr w14:val="tx1"/>
                        </w14:solidFill>
                      </w14:textFill>
                    </w:rPr>
                    <w:t>、</w:t>
                  </w:r>
                  <w:r>
                    <w:rPr>
                      <w:snapToGrid w:val="0"/>
                      <w:color w:val="000000" w:themeColor="text1"/>
                      <w:kern w:val="0"/>
                      <w14:textFill>
                        <w14:solidFill>
                          <w14:schemeClr w14:val="tx1"/>
                        </w14:solidFill>
                      </w14:textFill>
                    </w:rPr>
                    <w:t>NH</w:t>
                  </w:r>
                  <w:r>
                    <w:rPr>
                      <w:snapToGrid w:val="0"/>
                      <w:color w:val="000000" w:themeColor="text1"/>
                      <w:kern w:val="0"/>
                      <w:vertAlign w:val="subscript"/>
                      <w14:textFill>
                        <w14:solidFill>
                          <w14:schemeClr w14:val="tx1"/>
                        </w14:solidFill>
                      </w14:textFill>
                    </w:rPr>
                    <w:t>3</w:t>
                  </w:r>
                  <w:r>
                    <w:rPr>
                      <w:snapToGrid w:val="0"/>
                      <w:color w:val="000000" w:themeColor="text1"/>
                      <w:kern w:val="0"/>
                      <w14:textFill>
                        <w14:solidFill>
                          <w14:schemeClr w14:val="tx1"/>
                        </w14:solidFill>
                      </w14:textFill>
                    </w:rPr>
                    <w:t>-N</w:t>
                  </w:r>
                  <w:r>
                    <w:rPr>
                      <w:rFonts w:hint="eastAsia"/>
                      <w:snapToGrid w:val="0"/>
                      <w:color w:val="000000" w:themeColor="text1"/>
                      <w:kern w:val="0"/>
                      <w14:textFill>
                        <w14:solidFill>
                          <w14:schemeClr w14:val="tx1"/>
                        </w14:solidFill>
                      </w14:textFill>
                    </w:rPr>
                    <w:t>、石油类</w:t>
                  </w:r>
                </w:p>
              </w:tc>
              <w:tc>
                <w:tcPr>
                  <w:tcW w:w="637" w:type="pct"/>
                  <w:vMerge w:val="restart"/>
                  <w:vAlign w:val="center"/>
                </w:tcPr>
                <w:p w14:paraId="6AF87E86">
                  <w:pPr>
                    <w:jc w:val="center"/>
                    <w:rPr>
                      <w:snapToGrid w:val="0"/>
                      <w:color w:val="000000" w:themeColor="text1"/>
                      <w:kern w:val="24"/>
                      <w:szCs w:val="21"/>
                      <w14:textFill>
                        <w14:solidFill>
                          <w14:schemeClr w14:val="tx1"/>
                        </w14:solidFill>
                      </w14:textFill>
                    </w:rPr>
                  </w:pPr>
                  <w:r>
                    <w:rPr>
                      <w:snapToGrid w:val="0"/>
                      <w:color w:val="000000" w:themeColor="text1"/>
                      <w:kern w:val="24"/>
                      <w:szCs w:val="21"/>
                      <w14:textFill>
                        <w14:solidFill>
                          <w14:schemeClr w14:val="tx1"/>
                        </w14:solidFill>
                      </w14:textFill>
                    </w:rPr>
                    <w:t>1次/年</w:t>
                  </w:r>
                </w:p>
              </w:tc>
              <w:tc>
                <w:tcPr>
                  <w:tcW w:w="1536" w:type="pct"/>
                  <w:vMerge w:val="restart"/>
                  <w:vAlign w:val="center"/>
                </w:tcPr>
                <w:p w14:paraId="5A1ACDFE">
                  <w:pPr>
                    <w:widowControl/>
                    <w:jc w:val="center"/>
                    <w:rPr>
                      <w:rFonts w:ascii="宋体" w:hAnsi="宋体" w:cs="宋体"/>
                      <w:color w:val="000000" w:themeColor="text1"/>
                      <w:kern w:val="0"/>
                      <w:sz w:val="24"/>
                      <w14:textFill>
                        <w14:solidFill>
                          <w14:schemeClr w14:val="tx1"/>
                        </w14:solidFill>
                      </w14:textFill>
                    </w:rPr>
                  </w:pPr>
                  <w:r>
                    <w:rPr>
                      <w:rFonts w:ascii="宋体" w:hAnsi="宋体" w:cs="宋体"/>
                      <w:color w:val="000000" w:themeColor="text1"/>
                      <w:kern w:val="0"/>
                      <w:szCs w:val="21"/>
                      <w14:textFill>
                        <w14:solidFill>
                          <w14:schemeClr w14:val="tx1"/>
                        </w14:solidFill>
                      </w14:textFill>
                    </w:rPr>
                    <w:t>《污水综合排放标准》表4中三级排放标准要求</w:t>
                  </w:r>
                </w:p>
              </w:tc>
            </w:tr>
            <w:tr w14:paraId="24D4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0" w:type="pct"/>
                  <w:vMerge w:val="continue"/>
                  <w:tcBorders>
                    <w:bottom w:val="single" w:color="auto" w:sz="4" w:space="0"/>
                  </w:tcBorders>
                  <w:vAlign w:val="center"/>
                </w:tcPr>
                <w:p w14:paraId="09D4FD00">
                  <w:pPr>
                    <w:jc w:val="center"/>
                    <w:rPr>
                      <w:color w:val="000000" w:themeColor="text1"/>
                      <w:kern w:val="24"/>
                      <w:szCs w:val="21"/>
                      <w14:textFill>
                        <w14:solidFill>
                          <w14:schemeClr w14:val="tx1"/>
                        </w14:solidFill>
                      </w14:textFill>
                    </w:rPr>
                  </w:pPr>
                </w:p>
              </w:tc>
              <w:tc>
                <w:tcPr>
                  <w:tcW w:w="395" w:type="pct"/>
                  <w:tcBorders>
                    <w:bottom w:val="single" w:color="auto" w:sz="4" w:space="0"/>
                  </w:tcBorders>
                  <w:vAlign w:val="center"/>
                </w:tcPr>
                <w:p w14:paraId="4AFA9907">
                  <w:pPr>
                    <w:jc w:val="center"/>
                    <w:rPr>
                      <w:snapToGrid w:val="0"/>
                      <w:color w:val="000000" w:themeColor="text1"/>
                      <w:kern w:val="24"/>
                      <w:szCs w:val="21"/>
                      <w14:textFill>
                        <w14:solidFill>
                          <w14:schemeClr w14:val="tx1"/>
                        </w14:solidFill>
                      </w14:textFill>
                    </w:rPr>
                  </w:pPr>
                  <w:r>
                    <w:rPr>
                      <w:rFonts w:hint="eastAsia"/>
                      <w:snapToGrid w:val="0"/>
                      <w:color w:val="000000" w:themeColor="text1"/>
                      <w:kern w:val="24"/>
                      <w:szCs w:val="21"/>
                      <w14:textFill>
                        <w14:solidFill>
                          <w14:schemeClr w14:val="tx1"/>
                        </w14:solidFill>
                      </w14:textFill>
                    </w:rPr>
                    <w:t>地面冲洗水</w:t>
                  </w:r>
                </w:p>
              </w:tc>
              <w:tc>
                <w:tcPr>
                  <w:tcW w:w="632" w:type="pct"/>
                  <w:vMerge w:val="continue"/>
                  <w:tcBorders>
                    <w:bottom w:val="single" w:color="auto" w:sz="4" w:space="0"/>
                  </w:tcBorders>
                  <w:vAlign w:val="center"/>
                </w:tcPr>
                <w:p w14:paraId="0ACD8BF2">
                  <w:pPr>
                    <w:jc w:val="center"/>
                    <w:rPr>
                      <w:snapToGrid w:val="0"/>
                      <w:color w:val="000000" w:themeColor="text1"/>
                      <w:kern w:val="24"/>
                      <w:szCs w:val="21"/>
                      <w14:textFill>
                        <w14:solidFill>
                          <w14:schemeClr w14:val="tx1"/>
                        </w14:solidFill>
                      </w14:textFill>
                    </w:rPr>
                  </w:pPr>
                </w:p>
              </w:tc>
              <w:tc>
                <w:tcPr>
                  <w:tcW w:w="1338" w:type="pct"/>
                  <w:vMerge w:val="continue"/>
                  <w:tcBorders>
                    <w:bottom w:val="single" w:color="auto" w:sz="4" w:space="0"/>
                  </w:tcBorders>
                  <w:vAlign w:val="center"/>
                </w:tcPr>
                <w:p w14:paraId="0A7E73B2">
                  <w:pPr>
                    <w:jc w:val="center"/>
                    <w:rPr>
                      <w:snapToGrid w:val="0"/>
                      <w:color w:val="000000" w:themeColor="text1"/>
                      <w:kern w:val="0"/>
                      <w14:textFill>
                        <w14:solidFill>
                          <w14:schemeClr w14:val="tx1"/>
                        </w14:solidFill>
                      </w14:textFill>
                    </w:rPr>
                  </w:pPr>
                </w:p>
              </w:tc>
              <w:tc>
                <w:tcPr>
                  <w:tcW w:w="637" w:type="pct"/>
                  <w:vMerge w:val="continue"/>
                  <w:tcBorders>
                    <w:bottom w:val="single" w:color="auto" w:sz="4" w:space="0"/>
                  </w:tcBorders>
                  <w:vAlign w:val="center"/>
                </w:tcPr>
                <w:p w14:paraId="302930A8">
                  <w:pPr>
                    <w:jc w:val="center"/>
                    <w:rPr>
                      <w:snapToGrid w:val="0"/>
                      <w:color w:val="000000" w:themeColor="text1"/>
                      <w:kern w:val="24"/>
                      <w:szCs w:val="21"/>
                      <w14:textFill>
                        <w14:solidFill>
                          <w14:schemeClr w14:val="tx1"/>
                        </w14:solidFill>
                      </w14:textFill>
                    </w:rPr>
                  </w:pPr>
                </w:p>
              </w:tc>
              <w:tc>
                <w:tcPr>
                  <w:tcW w:w="1536" w:type="pct"/>
                  <w:vMerge w:val="continue"/>
                  <w:tcBorders>
                    <w:bottom w:val="single" w:color="auto" w:sz="4" w:space="0"/>
                  </w:tcBorders>
                  <w:vAlign w:val="center"/>
                </w:tcPr>
                <w:p w14:paraId="373C7154">
                  <w:pPr>
                    <w:widowControl/>
                    <w:jc w:val="center"/>
                    <w:rPr>
                      <w:rFonts w:ascii="宋体" w:hAnsi="宋体" w:cs="宋体"/>
                      <w:color w:val="000000" w:themeColor="text1"/>
                      <w:kern w:val="0"/>
                      <w:szCs w:val="21"/>
                      <w14:textFill>
                        <w14:solidFill>
                          <w14:schemeClr w14:val="tx1"/>
                        </w14:solidFill>
                      </w14:textFill>
                    </w:rPr>
                  </w:pPr>
                </w:p>
              </w:tc>
            </w:tr>
          </w:tbl>
          <w:p w14:paraId="0316E90F">
            <w:pPr>
              <w:tabs>
                <w:tab w:val="left" w:pos="-160"/>
              </w:tabs>
              <w:spacing w:line="50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三</w:t>
            </w:r>
            <w:r>
              <w:rPr>
                <w:b/>
                <w:color w:val="000000" w:themeColor="text1"/>
                <w:sz w:val="24"/>
                <w14:textFill>
                  <w14:solidFill>
                    <w14:schemeClr w14:val="tx1"/>
                  </w14:solidFill>
                </w14:textFill>
              </w:rPr>
              <w:t>、噪声</w:t>
            </w:r>
          </w:p>
          <w:p w14:paraId="20F796F4">
            <w:pPr>
              <w:tabs>
                <w:tab w:val="left" w:pos="-160"/>
              </w:tabs>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1、噪声产排情况</w:t>
            </w:r>
          </w:p>
          <w:p w14:paraId="5566D274">
            <w:pPr>
              <w:tabs>
                <w:tab w:val="left" w:pos="-160"/>
              </w:tabs>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本项目噪声主要为生产设备产生的机械噪声。本项目噪声污染源主要是</w:t>
            </w:r>
            <w:r>
              <w:rPr>
                <w:rFonts w:hint="eastAsia"/>
                <w:color w:val="000000" w:themeColor="text1"/>
                <w:sz w:val="24"/>
                <w14:textFill>
                  <w14:solidFill>
                    <w14:schemeClr w14:val="tx1"/>
                  </w14:solidFill>
                </w14:textFill>
              </w:rPr>
              <w:t>潜油泵、加油机、进出车辆等</w:t>
            </w:r>
            <w:r>
              <w:rPr>
                <w:color w:val="000000" w:themeColor="text1"/>
                <w:sz w:val="24"/>
                <w14:textFill>
                  <w14:solidFill>
                    <w14:schemeClr w14:val="tx1"/>
                  </w14:solidFill>
                </w14:textFill>
              </w:rPr>
              <w:t>产生的噪声。</w:t>
            </w:r>
          </w:p>
          <w:p w14:paraId="64A48561">
            <w:pPr>
              <w:tabs>
                <w:tab w:val="left" w:pos="5355"/>
              </w:tabs>
              <w:spacing w:line="500" w:lineRule="exact"/>
              <w:ind w:firstLine="482" w:firstLineChars="20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w:t>
            </w:r>
            <w:r>
              <w:rPr>
                <w:rFonts w:hint="eastAsia"/>
                <w:b/>
                <w:bCs/>
                <w:color w:val="000000" w:themeColor="text1"/>
                <w:sz w:val="24"/>
                <w14:textFill>
                  <w14:solidFill>
                    <w14:schemeClr w14:val="tx1"/>
                  </w14:solidFill>
                </w14:textFill>
              </w:rPr>
              <w:t>12</w:t>
            </w:r>
            <w:r>
              <w:rPr>
                <w:b/>
                <w:bCs/>
                <w:color w:val="000000" w:themeColor="text1"/>
                <w:sz w:val="24"/>
                <w14:textFill>
                  <w14:solidFill>
                    <w14:schemeClr w14:val="tx1"/>
                  </w14:solidFill>
                </w14:textFill>
              </w:rPr>
              <w:t xml:space="preserve"> 噪声污染源源强核算结果及相关参数一览表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2364"/>
              <w:gridCol w:w="736"/>
              <w:gridCol w:w="948"/>
              <w:gridCol w:w="954"/>
              <w:gridCol w:w="1113"/>
              <w:gridCol w:w="1946"/>
              <w:gridCol w:w="860"/>
            </w:tblGrid>
            <w:tr w14:paraId="2CF5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restart"/>
                  <w:tcBorders>
                    <w:top w:val="single" w:color="auto" w:sz="4" w:space="0"/>
                    <w:left w:val="single" w:color="auto" w:sz="4" w:space="0"/>
                    <w:bottom w:val="single" w:color="auto" w:sz="4" w:space="0"/>
                    <w:right w:val="single" w:color="auto" w:sz="4" w:space="0"/>
                  </w:tcBorders>
                  <w:vAlign w:val="center"/>
                </w:tcPr>
                <w:p w14:paraId="3C861DD4">
                  <w:pPr>
                    <w:jc w:val="center"/>
                    <w:rPr>
                      <w:kern w:val="0"/>
                      <w:szCs w:val="21"/>
                    </w:rPr>
                  </w:pPr>
                  <w:r>
                    <w:rPr>
                      <w:rFonts w:hint="eastAsia"/>
                      <w:szCs w:val="21"/>
                    </w:rPr>
                    <w:t>序号</w:t>
                  </w:r>
                </w:p>
              </w:tc>
              <w:tc>
                <w:tcPr>
                  <w:tcW w:w="1262" w:type="pct"/>
                  <w:vMerge w:val="restart"/>
                  <w:tcBorders>
                    <w:top w:val="single" w:color="auto" w:sz="4" w:space="0"/>
                    <w:left w:val="single" w:color="auto" w:sz="4" w:space="0"/>
                    <w:bottom w:val="single" w:color="auto" w:sz="4" w:space="0"/>
                    <w:right w:val="single" w:color="auto" w:sz="4" w:space="0"/>
                  </w:tcBorders>
                  <w:vAlign w:val="center"/>
                </w:tcPr>
                <w:p w14:paraId="00331953">
                  <w:pPr>
                    <w:jc w:val="center"/>
                    <w:rPr>
                      <w:szCs w:val="21"/>
                    </w:rPr>
                  </w:pPr>
                  <w:r>
                    <w:rPr>
                      <w:rFonts w:hint="eastAsia"/>
                      <w:szCs w:val="21"/>
                    </w:rPr>
                    <w:t>噪声源</w:t>
                  </w:r>
                </w:p>
              </w:tc>
              <w:tc>
                <w:tcPr>
                  <w:tcW w:w="393" w:type="pct"/>
                  <w:vMerge w:val="restart"/>
                  <w:tcBorders>
                    <w:top w:val="single" w:color="auto" w:sz="4" w:space="0"/>
                    <w:left w:val="single" w:color="auto" w:sz="4" w:space="0"/>
                    <w:bottom w:val="single" w:color="auto" w:sz="4" w:space="0"/>
                    <w:right w:val="single" w:color="auto" w:sz="4" w:space="0"/>
                  </w:tcBorders>
                  <w:vAlign w:val="center"/>
                </w:tcPr>
                <w:p w14:paraId="435F2752">
                  <w:pPr>
                    <w:jc w:val="center"/>
                    <w:rPr>
                      <w:szCs w:val="21"/>
                    </w:rPr>
                  </w:pPr>
                  <w:r>
                    <w:rPr>
                      <w:rFonts w:hint="eastAsia"/>
                      <w:szCs w:val="21"/>
                    </w:rPr>
                    <w:t>数量</w:t>
                  </w:r>
                </w:p>
              </w:tc>
              <w:tc>
                <w:tcPr>
                  <w:tcW w:w="1015" w:type="pct"/>
                  <w:gridSpan w:val="2"/>
                  <w:tcBorders>
                    <w:top w:val="single" w:color="auto" w:sz="4" w:space="0"/>
                    <w:left w:val="single" w:color="auto" w:sz="4" w:space="0"/>
                    <w:bottom w:val="single" w:color="auto" w:sz="4" w:space="0"/>
                    <w:right w:val="single" w:color="auto" w:sz="4" w:space="0"/>
                  </w:tcBorders>
                  <w:vAlign w:val="center"/>
                </w:tcPr>
                <w:p w14:paraId="34744809">
                  <w:pPr>
                    <w:jc w:val="center"/>
                    <w:rPr>
                      <w:szCs w:val="21"/>
                    </w:rPr>
                  </w:pPr>
                  <w:r>
                    <w:rPr>
                      <w:rFonts w:hint="eastAsia"/>
                      <w:szCs w:val="21"/>
                    </w:rPr>
                    <w:t>噪声源强</w:t>
                  </w:r>
                </w:p>
              </w:tc>
              <w:tc>
                <w:tcPr>
                  <w:tcW w:w="594" w:type="pct"/>
                  <w:vMerge w:val="restart"/>
                  <w:tcBorders>
                    <w:top w:val="single" w:color="auto" w:sz="4" w:space="0"/>
                    <w:left w:val="single" w:color="auto" w:sz="4" w:space="0"/>
                    <w:bottom w:val="single" w:color="auto" w:sz="4" w:space="0"/>
                    <w:right w:val="single" w:color="auto" w:sz="4" w:space="0"/>
                  </w:tcBorders>
                  <w:vAlign w:val="center"/>
                </w:tcPr>
                <w:p w14:paraId="6BFC61ED">
                  <w:pPr>
                    <w:jc w:val="center"/>
                    <w:rPr>
                      <w:szCs w:val="21"/>
                    </w:rPr>
                  </w:pPr>
                  <w:r>
                    <w:rPr>
                      <w:rFonts w:hint="eastAsia"/>
                      <w:szCs w:val="21"/>
                    </w:rPr>
                    <w:t>所在位置</w:t>
                  </w:r>
                </w:p>
              </w:tc>
              <w:tc>
                <w:tcPr>
                  <w:tcW w:w="1039" w:type="pct"/>
                  <w:vMerge w:val="restart"/>
                  <w:tcBorders>
                    <w:top w:val="single" w:color="auto" w:sz="4" w:space="0"/>
                    <w:left w:val="single" w:color="auto" w:sz="4" w:space="0"/>
                    <w:bottom w:val="single" w:color="auto" w:sz="4" w:space="0"/>
                    <w:right w:val="single" w:color="auto" w:sz="4" w:space="0"/>
                  </w:tcBorders>
                  <w:vAlign w:val="center"/>
                </w:tcPr>
                <w:p w14:paraId="4C45A713">
                  <w:pPr>
                    <w:jc w:val="center"/>
                    <w:rPr>
                      <w:szCs w:val="21"/>
                    </w:rPr>
                  </w:pPr>
                  <w:r>
                    <w:rPr>
                      <w:rFonts w:hint="eastAsia"/>
                      <w:szCs w:val="21"/>
                    </w:rPr>
                    <w:t>降噪措施</w:t>
                  </w:r>
                </w:p>
              </w:tc>
              <w:tc>
                <w:tcPr>
                  <w:tcW w:w="459" w:type="pct"/>
                  <w:vMerge w:val="restart"/>
                  <w:tcBorders>
                    <w:top w:val="single" w:color="auto" w:sz="4" w:space="0"/>
                    <w:left w:val="single" w:color="auto" w:sz="4" w:space="0"/>
                    <w:bottom w:val="single" w:color="auto" w:sz="4" w:space="0"/>
                    <w:right w:val="single" w:color="auto" w:sz="4" w:space="0"/>
                  </w:tcBorders>
                  <w:vAlign w:val="center"/>
                </w:tcPr>
                <w:p w14:paraId="272765FC">
                  <w:pPr>
                    <w:jc w:val="center"/>
                    <w:rPr>
                      <w:szCs w:val="21"/>
                    </w:rPr>
                  </w:pPr>
                  <w:r>
                    <w:rPr>
                      <w:rFonts w:hint="eastAsia"/>
                      <w:szCs w:val="21"/>
                    </w:rPr>
                    <w:t>降噪</w:t>
                  </w:r>
                </w:p>
                <w:p w14:paraId="2D804579">
                  <w:pPr>
                    <w:jc w:val="center"/>
                    <w:rPr>
                      <w:szCs w:val="21"/>
                    </w:rPr>
                  </w:pPr>
                  <w:r>
                    <w:rPr>
                      <w:rFonts w:hint="eastAsia"/>
                      <w:szCs w:val="21"/>
                    </w:rPr>
                    <w:t>效果</w:t>
                  </w:r>
                </w:p>
              </w:tc>
            </w:tr>
            <w:tr w14:paraId="20D38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tcBorders>
                    <w:top w:val="single" w:color="auto" w:sz="4" w:space="0"/>
                    <w:left w:val="single" w:color="auto" w:sz="4" w:space="0"/>
                    <w:bottom w:val="single" w:color="auto" w:sz="4" w:space="0"/>
                    <w:right w:val="single" w:color="auto" w:sz="4" w:space="0"/>
                  </w:tcBorders>
                  <w:vAlign w:val="center"/>
                </w:tcPr>
                <w:p w14:paraId="7192F69D">
                  <w:pPr>
                    <w:widowControl/>
                    <w:jc w:val="left"/>
                    <w:rPr>
                      <w:szCs w:val="21"/>
                    </w:rPr>
                  </w:pPr>
                </w:p>
              </w:tc>
              <w:tc>
                <w:tcPr>
                  <w:tcW w:w="1262" w:type="pct"/>
                  <w:vMerge w:val="continue"/>
                  <w:tcBorders>
                    <w:top w:val="single" w:color="auto" w:sz="4" w:space="0"/>
                    <w:left w:val="single" w:color="auto" w:sz="4" w:space="0"/>
                    <w:bottom w:val="single" w:color="auto" w:sz="4" w:space="0"/>
                    <w:right w:val="single" w:color="auto" w:sz="4" w:space="0"/>
                  </w:tcBorders>
                  <w:vAlign w:val="center"/>
                </w:tcPr>
                <w:p w14:paraId="2E0BD368">
                  <w:pPr>
                    <w:widowControl/>
                    <w:jc w:val="left"/>
                    <w:rPr>
                      <w:szCs w:val="21"/>
                    </w:rPr>
                  </w:pPr>
                </w:p>
              </w:tc>
              <w:tc>
                <w:tcPr>
                  <w:tcW w:w="393" w:type="pct"/>
                  <w:vMerge w:val="continue"/>
                  <w:tcBorders>
                    <w:top w:val="single" w:color="auto" w:sz="4" w:space="0"/>
                    <w:left w:val="single" w:color="auto" w:sz="4" w:space="0"/>
                    <w:bottom w:val="single" w:color="auto" w:sz="4" w:space="0"/>
                    <w:right w:val="single" w:color="auto" w:sz="4" w:space="0"/>
                  </w:tcBorders>
                  <w:vAlign w:val="center"/>
                </w:tcPr>
                <w:p w14:paraId="16BA05B0">
                  <w:pPr>
                    <w:widowControl/>
                    <w:jc w:val="left"/>
                    <w:rPr>
                      <w:szCs w:val="21"/>
                    </w:rPr>
                  </w:pPr>
                </w:p>
              </w:tc>
              <w:tc>
                <w:tcPr>
                  <w:tcW w:w="506" w:type="pct"/>
                  <w:tcBorders>
                    <w:top w:val="single" w:color="auto" w:sz="4" w:space="0"/>
                    <w:left w:val="single" w:color="auto" w:sz="4" w:space="0"/>
                    <w:bottom w:val="single" w:color="auto" w:sz="4" w:space="0"/>
                    <w:right w:val="single" w:color="auto" w:sz="4" w:space="0"/>
                  </w:tcBorders>
                  <w:vAlign w:val="center"/>
                </w:tcPr>
                <w:p w14:paraId="797900A8">
                  <w:pPr>
                    <w:jc w:val="center"/>
                    <w:rPr>
                      <w:szCs w:val="21"/>
                    </w:rPr>
                  </w:pPr>
                  <w:r>
                    <w:rPr>
                      <w:rFonts w:hint="eastAsia"/>
                      <w:szCs w:val="21"/>
                    </w:rPr>
                    <w:t>核算</w:t>
                  </w:r>
                </w:p>
                <w:p w14:paraId="321B376D">
                  <w:pPr>
                    <w:jc w:val="center"/>
                    <w:rPr>
                      <w:szCs w:val="21"/>
                    </w:rPr>
                  </w:pPr>
                  <w:r>
                    <w:rPr>
                      <w:rFonts w:hint="eastAsia"/>
                      <w:szCs w:val="21"/>
                    </w:rPr>
                    <w:t>方法</w:t>
                  </w:r>
                </w:p>
              </w:tc>
              <w:tc>
                <w:tcPr>
                  <w:tcW w:w="509" w:type="pct"/>
                  <w:tcBorders>
                    <w:top w:val="single" w:color="auto" w:sz="4" w:space="0"/>
                    <w:left w:val="single" w:color="auto" w:sz="4" w:space="0"/>
                    <w:bottom w:val="single" w:color="auto" w:sz="4" w:space="0"/>
                    <w:right w:val="single" w:color="auto" w:sz="4" w:space="0"/>
                  </w:tcBorders>
                  <w:vAlign w:val="center"/>
                </w:tcPr>
                <w:p w14:paraId="592A16F4">
                  <w:pPr>
                    <w:jc w:val="center"/>
                    <w:rPr>
                      <w:szCs w:val="21"/>
                    </w:rPr>
                  </w:pPr>
                  <w:r>
                    <w:rPr>
                      <w:rFonts w:hint="eastAsia"/>
                      <w:szCs w:val="21"/>
                    </w:rPr>
                    <w:t>噪声值</w:t>
                  </w:r>
                </w:p>
                <w:p w14:paraId="3EBF7DFC">
                  <w:pPr>
                    <w:jc w:val="center"/>
                    <w:rPr>
                      <w:szCs w:val="21"/>
                    </w:rPr>
                  </w:pPr>
                  <w:r>
                    <w:rPr>
                      <w:szCs w:val="21"/>
                    </w:rPr>
                    <w:t>dB(A)</w:t>
                  </w:r>
                </w:p>
              </w:tc>
              <w:tc>
                <w:tcPr>
                  <w:tcW w:w="594" w:type="pct"/>
                  <w:vMerge w:val="continue"/>
                  <w:tcBorders>
                    <w:top w:val="single" w:color="auto" w:sz="4" w:space="0"/>
                    <w:left w:val="single" w:color="auto" w:sz="4" w:space="0"/>
                    <w:bottom w:val="single" w:color="auto" w:sz="4" w:space="0"/>
                    <w:right w:val="single" w:color="auto" w:sz="4" w:space="0"/>
                  </w:tcBorders>
                  <w:vAlign w:val="center"/>
                </w:tcPr>
                <w:p w14:paraId="5351033D">
                  <w:pPr>
                    <w:widowControl/>
                    <w:jc w:val="left"/>
                    <w:rPr>
                      <w:szCs w:val="21"/>
                    </w:rPr>
                  </w:pPr>
                </w:p>
              </w:tc>
              <w:tc>
                <w:tcPr>
                  <w:tcW w:w="1039" w:type="pct"/>
                  <w:vMerge w:val="continue"/>
                  <w:tcBorders>
                    <w:top w:val="single" w:color="auto" w:sz="4" w:space="0"/>
                    <w:left w:val="single" w:color="auto" w:sz="4" w:space="0"/>
                    <w:bottom w:val="single" w:color="auto" w:sz="4" w:space="0"/>
                    <w:right w:val="single" w:color="auto" w:sz="4" w:space="0"/>
                  </w:tcBorders>
                  <w:vAlign w:val="center"/>
                </w:tcPr>
                <w:p w14:paraId="65F61B11">
                  <w:pPr>
                    <w:widowControl/>
                    <w:jc w:val="left"/>
                    <w:rPr>
                      <w:szCs w:val="21"/>
                    </w:rPr>
                  </w:pPr>
                </w:p>
              </w:tc>
              <w:tc>
                <w:tcPr>
                  <w:tcW w:w="459" w:type="pct"/>
                  <w:vMerge w:val="continue"/>
                  <w:tcBorders>
                    <w:top w:val="single" w:color="auto" w:sz="4" w:space="0"/>
                    <w:left w:val="single" w:color="auto" w:sz="4" w:space="0"/>
                    <w:bottom w:val="single" w:color="auto" w:sz="4" w:space="0"/>
                    <w:right w:val="single" w:color="auto" w:sz="4" w:space="0"/>
                  </w:tcBorders>
                  <w:vAlign w:val="center"/>
                </w:tcPr>
                <w:p w14:paraId="2D794833">
                  <w:pPr>
                    <w:widowControl/>
                    <w:jc w:val="left"/>
                    <w:rPr>
                      <w:szCs w:val="21"/>
                    </w:rPr>
                  </w:pPr>
                </w:p>
              </w:tc>
            </w:tr>
            <w:tr w14:paraId="1DB2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tcBorders>
                    <w:top w:val="single" w:color="auto" w:sz="4" w:space="0"/>
                    <w:left w:val="single" w:color="auto" w:sz="4" w:space="0"/>
                    <w:bottom w:val="single" w:color="auto" w:sz="4" w:space="0"/>
                    <w:right w:val="single" w:color="auto" w:sz="4" w:space="0"/>
                  </w:tcBorders>
                  <w:vAlign w:val="center"/>
                </w:tcPr>
                <w:p w14:paraId="6E890506">
                  <w:pPr>
                    <w:jc w:val="center"/>
                    <w:rPr>
                      <w:color w:val="000000"/>
                      <w:szCs w:val="21"/>
                    </w:rPr>
                  </w:pPr>
                  <w:r>
                    <w:rPr>
                      <w:color w:val="000000"/>
                      <w:szCs w:val="21"/>
                    </w:rPr>
                    <w:t>1</w:t>
                  </w:r>
                </w:p>
              </w:tc>
              <w:tc>
                <w:tcPr>
                  <w:tcW w:w="1262" w:type="pct"/>
                  <w:tcBorders>
                    <w:top w:val="single" w:color="auto" w:sz="4" w:space="0"/>
                    <w:left w:val="single" w:color="auto" w:sz="4" w:space="0"/>
                    <w:bottom w:val="single" w:color="auto" w:sz="4" w:space="0"/>
                    <w:right w:val="single" w:color="auto" w:sz="4" w:space="0"/>
                  </w:tcBorders>
                  <w:vAlign w:val="bottom"/>
                </w:tcPr>
                <w:p w14:paraId="19929897">
                  <w:pPr>
                    <w:jc w:val="center"/>
                    <w:rPr>
                      <w:color w:val="FF0000"/>
                      <w:szCs w:val="21"/>
                    </w:rPr>
                  </w:pPr>
                  <w:r>
                    <w:rPr>
                      <w:rFonts w:hint="eastAsia"/>
                      <w:color w:val="000000" w:themeColor="text1"/>
                      <w:szCs w:val="21"/>
                      <w14:textFill>
                        <w14:solidFill>
                          <w14:schemeClr w14:val="tx1"/>
                        </w14:solidFill>
                      </w14:textFill>
                    </w:rPr>
                    <w:t>潜油泵</w:t>
                  </w:r>
                </w:p>
              </w:tc>
              <w:tc>
                <w:tcPr>
                  <w:tcW w:w="393" w:type="pct"/>
                  <w:tcBorders>
                    <w:top w:val="single" w:color="auto" w:sz="4" w:space="0"/>
                    <w:left w:val="single" w:color="auto" w:sz="4" w:space="0"/>
                    <w:bottom w:val="single" w:color="auto" w:sz="4" w:space="0"/>
                    <w:right w:val="single" w:color="auto" w:sz="4" w:space="0"/>
                  </w:tcBorders>
                  <w:vAlign w:val="center"/>
                </w:tcPr>
                <w:p w14:paraId="27F4916E">
                  <w:pPr>
                    <w:spacing w:line="240" w:lineRule="exact"/>
                    <w:jc w:val="center"/>
                    <w:rPr>
                      <w:color w:val="000000"/>
                      <w:szCs w:val="21"/>
                    </w:rPr>
                  </w:pPr>
                  <w:r>
                    <w:rPr>
                      <w:rFonts w:hint="eastAsia"/>
                      <w:color w:val="000000" w:themeColor="text1"/>
                      <w14:textFill>
                        <w14:solidFill>
                          <w14:schemeClr w14:val="tx1"/>
                        </w14:solidFill>
                      </w14:textFill>
                    </w:rPr>
                    <w:t>5</w:t>
                  </w:r>
                </w:p>
              </w:tc>
              <w:tc>
                <w:tcPr>
                  <w:tcW w:w="506" w:type="pct"/>
                  <w:tcBorders>
                    <w:top w:val="single" w:color="auto" w:sz="4" w:space="0"/>
                    <w:left w:val="single" w:color="auto" w:sz="4" w:space="0"/>
                    <w:bottom w:val="single" w:color="auto" w:sz="4" w:space="0"/>
                    <w:right w:val="single" w:color="auto" w:sz="4" w:space="0"/>
                  </w:tcBorders>
                  <w:vAlign w:val="center"/>
                </w:tcPr>
                <w:p w14:paraId="6C7BE1C1">
                  <w:pPr>
                    <w:jc w:val="center"/>
                    <w:rPr>
                      <w:color w:val="000000"/>
                      <w:kern w:val="24"/>
                      <w:szCs w:val="21"/>
                    </w:rPr>
                  </w:pPr>
                  <w:r>
                    <w:rPr>
                      <w:rFonts w:hint="eastAsia"/>
                      <w:color w:val="000000"/>
                      <w:kern w:val="24"/>
                      <w:szCs w:val="21"/>
                    </w:rPr>
                    <w:t>类比法</w:t>
                  </w:r>
                </w:p>
              </w:tc>
              <w:tc>
                <w:tcPr>
                  <w:tcW w:w="509" w:type="pct"/>
                  <w:tcBorders>
                    <w:top w:val="single" w:color="auto" w:sz="4" w:space="0"/>
                    <w:left w:val="single" w:color="auto" w:sz="4" w:space="0"/>
                    <w:bottom w:val="single" w:color="auto" w:sz="4" w:space="0"/>
                    <w:right w:val="single" w:color="auto" w:sz="4" w:space="0"/>
                  </w:tcBorders>
                  <w:vAlign w:val="center"/>
                </w:tcPr>
                <w:p w14:paraId="67909D2D">
                  <w:pPr>
                    <w:jc w:val="center"/>
                    <w:rPr>
                      <w:rFonts w:hint="default" w:eastAsia="宋体"/>
                      <w:color w:val="000000"/>
                      <w:kern w:val="24"/>
                      <w:szCs w:val="21"/>
                      <w:lang w:val="en-US" w:eastAsia="zh-CN"/>
                    </w:rPr>
                  </w:pPr>
                  <w:r>
                    <w:rPr>
                      <w:rFonts w:hint="eastAsia"/>
                      <w:color w:val="000000"/>
                      <w:kern w:val="24"/>
                      <w:szCs w:val="21"/>
                      <w:lang w:val="en-US" w:eastAsia="zh-CN"/>
                    </w:rPr>
                    <w:t>70</w:t>
                  </w:r>
                </w:p>
              </w:tc>
              <w:tc>
                <w:tcPr>
                  <w:tcW w:w="594" w:type="pct"/>
                  <w:vMerge w:val="restart"/>
                  <w:tcBorders>
                    <w:top w:val="single" w:color="auto" w:sz="4" w:space="0"/>
                    <w:left w:val="single" w:color="auto" w:sz="4" w:space="0"/>
                    <w:bottom w:val="single" w:color="auto" w:sz="4" w:space="0"/>
                    <w:right w:val="single" w:color="auto" w:sz="4" w:space="0"/>
                  </w:tcBorders>
                  <w:vAlign w:val="center"/>
                </w:tcPr>
                <w:p w14:paraId="31EAAF20">
                  <w:pPr>
                    <w:jc w:val="center"/>
                    <w:rPr>
                      <w:rFonts w:hint="default" w:eastAsia="宋体"/>
                      <w:color w:val="FF0000"/>
                      <w:kern w:val="24"/>
                      <w:szCs w:val="21"/>
                      <w:lang w:val="en-US" w:eastAsia="zh-CN"/>
                    </w:rPr>
                  </w:pPr>
                  <w:r>
                    <w:rPr>
                      <w:rFonts w:hint="eastAsia"/>
                      <w:kern w:val="24"/>
                      <w:szCs w:val="21"/>
                      <w:lang w:val="en-US" w:eastAsia="zh-CN"/>
                    </w:rPr>
                    <w:t>站区内</w:t>
                  </w:r>
                </w:p>
              </w:tc>
              <w:tc>
                <w:tcPr>
                  <w:tcW w:w="1039" w:type="pct"/>
                  <w:vMerge w:val="restart"/>
                  <w:tcBorders>
                    <w:top w:val="single" w:color="auto" w:sz="4" w:space="0"/>
                    <w:left w:val="single" w:color="auto" w:sz="4" w:space="0"/>
                    <w:bottom w:val="single" w:color="auto" w:sz="4" w:space="0"/>
                    <w:right w:val="single" w:color="auto" w:sz="4" w:space="0"/>
                  </w:tcBorders>
                  <w:vAlign w:val="center"/>
                </w:tcPr>
                <w:p w14:paraId="134D280F">
                  <w:pPr>
                    <w:jc w:val="center"/>
                    <w:rPr>
                      <w:color w:val="000000"/>
                      <w:kern w:val="24"/>
                      <w:szCs w:val="21"/>
                    </w:rPr>
                  </w:pPr>
                  <w:r>
                    <w:rPr>
                      <w:rFonts w:hint="eastAsia"/>
                      <w:szCs w:val="21"/>
                    </w:rPr>
                    <w:t>建筑隔声，设置基础减振、机座加隔振垫</w:t>
                  </w:r>
                  <w:r>
                    <w:rPr>
                      <w:szCs w:val="21"/>
                    </w:rPr>
                    <w:t>(</w:t>
                  </w:r>
                  <w:r>
                    <w:rPr>
                      <w:rFonts w:hint="eastAsia"/>
                      <w:szCs w:val="21"/>
                    </w:rPr>
                    <w:t>圈</w:t>
                  </w:r>
                  <w:r>
                    <w:rPr>
                      <w:szCs w:val="21"/>
                    </w:rPr>
                    <w:t>)</w:t>
                  </w:r>
                  <w:r>
                    <w:rPr>
                      <w:rFonts w:hint="eastAsia"/>
                      <w:szCs w:val="21"/>
                    </w:rPr>
                    <w:t>或设减振器</w:t>
                  </w:r>
                </w:p>
              </w:tc>
              <w:tc>
                <w:tcPr>
                  <w:tcW w:w="459" w:type="pct"/>
                  <w:vMerge w:val="restart"/>
                  <w:tcBorders>
                    <w:top w:val="single" w:color="auto" w:sz="4" w:space="0"/>
                    <w:left w:val="single" w:color="auto" w:sz="4" w:space="0"/>
                    <w:bottom w:val="single" w:color="auto" w:sz="4" w:space="0"/>
                    <w:right w:val="single" w:color="auto" w:sz="4" w:space="0"/>
                  </w:tcBorders>
                  <w:vAlign w:val="center"/>
                </w:tcPr>
                <w:p w14:paraId="12067B3A">
                  <w:pPr>
                    <w:ind w:left="-105" w:leftChars="-50" w:right="-105" w:rightChars="-50"/>
                    <w:jc w:val="center"/>
                    <w:rPr>
                      <w:color w:val="000000"/>
                      <w:kern w:val="24"/>
                      <w:szCs w:val="21"/>
                    </w:rPr>
                  </w:pPr>
                  <w:r>
                    <w:rPr>
                      <w:color w:val="000000"/>
                      <w:kern w:val="24"/>
                      <w:szCs w:val="21"/>
                    </w:rPr>
                    <w:t>25dB(A)</w:t>
                  </w:r>
                </w:p>
              </w:tc>
            </w:tr>
            <w:tr w14:paraId="6C82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tcBorders>
                    <w:top w:val="single" w:color="auto" w:sz="4" w:space="0"/>
                    <w:left w:val="single" w:color="auto" w:sz="4" w:space="0"/>
                    <w:bottom w:val="single" w:color="auto" w:sz="4" w:space="0"/>
                    <w:right w:val="single" w:color="auto" w:sz="4" w:space="0"/>
                  </w:tcBorders>
                  <w:vAlign w:val="center"/>
                </w:tcPr>
                <w:p w14:paraId="5698B184">
                  <w:pPr>
                    <w:jc w:val="center"/>
                    <w:rPr>
                      <w:color w:val="000000"/>
                      <w:kern w:val="0"/>
                      <w:szCs w:val="21"/>
                    </w:rPr>
                  </w:pPr>
                  <w:r>
                    <w:rPr>
                      <w:color w:val="000000"/>
                      <w:szCs w:val="21"/>
                    </w:rPr>
                    <w:t>2</w:t>
                  </w:r>
                </w:p>
              </w:tc>
              <w:tc>
                <w:tcPr>
                  <w:tcW w:w="1262" w:type="pct"/>
                  <w:tcBorders>
                    <w:top w:val="single" w:color="auto" w:sz="4" w:space="0"/>
                    <w:left w:val="single" w:color="auto" w:sz="4" w:space="0"/>
                    <w:bottom w:val="single" w:color="auto" w:sz="4" w:space="0"/>
                    <w:right w:val="single" w:color="auto" w:sz="4" w:space="0"/>
                  </w:tcBorders>
                  <w:vAlign w:val="bottom"/>
                </w:tcPr>
                <w:p w14:paraId="3ADF0B0A">
                  <w:pPr>
                    <w:jc w:val="center"/>
                    <w:rPr>
                      <w:color w:val="FF0000"/>
                      <w:szCs w:val="21"/>
                    </w:rPr>
                  </w:pPr>
                  <w:r>
                    <w:rPr>
                      <w:rFonts w:hint="eastAsia"/>
                      <w:color w:val="000000" w:themeColor="text1"/>
                      <w:szCs w:val="21"/>
                      <w14:textFill>
                        <w14:solidFill>
                          <w14:schemeClr w14:val="tx1"/>
                        </w14:solidFill>
                      </w14:textFill>
                    </w:rPr>
                    <w:t>潜油泵加油机</w:t>
                  </w:r>
                </w:p>
              </w:tc>
              <w:tc>
                <w:tcPr>
                  <w:tcW w:w="393" w:type="pct"/>
                  <w:tcBorders>
                    <w:top w:val="single" w:color="auto" w:sz="4" w:space="0"/>
                    <w:left w:val="single" w:color="auto" w:sz="4" w:space="0"/>
                    <w:bottom w:val="single" w:color="auto" w:sz="4" w:space="0"/>
                    <w:right w:val="single" w:color="auto" w:sz="4" w:space="0"/>
                  </w:tcBorders>
                  <w:vAlign w:val="center"/>
                </w:tcPr>
                <w:p w14:paraId="19B762AA">
                  <w:pPr>
                    <w:spacing w:line="240" w:lineRule="exact"/>
                    <w:jc w:val="center"/>
                    <w:rPr>
                      <w:rFonts w:eastAsia="华文中宋"/>
                      <w:szCs w:val="21"/>
                    </w:rPr>
                  </w:pPr>
                  <w:r>
                    <w:rPr>
                      <w:rFonts w:hint="eastAsia"/>
                      <w:color w:val="000000" w:themeColor="text1"/>
                      <w14:textFill>
                        <w14:solidFill>
                          <w14:schemeClr w14:val="tx1"/>
                        </w14:solidFill>
                      </w14:textFill>
                    </w:rPr>
                    <w:t>4</w:t>
                  </w:r>
                </w:p>
              </w:tc>
              <w:tc>
                <w:tcPr>
                  <w:tcW w:w="506" w:type="pct"/>
                  <w:tcBorders>
                    <w:top w:val="single" w:color="auto" w:sz="4" w:space="0"/>
                    <w:left w:val="single" w:color="auto" w:sz="4" w:space="0"/>
                    <w:bottom w:val="single" w:color="auto" w:sz="4" w:space="0"/>
                    <w:right w:val="single" w:color="auto" w:sz="4" w:space="0"/>
                  </w:tcBorders>
                  <w:vAlign w:val="center"/>
                </w:tcPr>
                <w:p w14:paraId="2B50DA0B">
                  <w:pPr>
                    <w:jc w:val="center"/>
                    <w:rPr>
                      <w:color w:val="000000"/>
                      <w:kern w:val="24"/>
                      <w:szCs w:val="21"/>
                    </w:rPr>
                  </w:pPr>
                  <w:r>
                    <w:rPr>
                      <w:rFonts w:hint="eastAsia"/>
                      <w:color w:val="000000"/>
                      <w:kern w:val="24"/>
                      <w:szCs w:val="21"/>
                    </w:rPr>
                    <w:t>类比法</w:t>
                  </w:r>
                </w:p>
              </w:tc>
              <w:tc>
                <w:tcPr>
                  <w:tcW w:w="509" w:type="pct"/>
                  <w:tcBorders>
                    <w:top w:val="single" w:color="auto" w:sz="4" w:space="0"/>
                    <w:left w:val="single" w:color="auto" w:sz="4" w:space="0"/>
                    <w:bottom w:val="single" w:color="auto" w:sz="4" w:space="0"/>
                    <w:right w:val="single" w:color="auto" w:sz="4" w:space="0"/>
                  </w:tcBorders>
                  <w:vAlign w:val="center"/>
                </w:tcPr>
                <w:p w14:paraId="57C99A02">
                  <w:pPr>
                    <w:jc w:val="center"/>
                    <w:rPr>
                      <w:rFonts w:hint="default" w:eastAsia="宋体"/>
                      <w:color w:val="000000"/>
                      <w:kern w:val="24"/>
                      <w:szCs w:val="21"/>
                      <w:lang w:val="en-US" w:eastAsia="zh-CN"/>
                    </w:rPr>
                  </w:pPr>
                  <w:r>
                    <w:rPr>
                      <w:rFonts w:hint="eastAsia"/>
                      <w:color w:val="000000"/>
                      <w:kern w:val="24"/>
                      <w:szCs w:val="21"/>
                      <w:lang w:val="en-US" w:eastAsia="zh-CN"/>
                    </w:rPr>
                    <w:t>75</w:t>
                  </w:r>
                </w:p>
              </w:tc>
              <w:tc>
                <w:tcPr>
                  <w:tcW w:w="594" w:type="pct"/>
                  <w:vMerge w:val="continue"/>
                  <w:tcBorders>
                    <w:top w:val="single" w:color="auto" w:sz="4" w:space="0"/>
                    <w:left w:val="single" w:color="auto" w:sz="4" w:space="0"/>
                    <w:bottom w:val="single" w:color="auto" w:sz="4" w:space="0"/>
                    <w:right w:val="single" w:color="auto" w:sz="4" w:space="0"/>
                  </w:tcBorders>
                  <w:vAlign w:val="center"/>
                </w:tcPr>
                <w:p w14:paraId="6C26198A">
                  <w:pPr>
                    <w:widowControl/>
                    <w:jc w:val="left"/>
                    <w:rPr>
                      <w:color w:val="FF0000"/>
                      <w:kern w:val="24"/>
                      <w:szCs w:val="21"/>
                    </w:rPr>
                  </w:pPr>
                </w:p>
              </w:tc>
              <w:tc>
                <w:tcPr>
                  <w:tcW w:w="1039" w:type="pct"/>
                  <w:vMerge w:val="continue"/>
                  <w:tcBorders>
                    <w:top w:val="single" w:color="auto" w:sz="4" w:space="0"/>
                    <w:left w:val="single" w:color="auto" w:sz="4" w:space="0"/>
                    <w:bottom w:val="single" w:color="auto" w:sz="4" w:space="0"/>
                    <w:right w:val="single" w:color="auto" w:sz="4" w:space="0"/>
                  </w:tcBorders>
                  <w:vAlign w:val="center"/>
                </w:tcPr>
                <w:p w14:paraId="0CAEA2AB">
                  <w:pPr>
                    <w:widowControl/>
                    <w:jc w:val="left"/>
                    <w:rPr>
                      <w:color w:val="000000"/>
                      <w:kern w:val="24"/>
                      <w:szCs w:val="21"/>
                    </w:rPr>
                  </w:pPr>
                </w:p>
              </w:tc>
              <w:tc>
                <w:tcPr>
                  <w:tcW w:w="459" w:type="pct"/>
                  <w:vMerge w:val="continue"/>
                  <w:tcBorders>
                    <w:top w:val="single" w:color="auto" w:sz="4" w:space="0"/>
                    <w:left w:val="single" w:color="auto" w:sz="4" w:space="0"/>
                    <w:bottom w:val="single" w:color="auto" w:sz="4" w:space="0"/>
                    <w:right w:val="single" w:color="auto" w:sz="4" w:space="0"/>
                  </w:tcBorders>
                  <w:vAlign w:val="center"/>
                </w:tcPr>
                <w:p w14:paraId="22A34461">
                  <w:pPr>
                    <w:widowControl/>
                    <w:jc w:val="left"/>
                    <w:rPr>
                      <w:color w:val="000000"/>
                      <w:kern w:val="24"/>
                      <w:szCs w:val="21"/>
                    </w:rPr>
                  </w:pPr>
                </w:p>
              </w:tc>
            </w:tr>
            <w:tr w14:paraId="7940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tcBorders>
                    <w:top w:val="single" w:color="auto" w:sz="4" w:space="0"/>
                    <w:left w:val="single" w:color="auto" w:sz="4" w:space="0"/>
                    <w:bottom w:val="single" w:color="auto" w:sz="4" w:space="0"/>
                    <w:right w:val="single" w:color="auto" w:sz="4" w:space="0"/>
                  </w:tcBorders>
                  <w:vAlign w:val="center"/>
                </w:tcPr>
                <w:p w14:paraId="76620DC3">
                  <w:pPr>
                    <w:jc w:val="center"/>
                    <w:rPr>
                      <w:color w:val="000000"/>
                      <w:kern w:val="0"/>
                      <w:szCs w:val="21"/>
                    </w:rPr>
                  </w:pPr>
                  <w:r>
                    <w:rPr>
                      <w:color w:val="000000"/>
                      <w:szCs w:val="21"/>
                    </w:rPr>
                    <w:t>3</w:t>
                  </w:r>
                </w:p>
              </w:tc>
              <w:tc>
                <w:tcPr>
                  <w:tcW w:w="1262" w:type="pct"/>
                  <w:tcBorders>
                    <w:top w:val="single" w:color="auto" w:sz="4" w:space="0"/>
                    <w:left w:val="single" w:color="auto" w:sz="4" w:space="0"/>
                    <w:bottom w:val="single" w:color="auto" w:sz="4" w:space="0"/>
                    <w:right w:val="single" w:color="auto" w:sz="4" w:space="0"/>
                  </w:tcBorders>
                  <w:vAlign w:val="center"/>
                </w:tcPr>
                <w:p w14:paraId="2AB6E54E">
                  <w:pPr>
                    <w:spacing w:line="240" w:lineRule="exact"/>
                    <w:jc w:val="center"/>
                    <w:rPr>
                      <w:color w:val="FF0000"/>
                      <w:szCs w:val="21"/>
                    </w:rPr>
                  </w:pPr>
                  <w:r>
                    <w:rPr>
                      <w:rFonts w:hint="eastAsia"/>
                      <w:color w:val="000000" w:themeColor="text1"/>
                      <w14:textFill>
                        <w14:solidFill>
                          <w14:schemeClr w14:val="tx1"/>
                        </w14:solidFill>
                      </w14:textFill>
                    </w:rPr>
                    <w:t>加油进出车辆</w:t>
                  </w:r>
                </w:p>
              </w:tc>
              <w:tc>
                <w:tcPr>
                  <w:tcW w:w="393" w:type="pct"/>
                  <w:tcBorders>
                    <w:top w:val="single" w:color="auto" w:sz="4" w:space="0"/>
                    <w:left w:val="single" w:color="auto" w:sz="4" w:space="0"/>
                    <w:bottom w:val="single" w:color="auto" w:sz="4" w:space="0"/>
                    <w:right w:val="single" w:color="auto" w:sz="4" w:space="0"/>
                  </w:tcBorders>
                  <w:vAlign w:val="center"/>
                </w:tcPr>
                <w:p w14:paraId="4587B7BA">
                  <w:pPr>
                    <w:spacing w:line="240" w:lineRule="exact"/>
                    <w:jc w:val="center"/>
                    <w:rPr>
                      <w:rFonts w:eastAsia="华文中宋"/>
                      <w:szCs w:val="21"/>
                    </w:rPr>
                  </w:pPr>
                  <w:r>
                    <w:rPr>
                      <w:rFonts w:hint="eastAsia"/>
                      <w:color w:val="000000" w:themeColor="text1"/>
                      <w14:textFill>
                        <w14:solidFill>
                          <w14:schemeClr w14:val="tx1"/>
                        </w14:solidFill>
                      </w14:textFill>
                    </w:rPr>
                    <w:t>/</w:t>
                  </w:r>
                </w:p>
              </w:tc>
              <w:tc>
                <w:tcPr>
                  <w:tcW w:w="506" w:type="pct"/>
                  <w:tcBorders>
                    <w:top w:val="single" w:color="auto" w:sz="4" w:space="0"/>
                    <w:left w:val="single" w:color="auto" w:sz="4" w:space="0"/>
                    <w:bottom w:val="single" w:color="auto" w:sz="4" w:space="0"/>
                    <w:right w:val="single" w:color="auto" w:sz="4" w:space="0"/>
                  </w:tcBorders>
                  <w:vAlign w:val="center"/>
                </w:tcPr>
                <w:p w14:paraId="02A044F9">
                  <w:pPr>
                    <w:jc w:val="center"/>
                    <w:rPr>
                      <w:color w:val="000000"/>
                      <w:kern w:val="24"/>
                      <w:szCs w:val="21"/>
                    </w:rPr>
                  </w:pPr>
                  <w:r>
                    <w:rPr>
                      <w:rFonts w:hint="eastAsia"/>
                      <w:color w:val="000000"/>
                      <w:kern w:val="24"/>
                      <w:szCs w:val="21"/>
                    </w:rPr>
                    <w:t>类比法</w:t>
                  </w:r>
                </w:p>
              </w:tc>
              <w:tc>
                <w:tcPr>
                  <w:tcW w:w="509" w:type="pct"/>
                  <w:tcBorders>
                    <w:top w:val="single" w:color="auto" w:sz="4" w:space="0"/>
                    <w:left w:val="single" w:color="auto" w:sz="4" w:space="0"/>
                    <w:bottom w:val="single" w:color="auto" w:sz="4" w:space="0"/>
                    <w:right w:val="single" w:color="auto" w:sz="4" w:space="0"/>
                  </w:tcBorders>
                  <w:vAlign w:val="center"/>
                </w:tcPr>
                <w:p w14:paraId="5982B53C">
                  <w:pPr>
                    <w:jc w:val="center"/>
                    <w:rPr>
                      <w:rFonts w:hint="default" w:eastAsia="宋体"/>
                      <w:color w:val="000000"/>
                      <w:kern w:val="24"/>
                      <w:szCs w:val="21"/>
                      <w:lang w:val="en-US" w:eastAsia="zh-CN"/>
                    </w:rPr>
                  </w:pPr>
                  <w:r>
                    <w:rPr>
                      <w:rFonts w:hint="eastAsia"/>
                      <w:color w:val="000000"/>
                      <w:kern w:val="24"/>
                      <w:szCs w:val="21"/>
                      <w:lang w:val="en-US" w:eastAsia="zh-CN"/>
                    </w:rPr>
                    <w:t>65</w:t>
                  </w:r>
                </w:p>
              </w:tc>
              <w:tc>
                <w:tcPr>
                  <w:tcW w:w="594" w:type="pct"/>
                  <w:vMerge w:val="continue"/>
                  <w:tcBorders>
                    <w:top w:val="single" w:color="auto" w:sz="4" w:space="0"/>
                    <w:left w:val="single" w:color="auto" w:sz="4" w:space="0"/>
                    <w:bottom w:val="single" w:color="auto" w:sz="4" w:space="0"/>
                    <w:right w:val="single" w:color="auto" w:sz="4" w:space="0"/>
                  </w:tcBorders>
                  <w:vAlign w:val="center"/>
                </w:tcPr>
                <w:p w14:paraId="066FA228">
                  <w:pPr>
                    <w:widowControl/>
                    <w:jc w:val="left"/>
                    <w:rPr>
                      <w:color w:val="FF0000"/>
                      <w:kern w:val="24"/>
                      <w:szCs w:val="21"/>
                    </w:rPr>
                  </w:pPr>
                </w:p>
              </w:tc>
              <w:tc>
                <w:tcPr>
                  <w:tcW w:w="1039" w:type="pct"/>
                  <w:vMerge w:val="continue"/>
                  <w:tcBorders>
                    <w:top w:val="single" w:color="auto" w:sz="4" w:space="0"/>
                    <w:left w:val="single" w:color="auto" w:sz="4" w:space="0"/>
                    <w:bottom w:val="single" w:color="auto" w:sz="4" w:space="0"/>
                    <w:right w:val="single" w:color="auto" w:sz="4" w:space="0"/>
                  </w:tcBorders>
                  <w:vAlign w:val="center"/>
                </w:tcPr>
                <w:p w14:paraId="03AC9D78">
                  <w:pPr>
                    <w:widowControl/>
                    <w:jc w:val="left"/>
                    <w:rPr>
                      <w:color w:val="000000"/>
                      <w:kern w:val="24"/>
                      <w:szCs w:val="21"/>
                    </w:rPr>
                  </w:pPr>
                </w:p>
              </w:tc>
              <w:tc>
                <w:tcPr>
                  <w:tcW w:w="459" w:type="pct"/>
                  <w:vMerge w:val="continue"/>
                  <w:tcBorders>
                    <w:top w:val="single" w:color="auto" w:sz="4" w:space="0"/>
                    <w:left w:val="single" w:color="auto" w:sz="4" w:space="0"/>
                    <w:bottom w:val="single" w:color="auto" w:sz="4" w:space="0"/>
                    <w:right w:val="single" w:color="auto" w:sz="4" w:space="0"/>
                  </w:tcBorders>
                  <w:vAlign w:val="center"/>
                </w:tcPr>
                <w:p w14:paraId="1021BC45">
                  <w:pPr>
                    <w:widowControl/>
                    <w:jc w:val="left"/>
                    <w:rPr>
                      <w:color w:val="000000"/>
                      <w:kern w:val="24"/>
                      <w:szCs w:val="21"/>
                    </w:rPr>
                  </w:pPr>
                </w:p>
              </w:tc>
            </w:tr>
          </w:tbl>
          <w:p w14:paraId="422C7E33">
            <w:pPr>
              <w:spacing w:line="500" w:lineRule="atLeas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2、降噪措施达标情况分析</w:t>
            </w:r>
          </w:p>
          <w:p w14:paraId="3FF24232">
            <w:pPr>
              <w:spacing w:line="440" w:lineRule="exact"/>
              <w:ind w:firstLine="480" w:firstLineChars="200"/>
              <w:rPr>
                <w:rFonts w:hAnsi="宋体"/>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本项目为一天24小时，</w:t>
            </w:r>
            <w:r>
              <w:rPr>
                <w:color w:val="000000" w:themeColor="text1"/>
                <w:sz w:val="24"/>
                <w14:textFill>
                  <w14:solidFill>
                    <w14:schemeClr w14:val="tx1"/>
                  </w14:solidFill>
                </w14:textFill>
              </w:rPr>
              <w:t>项目主要噪声为设备运行时产生的，主要设备布置在车间内，设备经厂房隔声、围墙隔声和隔声罩隔声后，</w:t>
            </w:r>
            <w:r>
              <w:rPr>
                <w:rFonts w:hAnsi="宋体"/>
                <w:bCs/>
                <w:color w:val="000000" w:themeColor="text1"/>
                <w:sz w:val="24"/>
                <w14:textFill>
                  <w14:solidFill>
                    <w14:schemeClr w14:val="tx1"/>
                  </w14:solidFill>
                </w14:textFill>
              </w:rPr>
              <w:t>本项目各厂界噪声预测结果见</w:t>
            </w:r>
            <w:r>
              <w:rPr>
                <w:rFonts w:hint="eastAsia" w:hAnsi="宋体"/>
                <w:bCs/>
                <w:color w:val="000000" w:themeColor="text1"/>
                <w:sz w:val="24"/>
                <w14:textFill>
                  <w14:solidFill>
                    <w14:schemeClr w14:val="tx1"/>
                  </w14:solidFill>
                </w14:textFill>
              </w:rPr>
              <w:t>下表</w:t>
            </w:r>
            <w:r>
              <w:rPr>
                <w:rFonts w:hAnsi="宋体"/>
                <w:bCs/>
                <w:color w:val="000000" w:themeColor="text1"/>
                <w:sz w:val="24"/>
                <w14:textFill>
                  <w14:solidFill>
                    <w14:schemeClr w14:val="tx1"/>
                  </w14:solidFill>
                </w14:textFill>
              </w:rPr>
              <w:t>。</w:t>
            </w:r>
          </w:p>
          <w:p w14:paraId="4BE23F92">
            <w:pPr>
              <w:spacing w:line="400" w:lineRule="exact"/>
              <w:jc w:val="center"/>
              <w:rPr>
                <w:b/>
                <w:bCs/>
                <w:color w:val="000000" w:themeColor="text1"/>
                <w:sz w:val="24"/>
                <w14:textFill>
                  <w14:solidFill>
                    <w14:schemeClr w14:val="tx1"/>
                  </w14:solidFill>
                </w14:textFill>
              </w:rPr>
            </w:pPr>
            <w:r>
              <w:rPr>
                <w:rFonts w:hAnsi="宋体"/>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4-13</w:t>
            </w:r>
            <w:r>
              <w:rPr>
                <w:b/>
                <w:bCs/>
                <w:color w:val="000000" w:themeColor="text1"/>
                <w:sz w:val="24"/>
                <w14:textFill>
                  <w14:solidFill>
                    <w14:schemeClr w14:val="tx1"/>
                  </w14:solidFill>
                </w14:textFill>
              </w:rPr>
              <w:t xml:space="preserve"> </w:t>
            </w:r>
            <w:r>
              <w:rPr>
                <w:rFonts w:hAnsi="宋体"/>
                <w:b/>
                <w:bCs/>
                <w:color w:val="000000" w:themeColor="text1"/>
                <w:sz w:val="24"/>
                <w14:textFill>
                  <w14:solidFill>
                    <w14:schemeClr w14:val="tx1"/>
                  </w14:solidFill>
                </w14:textFill>
              </w:rPr>
              <w:t>厂界噪声影响预测结果一览表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2818"/>
              <w:gridCol w:w="2136"/>
              <w:gridCol w:w="1451"/>
              <w:gridCol w:w="1584"/>
            </w:tblGrid>
            <w:tr w14:paraId="3D84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1" w:type="pct"/>
                  <w:vMerge w:val="restart"/>
                  <w:vAlign w:val="center"/>
                </w:tcPr>
                <w:p w14:paraId="41ADA1D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505" w:type="pct"/>
                  <w:vMerge w:val="restart"/>
                  <w:vAlign w:val="center"/>
                </w:tcPr>
                <w:p w14:paraId="3D26EB8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位置</w:t>
                  </w:r>
                </w:p>
              </w:tc>
              <w:tc>
                <w:tcPr>
                  <w:tcW w:w="1141" w:type="pct"/>
                  <w:vMerge w:val="restart"/>
                  <w:vAlign w:val="center"/>
                </w:tcPr>
                <w:p w14:paraId="19278BB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贡献值</w:t>
                  </w:r>
                </w:p>
              </w:tc>
              <w:tc>
                <w:tcPr>
                  <w:tcW w:w="1621" w:type="pct"/>
                  <w:gridSpan w:val="2"/>
                  <w:vAlign w:val="center"/>
                </w:tcPr>
                <w:p w14:paraId="1D28B3B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w:t>
                  </w:r>
                </w:p>
              </w:tc>
            </w:tr>
            <w:tr w14:paraId="3A35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1" w:type="pct"/>
                  <w:vMerge w:val="continue"/>
                  <w:vAlign w:val="center"/>
                </w:tcPr>
                <w:p w14:paraId="18223459">
                  <w:pPr>
                    <w:jc w:val="center"/>
                    <w:rPr>
                      <w:color w:val="000000" w:themeColor="text1"/>
                      <w:szCs w:val="21"/>
                      <w14:textFill>
                        <w14:solidFill>
                          <w14:schemeClr w14:val="tx1"/>
                        </w14:solidFill>
                      </w14:textFill>
                    </w:rPr>
                  </w:pPr>
                </w:p>
              </w:tc>
              <w:tc>
                <w:tcPr>
                  <w:tcW w:w="1505" w:type="pct"/>
                  <w:vMerge w:val="continue"/>
                  <w:vAlign w:val="center"/>
                </w:tcPr>
                <w:p w14:paraId="733F0B67">
                  <w:pPr>
                    <w:jc w:val="center"/>
                    <w:rPr>
                      <w:color w:val="000000" w:themeColor="text1"/>
                      <w:szCs w:val="21"/>
                      <w14:textFill>
                        <w14:solidFill>
                          <w14:schemeClr w14:val="tx1"/>
                        </w14:solidFill>
                      </w14:textFill>
                    </w:rPr>
                  </w:pPr>
                </w:p>
              </w:tc>
              <w:tc>
                <w:tcPr>
                  <w:tcW w:w="1141" w:type="pct"/>
                  <w:vMerge w:val="continue"/>
                  <w:vAlign w:val="center"/>
                </w:tcPr>
                <w:p w14:paraId="54A55CC9">
                  <w:pPr>
                    <w:jc w:val="center"/>
                    <w:rPr>
                      <w:color w:val="000000" w:themeColor="text1"/>
                      <w:szCs w:val="21"/>
                      <w14:textFill>
                        <w14:solidFill>
                          <w14:schemeClr w14:val="tx1"/>
                        </w14:solidFill>
                      </w14:textFill>
                    </w:rPr>
                  </w:pPr>
                </w:p>
              </w:tc>
              <w:tc>
                <w:tcPr>
                  <w:tcW w:w="775" w:type="pct"/>
                  <w:vAlign w:val="center"/>
                </w:tcPr>
                <w:p w14:paraId="66E57A4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846" w:type="pct"/>
                  <w:vAlign w:val="center"/>
                </w:tcPr>
                <w:p w14:paraId="0C91389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r>
            <w:tr w14:paraId="1DAD8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1" w:type="pct"/>
                  <w:vAlign w:val="center"/>
                </w:tcPr>
                <w:p w14:paraId="3009ADE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505" w:type="pct"/>
                  <w:vAlign w:val="center"/>
                </w:tcPr>
                <w:p w14:paraId="7E60C5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东侧厂界</w:t>
                  </w:r>
                </w:p>
              </w:tc>
              <w:tc>
                <w:tcPr>
                  <w:tcW w:w="1141" w:type="pct"/>
                  <w:vAlign w:val="center"/>
                </w:tcPr>
                <w:p w14:paraId="6192A3EB">
                  <w:pPr>
                    <w:tabs>
                      <w:tab w:val="left" w:pos="0"/>
                      <w:tab w:val="left" w:pos="225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3.9</w:t>
                  </w:r>
                </w:p>
              </w:tc>
              <w:tc>
                <w:tcPr>
                  <w:tcW w:w="1451" w:type="dxa"/>
                  <w:vAlign w:val="center"/>
                </w:tcPr>
                <w:p w14:paraId="51A74DE7">
                  <w:pPr>
                    <w:tabs>
                      <w:tab w:val="left" w:pos="0"/>
                      <w:tab w:val="left" w:pos="225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1584" w:type="dxa"/>
                  <w:vAlign w:val="center"/>
                </w:tcPr>
                <w:p w14:paraId="1A648776">
                  <w:pPr>
                    <w:tabs>
                      <w:tab w:val="left" w:pos="0"/>
                      <w:tab w:val="left" w:pos="225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r>
            <w:tr w14:paraId="4D86F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1" w:type="pct"/>
                  <w:vAlign w:val="center"/>
                </w:tcPr>
                <w:p w14:paraId="2605A41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505" w:type="pct"/>
                  <w:vAlign w:val="center"/>
                </w:tcPr>
                <w:p w14:paraId="4173ECD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南侧厂界</w:t>
                  </w:r>
                </w:p>
              </w:tc>
              <w:tc>
                <w:tcPr>
                  <w:tcW w:w="1141" w:type="pct"/>
                  <w:vAlign w:val="center"/>
                </w:tcPr>
                <w:p w14:paraId="175153E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2.5</w:t>
                  </w:r>
                </w:p>
              </w:tc>
              <w:tc>
                <w:tcPr>
                  <w:tcW w:w="1451" w:type="dxa"/>
                  <w:vAlign w:val="center"/>
                </w:tcPr>
                <w:p w14:paraId="260C0142">
                  <w:pPr>
                    <w:tabs>
                      <w:tab w:val="left" w:pos="0"/>
                      <w:tab w:val="left" w:pos="225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1584" w:type="dxa"/>
                  <w:vAlign w:val="center"/>
                </w:tcPr>
                <w:p w14:paraId="359919FE">
                  <w:pPr>
                    <w:tabs>
                      <w:tab w:val="left" w:pos="0"/>
                      <w:tab w:val="left" w:pos="225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w:t>
                  </w:r>
                </w:p>
              </w:tc>
            </w:tr>
            <w:tr w14:paraId="2699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1" w:type="pct"/>
                  <w:vAlign w:val="center"/>
                </w:tcPr>
                <w:p w14:paraId="4DBF5B2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505" w:type="pct"/>
                  <w:vAlign w:val="center"/>
                </w:tcPr>
                <w:p w14:paraId="4119977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西侧厂界</w:t>
                  </w:r>
                </w:p>
              </w:tc>
              <w:tc>
                <w:tcPr>
                  <w:tcW w:w="1141" w:type="pct"/>
                  <w:vAlign w:val="center"/>
                </w:tcPr>
                <w:p w14:paraId="0DD4094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0.1</w:t>
                  </w:r>
                </w:p>
              </w:tc>
              <w:tc>
                <w:tcPr>
                  <w:tcW w:w="775" w:type="pct"/>
                  <w:vAlign w:val="center"/>
                </w:tcPr>
                <w:p w14:paraId="1A746486">
                  <w:pPr>
                    <w:tabs>
                      <w:tab w:val="left" w:pos="0"/>
                      <w:tab w:val="left" w:pos="225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846" w:type="pct"/>
                  <w:vAlign w:val="center"/>
                </w:tcPr>
                <w:p w14:paraId="7E4134F4">
                  <w:pPr>
                    <w:tabs>
                      <w:tab w:val="left" w:pos="0"/>
                      <w:tab w:val="left" w:pos="225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r>
            <w:tr w14:paraId="1EA2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1" w:type="pct"/>
                  <w:vAlign w:val="center"/>
                </w:tcPr>
                <w:p w14:paraId="67A01A2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505" w:type="pct"/>
                  <w:vAlign w:val="center"/>
                </w:tcPr>
                <w:p w14:paraId="04189B5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北侧厂界</w:t>
                  </w:r>
                </w:p>
              </w:tc>
              <w:tc>
                <w:tcPr>
                  <w:tcW w:w="1141" w:type="pct"/>
                  <w:vAlign w:val="center"/>
                </w:tcPr>
                <w:p w14:paraId="3F0D446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2.3</w:t>
                  </w:r>
                </w:p>
              </w:tc>
              <w:tc>
                <w:tcPr>
                  <w:tcW w:w="1451" w:type="dxa"/>
                  <w:vAlign w:val="center"/>
                </w:tcPr>
                <w:p w14:paraId="7B053844">
                  <w:pPr>
                    <w:tabs>
                      <w:tab w:val="left" w:pos="0"/>
                      <w:tab w:val="left" w:pos="225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1584" w:type="dxa"/>
                  <w:vAlign w:val="center"/>
                </w:tcPr>
                <w:p w14:paraId="124C92A6">
                  <w:pPr>
                    <w:tabs>
                      <w:tab w:val="left" w:pos="0"/>
                      <w:tab w:val="left" w:pos="225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r>
          </w:tbl>
          <w:p w14:paraId="61DBF8AF">
            <w:pPr>
              <w:adjustRightInd w:val="0"/>
              <w:snapToGrid w:val="0"/>
              <w:spacing w:line="440" w:lineRule="exact"/>
              <w:ind w:firstLine="484" w:firstLineChars="202"/>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预测结果表</w:t>
            </w:r>
            <w:r>
              <w:rPr>
                <w:rFonts w:hAnsi="宋体"/>
                <w:color w:val="000000" w:themeColor="text1"/>
                <w:kern w:val="24"/>
                <w:sz w:val="24"/>
                <w14:textFill>
                  <w14:solidFill>
                    <w14:schemeClr w14:val="tx1"/>
                  </w14:solidFill>
                </w14:textFill>
              </w:rPr>
              <w:t>明，经厂区建筑物的隔</w:t>
            </w:r>
            <w:r>
              <w:rPr>
                <w:rFonts w:hAnsi="宋体"/>
                <w:color w:val="000000" w:themeColor="text1"/>
                <w:sz w:val="24"/>
                <w14:textFill>
                  <w14:solidFill>
                    <w14:schemeClr w14:val="tx1"/>
                  </w14:solidFill>
                </w14:textFill>
              </w:rPr>
              <w:t>声、距离的衰减</w:t>
            </w:r>
            <w:r>
              <w:rPr>
                <w:rFonts w:hint="eastAsia" w:hAnsi="宋体"/>
                <w:color w:val="000000" w:themeColor="text1"/>
                <w:sz w:val="24"/>
                <w14:textFill>
                  <w14:solidFill>
                    <w14:schemeClr w14:val="tx1"/>
                  </w14:solidFill>
                </w14:textFill>
              </w:rPr>
              <w:t>等措施</w:t>
            </w:r>
            <w:r>
              <w:rPr>
                <w:rFonts w:hAnsi="宋体"/>
                <w:color w:val="000000" w:themeColor="text1"/>
                <w:sz w:val="24"/>
                <w14:textFill>
                  <w14:solidFill>
                    <w14:schemeClr w14:val="tx1"/>
                  </w14:solidFill>
                </w14:textFill>
              </w:rPr>
              <w:t>后，厂界噪声</w:t>
            </w:r>
            <w:r>
              <w:rPr>
                <w:rFonts w:hint="eastAsia"/>
                <w:color w:val="000000" w:themeColor="text1"/>
                <w:sz w:val="24"/>
                <w14:textFill>
                  <w14:solidFill>
                    <w14:schemeClr w14:val="tx1"/>
                  </w14:solidFill>
                </w14:textFill>
              </w:rPr>
              <w:t>可以达到《工业企业厂界环境噪声排放标准》（</w:t>
            </w:r>
            <w:r>
              <w:rPr>
                <w:color w:val="000000" w:themeColor="text1"/>
                <w:sz w:val="24"/>
                <w14:textFill>
                  <w14:solidFill>
                    <w14:schemeClr w14:val="tx1"/>
                  </w14:solidFill>
                </w14:textFill>
              </w:rPr>
              <w:t>GB12348-2008</w:t>
            </w:r>
            <w:r>
              <w:rPr>
                <w:rFonts w:hint="eastAsia"/>
                <w:color w:val="000000" w:themeColor="text1"/>
                <w:sz w:val="24"/>
                <w14:textFill>
                  <w14:solidFill>
                    <w14:schemeClr w14:val="tx1"/>
                  </w14:solidFill>
                </w14:textFill>
              </w:rPr>
              <w:t>）中的2</w:t>
            </w:r>
            <w:r>
              <w:rPr>
                <w:color w:val="000000" w:themeColor="text1"/>
                <w:sz w:val="24"/>
                <w14:textFill>
                  <w14:solidFill>
                    <w14:schemeClr w14:val="tx1"/>
                  </w14:solidFill>
                </w14:textFill>
              </w:rPr>
              <w:t>类</w:t>
            </w:r>
            <w:r>
              <w:rPr>
                <w:rFonts w:hint="eastAsia"/>
                <w:color w:val="000000" w:themeColor="text1"/>
                <w:sz w:val="24"/>
                <w14:textFill>
                  <w14:solidFill>
                    <w14:schemeClr w14:val="tx1"/>
                  </w14:solidFill>
                </w14:textFill>
              </w:rPr>
              <w:t>、4类</w:t>
            </w:r>
            <w:r>
              <w:rPr>
                <w:color w:val="000000" w:themeColor="text1"/>
                <w:sz w:val="24"/>
                <w14:textFill>
                  <w14:solidFill>
                    <w14:schemeClr w14:val="tx1"/>
                  </w14:solidFill>
                </w14:textFill>
              </w:rPr>
              <w:t>标准</w:t>
            </w:r>
            <w:r>
              <w:rPr>
                <w:rFonts w:hint="eastAsia"/>
                <w:color w:val="000000" w:themeColor="text1"/>
                <w:sz w:val="24"/>
                <w14:textFill>
                  <w14:solidFill>
                    <w14:schemeClr w14:val="tx1"/>
                  </w14:solidFill>
                </w14:textFill>
              </w:rPr>
              <w:t>，因此本项目设备噪声对周围声环境影响较小。</w:t>
            </w:r>
          </w:p>
          <w:p w14:paraId="4EE04C62">
            <w:pPr>
              <w:spacing w:line="500" w:lineRule="atLeas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3、噪声监测计划</w:t>
            </w:r>
          </w:p>
          <w:p w14:paraId="0DDF1A48">
            <w:p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根据《排污单位自行监测技术指南 总则》（</w:t>
            </w:r>
            <w:r>
              <w:rPr>
                <w:color w:val="000000" w:themeColor="text1"/>
                <w:sz w:val="24"/>
                <w14:textFill>
                  <w14:solidFill>
                    <w14:schemeClr w14:val="tx1"/>
                  </w14:solidFill>
                </w14:textFill>
              </w:rPr>
              <w:t>HJ819-2017</w:t>
            </w:r>
            <w:r>
              <w:rPr>
                <w:rFonts w:hint="eastAsia"/>
                <w:color w:val="000000" w:themeColor="text1"/>
                <w:sz w:val="24"/>
                <w14:textFill>
                  <w14:solidFill>
                    <w14:schemeClr w14:val="tx1"/>
                  </w14:solidFill>
                </w14:textFill>
              </w:rPr>
              <w:t>），本项目污染源监测计划见下表：</w:t>
            </w:r>
          </w:p>
          <w:p w14:paraId="42FFE4FE">
            <w:pPr>
              <w:spacing w:line="500" w:lineRule="exact"/>
              <w:ind w:firstLine="482" w:firstLineChars="200"/>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 xml:space="preserve">表 </w:t>
            </w:r>
            <w:r>
              <w:rPr>
                <w:b/>
                <w:bCs/>
                <w:color w:val="000000" w:themeColor="text1"/>
                <w:kern w:val="0"/>
                <w:sz w:val="24"/>
                <w14:textFill>
                  <w14:solidFill>
                    <w14:schemeClr w14:val="tx1"/>
                  </w14:solidFill>
                </w14:textFill>
              </w:rPr>
              <w:t>4-1</w:t>
            </w:r>
            <w:r>
              <w:rPr>
                <w:rFonts w:hint="eastAsia"/>
                <w:b/>
                <w:bCs/>
                <w:color w:val="000000" w:themeColor="text1"/>
                <w:kern w:val="0"/>
                <w:sz w:val="24"/>
                <w14:textFill>
                  <w14:solidFill>
                    <w14:schemeClr w14:val="tx1"/>
                  </w14:solidFill>
                </w14:textFill>
              </w:rPr>
              <w:t>4</w:t>
            </w:r>
            <w:r>
              <w:rPr>
                <w:b/>
                <w:bCs/>
                <w:color w:val="000000" w:themeColor="text1"/>
                <w:kern w:val="0"/>
                <w:sz w:val="24"/>
                <w14:textFill>
                  <w14:solidFill>
                    <w14:schemeClr w14:val="tx1"/>
                  </w14:solidFill>
                </w14:textFill>
              </w:rPr>
              <w:t xml:space="preserve">  </w:t>
            </w:r>
            <w:r>
              <w:rPr>
                <w:rFonts w:hint="eastAsia" w:ascii="宋体" w:hAnsi="宋体" w:cs="宋体"/>
                <w:b/>
                <w:bCs/>
                <w:color w:val="000000" w:themeColor="text1"/>
                <w:kern w:val="0"/>
                <w:sz w:val="24"/>
                <w14:textFill>
                  <w14:solidFill>
                    <w14:schemeClr w14:val="tx1"/>
                  </w14:solidFill>
                </w14:textFill>
              </w:rPr>
              <w:t>环境噪声监测计划及记录信息表</w:t>
            </w:r>
          </w:p>
          <w:tbl>
            <w:tblPr>
              <w:tblStyle w:val="27"/>
              <w:tblW w:w="4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731"/>
              <w:gridCol w:w="1169"/>
              <w:gridCol w:w="1774"/>
              <w:gridCol w:w="1238"/>
              <w:gridCol w:w="3482"/>
            </w:tblGrid>
            <w:tr w14:paraId="7AD0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3" w:type="pct"/>
                  <w:vAlign w:val="center"/>
                </w:tcPr>
                <w:p w14:paraId="6E00BDE3">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项目</w:t>
                  </w:r>
                </w:p>
              </w:tc>
              <w:tc>
                <w:tcPr>
                  <w:tcW w:w="395" w:type="pct"/>
                  <w:vAlign w:val="center"/>
                </w:tcPr>
                <w:p w14:paraId="2D819099">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类别</w:t>
                  </w:r>
                </w:p>
              </w:tc>
              <w:tc>
                <w:tcPr>
                  <w:tcW w:w="632" w:type="pct"/>
                  <w:vAlign w:val="center"/>
                </w:tcPr>
                <w:p w14:paraId="5E94FD0B">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监测点位</w:t>
                  </w:r>
                </w:p>
              </w:tc>
              <w:tc>
                <w:tcPr>
                  <w:tcW w:w="959" w:type="pct"/>
                  <w:vAlign w:val="bottom"/>
                </w:tcPr>
                <w:p w14:paraId="14BC896F">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监测项目</w:t>
                  </w:r>
                </w:p>
              </w:tc>
              <w:tc>
                <w:tcPr>
                  <w:tcW w:w="669" w:type="pct"/>
                  <w:vAlign w:val="center"/>
                </w:tcPr>
                <w:p w14:paraId="1FF11329">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监测频次</w:t>
                  </w:r>
                </w:p>
              </w:tc>
              <w:tc>
                <w:tcPr>
                  <w:tcW w:w="1882" w:type="pct"/>
                  <w:vAlign w:val="center"/>
                </w:tcPr>
                <w:p w14:paraId="7E78C955">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执行排放标准</w:t>
                  </w:r>
                </w:p>
              </w:tc>
            </w:tr>
            <w:tr w14:paraId="4E38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3" w:type="pct"/>
                  <w:tcBorders>
                    <w:bottom w:val="single" w:color="auto" w:sz="4" w:space="0"/>
                  </w:tcBorders>
                  <w:vAlign w:val="center"/>
                </w:tcPr>
                <w:p w14:paraId="3561F4FF">
                  <w:pPr>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噪声</w:t>
                  </w:r>
                </w:p>
              </w:tc>
              <w:tc>
                <w:tcPr>
                  <w:tcW w:w="395" w:type="pct"/>
                  <w:tcBorders>
                    <w:bottom w:val="single" w:color="auto" w:sz="4" w:space="0"/>
                  </w:tcBorders>
                  <w:vAlign w:val="center"/>
                </w:tcPr>
                <w:p w14:paraId="0A00BB5F">
                  <w:pPr>
                    <w:jc w:val="center"/>
                    <w:rPr>
                      <w:color w:val="000000" w:themeColor="text1"/>
                      <w:kern w:val="24"/>
                      <w:szCs w:val="21"/>
                      <w14:textFill>
                        <w14:solidFill>
                          <w14:schemeClr w14:val="tx1"/>
                        </w14:solidFill>
                      </w14:textFill>
                    </w:rPr>
                  </w:pPr>
                  <w:r>
                    <w:rPr>
                      <w:snapToGrid w:val="0"/>
                      <w:color w:val="000000" w:themeColor="text1"/>
                      <w:kern w:val="24"/>
                      <w:szCs w:val="21"/>
                      <w14:textFill>
                        <w14:solidFill>
                          <w14:schemeClr w14:val="tx1"/>
                        </w14:solidFill>
                      </w14:textFill>
                    </w:rPr>
                    <w:t>噪声</w:t>
                  </w:r>
                </w:p>
              </w:tc>
              <w:tc>
                <w:tcPr>
                  <w:tcW w:w="632" w:type="pct"/>
                  <w:tcBorders>
                    <w:bottom w:val="single" w:color="auto" w:sz="4" w:space="0"/>
                  </w:tcBorders>
                  <w:vAlign w:val="center"/>
                </w:tcPr>
                <w:p w14:paraId="5920F218">
                  <w:pPr>
                    <w:jc w:val="center"/>
                    <w:rPr>
                      <w:snapToGrid w:val="0"/>
                      <w:color w:val="000000" w:themeColor="text1"/>
                      <w:kern w:val="24"/>
                      <w:szCs w:val="21"/>
                      <w14:textFill>
                        <w14:solidFill>
                          <w14:schemeClr w14:val="tx1"/>
                        </w14:solidFill>
                      </w14:textFill>
                    </w:rPr>
                  </w:pPr>
                  <w:r>
                    <w:rPr>
                      <w:snapToGrid w:val="0"/>
                      <w:color w:val="000000" w:themeColor="text1"/>
                      <w:kern w:val="24"/>
                      <w:szCs w:val="21"/>
                      <w14:textFill>
                        <w14:solidFill>
                          <w14:schemeClr w14:val="tx1"/>
                        </w14:solidFill>
                      </w14:textFill>
                    </w:rPr>
                    <w:t>厂界外1m</w:t>
                  </w:r>
                </w:p>
              </w:tc>
              <w:tc>
                <w:tcPr>
                  <w:tcW w:w="959" w:type="pct"/>
                  <w:tcBorders>
                    <w:bottom w:val="single" w:color="auto" w:sz="4" w:space="0"/>
                  </w:tcBorders>
                  <w:vAlign w:val="center"/>
                </w:tcPr>
                <w:p w14:paraId="5FF4609A">
                  <w:pPr>
                    <w:widowControl/>
                    <w:ind w:left="-111" w:leftChars="-53" w:right="-105" w:rightChars="-50"/>
                    <w:jc w:val="center"/>
                    <w:rPr>
                      <w:color w:val="000000" w:themeColor="text1"/>
                      <w:kern w:val="0"/>
                      <w:sz w:val="24"/>
                      <w14:textFill>
                        <w14:solidFill>
                          <w14:schemeClr w14:val="tx1"/>
                        </w14:solidFill>
                      </w14:textFill>
                    </w:rPr>
                  </w:pPr>
                  <w:r>
                    <w:rPr>
                      <w:color w:val="000000" w:themeColor="text1"/>
                      <w:kern w:val="0"/>
                      <w:szCs w:val="21"/>
                      <w14:textFill>
                        <w14:solidFill>
                          <w14:schemeClr w14:val="tx1"/>
                        </w14:solidFill>
                      </w14:textFill>
                    </w:rPr>
                    <w:t>等效噪声级LAeq</w:t>
                  </w:r>
                </w:p>
              </w:tc>
              <w:tc>
                <w:tcPr>
                  <w:tcW w:w="669" w:type="pct"/>
                  <w:tcBorders>
                    <w:bottom w:val="single" w:color="auto" w:sz="4" w:space="0"/>
                  </w:tcBorders>
                  <w:vAlign w:val="center"/>
                </w:tcPr>
                <w:p w14:paraId="3D2AE4A3">
                  <w:pPr>
                    <w:jc w:val="center"/>
                    <w:rPr>
                      <w:snapToGrid w:val="0"/>
                      <w:color w:val="000000" w:themeColor="text1"/>
                      <w:kern w:val="24"/>
                      <w:szCs w:val="21"/>
                      <w14:textFill>
                        <w14:solidFill>
                          <w14:schemeClr w14:val="tx1"/>
                        </w14:solidFill>
                      </w14:textFill>
                    </w:rPr>
                  </w:pPr>
                  <w:r>
                    <w:rPr>
                      <w:snapToGrid w:val="0"/>
                      <w:color w:val="000000" w:themeColor="text1"/>
                      <w:kern w:val="24"/>
                      <w:szCs w:val="21"/>
                      <w14:textFill>
                        <w14:solidFill>
                          <w14:schemeClr w14:val="tx1"/>
                        </w14:solidFill>
                      </w14:textFill>
                    </w:rPr>
                    <w:t>1次/季度</w:t>
                  </w:r>
                </w:p>
              </w:tc>
              <w:tc>
                <w:tcPr>
                  <w:tcW w:w="1882" w:type="pct"/>
                  <w:tcBorders>
                    <w:bottom w:val="single" w:color="auto" w:sz="4" w:space="0"/>
                  </w:tcBorders>
                  <w:vAlign w:val="center"/>
                </w:tcPr>
                <w:p w14:paraId="31922240">
                  <w:pPr>
                    <w:widowControl/>
                    <w:jc w:val="center"/>
                    <w:rPr>
                      <w:color w:val="000000" w:themeColor="text1"/>
                      <w:kern w:val="0"/>
                      <w:sz w:val="24"/>
                      <w14:textFill>
                        <w14:solidFill>
                          <w14:schemeClr w14:val="tx1"/>
                        </w14:solidFill>
                      </w14:textFill>
                    </w:rPr>
                  </w:pPr>
                  <w:r>
                    <w:rPr>
                      <w:color w:val="000000" w:themeColor="text1"/>
                      <w:kern w:val="0"/>
                      <w:szCs w:val="21"/>
                      <w14:textFill>
                        <w14:solidFill>
                          <w14:schemeClr w14:val="tx1"/>
                        </w14:solidFill>
                      </w14:textFill>
                    </w:rPr>
                    <w:t>《工业企业厂界环境噪声排放标准》（GB12348-2008）中的</w:t>
                  </w: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类</w:t>
                  </w:r>
                  <w:r>
                    <w:rPr>
                      <w:rFonts w:hint="eastAsia"/>
                      <w:color w:val="000000" w:themeColor="text1"/>
                      <w:kern w:val="0"/>
                      <w:szCs w:val="21"/>
                      <w14:textFill>
                        <w14:solidFill>
                          <w14:schemeClr w14:val="tx1"/>
                        </w14:solidFill>
                      </w14:textFill>
                    </w:rPr>
                    <w:t>、4类</w:t>
                  </w:r>
                  <w:r>
                    <w:rPr>
                      <w:color w:val="000000" w:themeColor="text1"/>
                      <w:kern w:val="0"/>
                      <w:szCs w:val="21"/>
                      <w14:textFill>
                        <w14:solidFill>
                          <w14:schemeClr w14:val="tx1"/>
                        </w14:solidFill>
                      </w14:textFill>
                    </w:rPr>
                    <w:t>标准</w:t>
                  </w:r>
                </w:p>
              </w:tc>
            </w:tr>
          </w:tbl>
          <w:p w14:paraId="6F5ED65E">
            <w:pPr>
              <w:tabs>
                <w:tab w:val="left" w:pos="6645"/>
              </w:tabs>
              <w:adjustRightInd w:val="0"/>
              <w:snapToGrid w:val="0"/>
              <w:spacing w:line="50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四</w:t>
            </w:r>
            <w:r>
              <w:rPr>
                <w:b/>
                <w:color w:val="000000" w:themeColor="text1"/>
                <w:sz w:val="24"/>
                <w14:textFill>
                  <w14:solidFill>
                    <w14:schemeClr w14:val="tx1"/>
                  </w14:solidFill>
                </w14:textFill>
              </w:rPr>
              <w:t>、固体废物</w:t>
            </w:r>
            <w:r>
              <w:rPr>
                <w:b/>
                <w:color w:val="000000" w:themeColor="text1"/>
                <w:sz w:val="24"/>
                <w14:textFill>
                  <w14:solidFill>
                    <w14:schemeClr w14:val="tx1"/>
                  </w14:solidFill>
                </w14:textFill>
              </w:rPr>
              <w:tab/>
            </w:r>
          </w:p>
          <w:p w14:paraId="2452C657">
            <w:pPr>
              <w:spacing w:line="50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本项目固体废物主要来源为生产营运过程中产生的废含油抹布和手套、油罐清洗产生的含油废液、隔油池产生的废油和职工生活垃圾。 </w:t>
            </w:r>
          </w:p>
          <w:p w14:paraId="168FCA8E">
            <w:pPr>
              <w:spacing w:line="50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生活垃圾：本项目工作人员</w:t>
            </w:r>
            <w:r>
              <w:rPr>
                <w:rFonts w:hint="eastAsia" w:ascii="宋体" w:hAnsi="宋体" w:cs="宋体"/>
                <w:color w:val="000000" w:themeColor="text1"/>
                <w:sz w:val="24"/>
                <w14:textFill>
                  <w14:solidFill>
                    <w14:schemeClr w14:val="tx1"/>
                  </w14:solidFill>
                </w14:textFill>
              </w:rPr>
              <w:t>20</w:t>
            </w:r>
            <w:r>
              <w:rPr>
                <w:rFonts w:ascii="宋体" w:hAnsi="宋体" w:cs="宋体"/>
                <w:color w:val="000000" w:themeColor="text1"/>
                <w:sz w:val="24"/>
                <w14:textFill>
                  <w14:solidFill>
                    <w14:schemeClr w14:val="tx1"/>
                  </w14:solidFill>
                </w14:textFill>
              </w:rPr>
              <w:t>人，生活垃圾每人每天产生量按0.8kg计算，则生活垃圾产生量约</w:t>
            </w:r>
            <w:r>
              <w:rPr>
                <w:rFonts w:hint="eastAsia" w:ascii="宋体" w:hAnsi="宋体" w:cs="宋体"/>
                <w:color w:val="000000" w:themeColor="text1"/>
                <w:sz w:val="24"/>
                <w14:textFill>
                  <w14:solidFill>
                    <w14:schemeClr w14:val="tx1"/>
                  </w14:solidFill>
                </w14:textFill>
              </w:rPr>
              <w:t>5.8</w:t>
            </w:r>
            <w:r>
              <w:rPr>
                <w:rFonts w:ascii="宋体" w:hAnsi="宋体" w:cs="宋体"/>
                <w:color w:val="000000" w:themeColor="text1"/>
                <w:sz w:val="24"/>
                <w14:textFill>
                  <w14:solidFill>
                    <w14:schemeClr w14:val="tx1"/>
                  </w14:solidFill>
                </w14:textFill>
              </w:rPr>
              <w:t xml:space="preserve">t/a，统一收集后由环卫清理。 </w:t>
            </w:r>
          </w:p>
          <w:p w14:paraId="255A5FFC">
            <w:pPr>
              <w:spacing w:line="50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危险废物：废含油抹布和手套：加油站日常运营中如遇到设备检修、跑冒滴漏处理等过程会产生废含油抹布或手套，产生量约为0.01t/a，属于危险废物。</w:t>
            </w:r>
            <w:r>
              <w:rPr>
                <w:rFonts w:hint="eastAsia" w:ascii="宋体" w:hAnsi="宋体" w:cs="宋体"/>
                <w:color w:val="000000" w:themeColor="text1"/>
                <w:sz w:val="24"/>
                <w14:textFill>
                  <w14:solidFill>
                    <w14:schemeClr w14:val="tx1"/>
                  </w14:solidFill>
                </w14:textFill>
              </w:rPr>
              <w:t>暂存危废间，定期委托资质单位代为处置</w:t>
            </w:r>
            <w:r>
              <w:rPr>
                <w:rFonts w:ascii="宋体" w:hAnsi="宋体" w:cs="宋体"/>
                <w:color w:val="000000" w:themeColor="text1"/>
                <w:sz w:val="24"/>
                <w14:textFill>
                  <w14:solidFill>
                    <w14:schemeClr w14:val="tx1"/>
                  </w14:solidFill>
                </w14:textFill>
              </w:rPr>
              <w:t xml:space="preserve">。 </w:t>
            </w:r>
          </w:p>
          <w:p w14:paraId="17211B72">
            <w:pPr>
              <w:spacing w:line="500" w:lineRule="exact"/>
              <w:ind w:firstLine="480" w:firstLineChars="200"/>
              <w:rPr>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油罐清洗产生的含油废液和隔油池产生的废油：加油站储油罐和隔油池长时间使用后会产生储罐油泥和隔油池废油，根据《国家危险废物名录》（2021年版），油罐清理废液和隔油池废油属于危险废物，须定期进行清理。根据建设单位提供资料，油罐每4年清理一次，每次产生量为0.8t，则平均0.2t/a。隔油池每年清理一次，每次产生量0.01t。加油站油罐清理和隔油池清理工作委托有资质单位进行，清理后产生的含油废液和废油</w:t>
            </w:r>
            <w:r>
              <w:rPr>
                <w:rFonts w:hint="eastAsia" w:ascii="宋体" w:hAnsi="宋体" w:cs="宋体"/>
                <w:color w:val="000000" w:themeColor="text1"/>
                <w:sz w:val="24"/>
                <w14:textFill>
                  <w14:solidFill>
                    <w14:schemeClr w14:val="tx1"/>
                  </w14:solidFill>
                </w14:textFill>
              </w:rPr>
              <w:t>，资质清理单位带走处理</w:t>
            </w:r>
            <w:r>
              <w:rPr>
                <w:rFonts w:ascii="宋体" w:hAnsi="宋体" w:cs="宋体"/>
                <w:color w:val="000000" w:themeColor="text1"/>
                <w:sz w:val="24"/>
                <w14:textFill>
                  <w14:solidFill>
                    <w14:schemeClr w14:val="tx1"/>
                  </w14:solidFill>
                </w14:textFill>
              </w:rPr>
              <w:t>。</w:t>
            </w:r>
          </w:p>
          <w:p w14:paraId="6C26902B">
            <w:pPr>
              <w:spacing w:line="480" w:lineRule="exact"/>
              <w:jc w:val="center"/>
              <w:rPr>
                <w:b/>
                <w:snapToGrid w:val="0"/>
                <w:color w:val="000000" w:themeColor="text1"/>
                <w:kern w:val="24"/>
                <w:sz w:val="24"/>
                <w14:textFill>
                  <w14:solidFill>
                    <w14:schemeClr w14:val="tx1"/>
                  </w14:solidFill>
                </w14:textFill>
              </w:rPr>
            </w:pPr>
            <w:r>
              <w:rPr>
                <w:rFonts w:hint="eastAsia"/>
                <w:b/>
                <w:snapToGrid w:val="0"/>
                <w:color w:val="000000" w:themeColor="text1"/>
                <w:kern w:val="0"/>
                <w:sz w:val="24"/>
                <w14:textFill>
                  <w14:solidFill>
                    <w14:schemeClr w14:val="tx1"/>
                  </w14:solidFill>
                </w14:textFill>
              </w:rPr>
              <w:t>表</w:t>
            </w:r>
            <w:r>
              <w:rPr>
                <w:b/>
                <w:snapToGrid w:val="0"/>
                <w:color w:val="000000" w:themeColor="text1"/>
                <w:kern w:val="0"/>
                <w:sz w:val="24"/>
                <w14:textFill>
                  <w14:solidFill>
                    <w14:schemeClr w14:val="tx1"/>
                  </w14:solidFill>
                </w14:textFill>
              </w:rPr>
              <w:t>4-1</w:t>
            </w:r>
            <w:r>
              <w:rPr>
                <w:rFonts w:hint="eastAsia"/>
                <w:b/>
                <w:snapToGrid w:val="0"/>
                <w:color w:val="000000" w:themeColor="text1"/>
                <w:kern w:val="0"/>
                <w:sz w:val="24"/>
                <w14:textFill>
                  <w14:solidFill>
                    <w14:schemeClr w14:val="tx1"/>
                  </w14:solidFill>
                </w14:textFill>
              </w:rPr>
              <w:t>5</w:t>
            </w:r>
            <w:r>
              <w:rPr>
                <w:b/>
                <w:snapToGrid w:val="0"/>
                <w:color w:val="000000" w:themeColor="text1"/>
                <w:kern w:val="0"/>
                <w:sz w:val="24"/>
                <w14:textFill>
                  <w14:solidFill>
                    <w14:schemeClr w14:val="tx1"/>
                  </w14:solidFill>
                </w14:textFill>
              </w:rPr>
              <w:t xml:space="preserve"> </w:t>
            </w:r>
            <w:r>
              <w:rPr>
                <w:rFonts w:hint="eastAsia"/>
                <w:b/>
                <w:snapToGrid w:val="0"/>
                <w:color w:val="000000" w:themeColor="text1"/>
                <w:kern w:val="24"/>
                <w:sz w:val="24"/>
                <w14:textFill>
                  <w14:solidFill>
                    <w14:schemeClr w14:val="tx1"/>
                  </w14:solidFill>
                </w14:textFill>
              </w:rPr>
              <w:t>固体废物污染源强核算结果及相关参数一览表</w:t>
            </w:r>
          </w:p>
          <w:tbl>
            <w:tblPr>
              <w:tblStyle w:val="27"/>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2268"/>
              <w:gridCol w:w="1339"/>
              <w:gridCol w:w="1636"/>
              <w:gridCol w:w="1276"/>
              <w:gridCol w:w="1983"/>
            </w:tblGrid>
            <w:tr w14:paraId="2D11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tcBorders>
                    <w:top w:val="single" w:color="auto" w:sz="4" w:space="0"/>
                    <w:left w:val="single" w:color="auto" w:sz="4" w:space="0"/>
                    <w:bottom w:val="single" w:color="auto" w:sz="4" w:space="0"/>
                    <w:right w:val="single" w:color="auto" w:sz="4" w:space="0"/>
                  </w:tcBorders>
                  <w:vAlign w:val="center"/>
                </w:tcPr>
                <w:p w14:paraId="1E75C4D3">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固废性质</w:t>
                  </w:r>
                </w:p>
              </w:tc>
              <w:tc>
                <w:tcPr>
                  <w:tcW w:w="1191" w:type="pct"/>
                  <w:tcBorders>
                    <w:top w:val="single" w:color="auto" w:sz="4" w:space="0"/>
                    <w:left w:val="single" w:color="auto" w:sz="4" w:space="0"/>
                    <w:bottom w:val="single" w:color="auto" w:sz="4" w:space="0"/>
                    <w:right w:val="single" w:color="auto" w:sz="4" w:space="0"/>
                  </w:tcBorders>
                  <w:vAlign w:val="center"/>
                </w:tcPr>
                <w:p w14:paraId="270C883A">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污染物名称</w:t>
                  </w:r>
                </w:p>
              </w:tc>
              <w:tc>
                <w:tcPr>
                  <w:tcW w:w="703" w:type="pct"/>
                  <w:tcBorders>
                    <w:top w:val="single" w:color="auto" w:sz="4" w:space="0"/>
                    <w:left w:val="single" w:color="auto" w:sz="4" w:space="0"/>
                    <w:bottom w:val="single" w:color="auto" w:sz="4" w:space="0"/>
                    <w:right w:val="single" w:color="auto" w:sz="4" w:space="0"/>
                  </w:tcBorders>
                  <w:vAlign w:val="center"/>
                </w:tcPr>
                <w:p w14:paraId="26D2EE0A">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危废类别</w:t>
                  </w:r>
                </w:p>
              </w:tc>
              <w:tc>
                <w:tcPr>
                  <w:tcW w:w="859" w:type="pct"/>
                  <w:tcBorders>
                    <w:top w:val="single" w:color="auto" w:sz="4" w:space="0"/>
                    <w:left w:val="single" w:color="auto" w:sz="4" w:space="0"/>
                    <w:bottom w:val="single" w:color="auto" w:sz="4" w:space="0"/>
                    <w:right w:val="single" w:color="auto" w:sz="4" w:space="0"/>
                  </w:tcBorders>
                  <w:vAlign w:val="center"/>
                </w:tcPr>
                <w:p w14:paraId="0502CEBA">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废物代码</w:t>
                  </w:r>
                </w:p>
              </w:tc>
              <w:tc>
                <w:tcPr>
                  <w:tcW w:w="670" w:type="pct"/>
                  <w:tcBorders>
                    <w:top w:val="single" w:color="auto" w:sz="4" w:space="0"/>
                    <w:left w:val="single" w:color="auto" w:sz="4" w:space="0"/>
                    <w:bottom w:val="single" w:color="auto" w:sz="4" w:space="0"/>
                    <w:right w:val="single" w:color="auto" w:sz="4" w:space="0"/>
                  </w:tcBorders>
                  <w:vAlign w:val="center"/>
                </w:tcPr>
                <w:p w14:paraId="57C167EC">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产生量（t/a）</w:t>
                  </w:r>
                </w:p>
              </w:tc>
              <w:tc>
                <w:tcPr>
                  <w:tcW w:w="1041" w:type="pct"/>
                  <w:tcBorders>
                    <w:top w:val="single" w:color="auto" w:sz="4" w:space="0"/>
                    <w:left w:val="single" w:color="auto" w:sz="4" w:space="0"/>
                    <w:bottom w:val="single" w:color="auto" w:sz="4" w:space="0"/>
                    <w:right w:val="single" w:color="auto" w:sz="4" w:space="0"/>
                  </w:tcBorders>
                  <w:vAlign w:val="center"/>
                </w:tcPr>
                <w:p w14:paraId="31BCA4F9">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处置方式</w:t>
                  </w:r>
                </w:p>
              </w:tc>
            </w:tr>
            <w:tr w14:paraId="3FDD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restart"/>
                  <w:tcBorders>
                    <w:top w:val="single" w:color="auto" w:sz="4" w:space="0"/>
                    <w:left w:val="single" w:color="auto" w:sz="4" w:space="0"/>
                    <w:right w:val="single" w:color="auto" w:sz="4" w:space="0"/>
                  </w:tcBorders>
                  <w:vAlign w:val="center"/>
                </w:tcPr>
                <w:p w14:paraId="1A70F5CC">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危险废物</w:t>
                  </w:r>
                </w:p>
              </w:tc>
              <w:tc>
                <w:tcPr>
                  <w:tcW w:w="1191" w:type="pct"/>
                  <w:tcBorders>
                    <w:top w:val="single" w:color="auto" w:sz="4" w:space="0"/>
                    <w:left w:val="single" w:color="auto" w:sz="4" w:space="0"/>
                    <w:bottom w:val="single" w:color="auto" w:sz="4" w:space="0"/>
                    <w:right w:val="single" w:color="auto" w:sz="4" w:space="0"/>
                  </w:tcBorders>
                  <w:vAlign w:val="center"/>
                </w:tcPr>
                <w:p w14:paraId="7A9246F5">
                  <w:pPr>
                    <w:ind w:left="-105" w:leftChars="-50" w:right="-105" w:rightChars="-5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废含油抹布和废手套</w:t>
                  </w:r>
                </w:p>
              </w:tc>
              <w:tc>
                <w:tcPr>
                  <w:tcW w:w="703" w:type="pct"/>
                  <w:tcBorders>
                    <w:top w:val="single" w:color="auto" w:sz="4" w:space="0"/>
                    <w:left w:val="single" w:color="auto" w:sz="4" w:space="0"/>
                    <w:bottom w:val="single" w:color="auto" w:sz="4" w:space="0"/>
                    <w:right w:val="single" w:color="auto" w:sz="4" w:space="0"/>
                  </w:tcBorders>
                  <w:vAlign w:val="center"/>
                </w:tcPr>
                <w:p w14:paraId="58B91984">
                  <w:pPr>
                    <w:ind w:left="-105" w:leftChars="-50" w:right="-105" w:rightChars="-5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HW49</w:t>
                  </w:r>
                </w:p>
              </w:tc>
              <w:tc>
                <w:tcPr>
                  <w:tcW w:w="859" w:type="pct"/>
                  <w:tcBorders>
                    <w:top w:val="single" w:color="auto" w:sz="4" w:space="0"/>
                    <w:left w:val="single" w:color="auto" w:sz="4" w:space="0"/>
                    <w:bottom w:val="single" w:color="auto" w:sz="4" w:space="0"/>
                    <w:right w:val="single" w:color="auto" w:sz="4" w:space="0"/>
                  </w:tcBorders>
                  <w:vAlign w:val="center"/>
                </w:tcPr>
                <w:p w14:paraId="5014C82D">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900-041-49</w:t>
                  </w:r>
                </w:p>
              </w:tc>
              <w:tc>
                <w:tcPr>
                  <w:tcW w:w="670" w:type="pct"/>
                  <w:tcBorders>
                    <w:top w:val="single" w:color="auto" w:sz="4" w:space="0"/>
                    <w:left w:val="single" w:color="auto" w:sz="4" w:space="0"/>
                    <w:bottom w:val="single" w:color="auto" w:sz="4" w:space="0"/>
                    <w:right w:val="single" w:color="auto" w:sz="4" w:space="0"/>
                  </w:tcBorders>
                  <w:vAlign w:val="center"/>
                </w:tcPr>
                <w:p w14:paraId="48503D6A">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1041" w:type="pct"/>
                  <w:tcBorders>
                    <w:top w:val="single" w:color="auto" w:sz="4" w:space="0"/>
                    <w:left w:val="single" w:color="auto" w:sz="4" w:space="0"/>
                    <w:right w:val="single" w:color="auto" w:sz="4" w:space="0"/>
                  </w:tcBorders>
                  <w:vAlign w:val="center"/>
                </w:tcPr>
                <w:p w14:paraId="4950E7E5">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危废库暂存，定期委托资质单位代为处置</w:t>
                  </w:r>
                </w:p>
              </w:tc>
            </w:tr>
            <w:tr w14:paraId="0AB5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534" w:type="pct"/>
                  <w:vMerge w:val="continue"/>
                  <w:tcBorders>
                    <w:left w:val="single" w:color="auto" w:sz="4" w:space="0"/>
                    <w:right w:val="single" w:color="auto" w:sz="4" w:space="0"/>
                  </w:tcBorders>
                  <w:vAlign w:val="center"/>
                </w:tcPr>
                <w:p w14:paraId="1F6C650A">
                  <w:pPr>
                    <w:ind w:left="-105" w:leftChars="-50" w:right="-105" w:rightChars="-50"/>
                    <w:jc w:val="center"/>
                    <w:rPr>
                      <w:snapToGrid w:val="0"/>
                      <w:color w:val="000000" w:themeColor="text1"/>
                      <w:kern w:val="0"/>
                      <w:szCs w:val="21"/>
                      <w14:textFill>
                        <w14:solidFill>
                          <w14:schemeClr w14:val="tx1"/>
                        </w14:solidFill>
                      </w14:textFill>
                    </w:rPr>
                  </w:pPr>
                </w:p>
              </w:tc>
              <w:tc>
                <w:tcPr>
                  <w:tcW w:w="1191" w:type="pct"/>
                  <w:tcBorders>
                    <w:top w:val="single" w:color="auto" w:sz="4" w:space="0"/>
                    <w:left w:val="single" w:color="auto" w:sz="4" w:space="0"/>
                    <w:bottom w:val="single" w:color="auto" w:sz="4" w:space="0"/>
                    <w:right w:val="single" w:color="auto" w:sz="4" w:space="0"/>
                  </w:tcBorders>
                  <w:vAlign w:val="center"/>
                </w:tcPr>
                <w:p w14:paraId="1C6CE53C">
                  <w:pPr>
                    <w:ind w:left="-105" w:leftChars="-50" w:right="-105" w:rightChars="-5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油罐清洗残液</w:t>
                  </w:r>
                </w:p>
              </w:tc>
              <w:tc>
                <w:tcPr>
                  <w:tcW w:w="703" w:type="pct"/>
                  <w:tcBorders>
                    <w:top w:val="single" w:color="auto" w:sz="4" w:space="0"/>
                    <w:left w:val="single" w:color="auto" w:sz="4" w:space="0"/>
                    <w:bottom w:val="single" w:color="auto" w:sz="4" w:space="0"/>
                    <w:right w:val="single" w:color="auto" w:sz="4" w:space="0"/>
                  </w:tcBorders>
                  <w:vAlign w:val="center"/>
                </w:tcPr>
                <w:p w14:paraId="18A2F5E8">
                  <w:pPr>
                    <w:ind w:left="-105" w:leftChars="-50" w:right="-105" w:rightChars="-5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HW08</w:t>
                  </w:r>
                </w:p>
              </w:tc>
              <w:tc>
                <w:tcPr>
                  <w:tcW w:w="859" w:type="pct"/>
                  <w:tcBorders>
                    <w:top w:val="single" w:color="auto" w:sz="4" w:space="0"/>
                    <w:left w:val="single" w:color="auto" w:sz="4" w:space="0"/>
                    <w:bottom w:val="single" w:color="auto" w:sz="4" w:space="0"/>
                    <w:right w:val="single" w:color="auto" w:sz="4" w:space="0"/>
                  </w:tcBorders>
                  <w:vAlign w:val="center"/>
                </w:tcPr>
                <w:p w14:paraId="3EC08738">
                  <w:pPr>
                    <w:ind w:left="-105" w:leftChars="-50" w:right="-105" w:rightChars="-5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900-2</w:t>
                  </w:r>
                  <w:r>
                    <w:rPr>
                      <w:rFonts w:hint="eastAsia"/>
                      <w:snapToGrid w:val="0"/>
                      <w:color w:val="000000" w:themeColor="text1"/>
                      <w:kern w:val="0"/>
                      <w:szCs w:val="21"/>
                      <w14:textFill>
                        <w14:solidFill>
                          <w14:schemeClr w14:val="tx1"/>
                        </w14:solidFill>
                      </w14:textFill>
                    </w:rPr>
                    <w:t>49</w:t>
                  </w:r>
                  <w:r>
                    <w:rPr>
                      <w:snapToGrid w:val="0"/>
                      <w:color w:val="000000" w:themeColor="text1"/>
                      <w:kern w:val="0"/>
                      <w:szCs w:val="21"/>
                      <w14:textFill>
                        <w14:solidFill>
                          <w14:schemeClr w14:val="tx1"/>
                        </w14:solidFill>
                      </w14:textFill>
                    </w:rPr>
                    <w:t>-08</w:t>
                  </w:r>
                </w:p>
              </w:tc>
              <w:tc>
                <w:tcPr>
                  <w:tcW w:w="670" w:type="pct"/>
                  <w:tcBorders>
                    <w:top w:val="single" w:color="auto" w:sz="4" w:space="0"/>
                    <w:left w:val="single" w:color="auto" w:sz="4" w:space="0"/>
                    <w:bottom w:val="single" w:color="auto" w:sz="4" w:space="0"/>
                    <w:right w:val="single" w:color="auto" w:sz="4" w:space="0"/>
                  </w:tcBorders>
                  <w:vAlign w:val="center"/>
                </w:tcPr>
                <w:p w14:paraId="7B10432F">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w:t>
                  </w:r>
                </w:p>
              </w:tc>
              <w:tc>
                <w:tcPr>
                  <w:tcW w:w="1041" w:type="pct"/>
                  <w:vMerge w:val="restart"/>
                  <w:tcBorders>
                    <w:left w:val="single" w:color="auto" w:sz="4" w:space="0"/>
                    <w:right w:val="single" w:color="auto" w:sz="4" w:space="0"/>
                  </w:tcBorders>
                  <w:vAlign w:val="center"/>
                </w:tcPr>
                <w:p w14:paraId="39EE6C18">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委托第三方清运公司带走处理</w:t>
                  </w:r>
                </w:p>
              </w:tc>
            </w:tr>
            <w:tr w14:paraId="57DE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continue"/>
                  <w:tcBorders>
                    <w:left w:val="single" w:color="auto" w:sz="4" w:space="0"/>
                    <w:right w:val="single" w:color="auto" w:sz="4" w:space="0"/>
                  </w:tcBorders>
                  <w:vAlign w:val="center"/>
                </w:tcPr>
                <w:p w14:paraId="74951109">
                  <w:pPr>
                    <w:ind w:left="-105" w:leftChars="-50" w:right="-105" w:rightChars="-50"/>
                    <w:jc w:val="center"/>
                    <w:rPr>
                      <w:snapToGrid w:val="0"/>
                      <w:color w:val="000000" w:themeColor="text1"/>
                      <w:kern w:val="0"/>
                      <w:szCs w:val="21"/>
                      <w14:textFill>
                        <w14:solidFill>
                          <w14:schemeClr w14:val="tx1"/>
                        </w14:solidFill>
                      </w14:textFill>
                    </w:rPr>
                  </w:pPr>
                </w:p>
              </w:tc>
              <w:tc>
                <w:tcPr>
                  <w:tcW w:w="1191" w:type="pct"/>
                  <w:tcBorders>
                    <w:top w:val="single" w:color="auto" w:sz="4" w:space="0"/>
                    <w:left w:val="single" w:color="auto" w:sz="4" w:space="0"/>
                    <w:bottom w:val="single" w:color="auto" w:sz="4" w:space="0"/>
                    <w:right w:val="single" w:color="auto" w:sz="4" w:space="0"/>
                  </w:tcBorders>
                  <w:vAlign w:val="center"/>
                </w:tcPr>
                <w:p w14:paraId="15BB7D55">
                  <w:pPr>
                    <w:ind w:left="-105" w:leftChars="-50" w:right="-105" w:rightChars="-5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隔油池产生的废油</w:t>
                  </w:r>
                </w:p>
              </w:tc>
              <w:tc>
                <w:tcPr>
                  <w:tcW w:w="703" w:type="pct"/>
                  <w:tcBorders>
                    <w:top w:val="single" w:color="auto" w:sz="4" w:space="0"/>
                    <w:left w:val="single" w:color="auto" w:sz="4" w:space="0"/>
                    <w:bottom w:val="single" w:color="auto" w:sz="4" w:space="0"/>
                    <w:right w:val="single" w:color="auto" w:sz="4" w:space="0"/>
                  </w:tcBorders>
                  <w:vAlign w:val="center"/>
                </w:tcPr>
                <w:p w14:paraId="54C3F17B">
                  <w:pPr>
                    <w:ind w:left="-105" w:leftChars="-50" w:right="-105" w:rightChars="-5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HW08</w:t>
                  </w:r>
                </w:p>
              </w:tc>
              <w:tc>
                <w:tcPr>
                  <w:tcW w:w="859" w:type="pct"/>
                  <w:tcBorders>
                    <w:top w:val="single" w:color="auto" w:sz="4" w:space="0"/>
                    <w:left w:val="single" w:color="auto" w:sz="4" w:space="0"/>
                    <w:bottom w:val="single" w:color="auto" w:sz="4" w:space="0"/>
                    <w:right w:val="single" w:color="auto" w:sz="4" w:space="0"/>
                  </w:tcBorders>
                  <w:vAlign w:val="center"/>
                </w:tcPr>
                <w:p w14:paraId="7C13E016">
                  <w:pPr>
                    <w:ind w:left="-105" w:leftChars="-50" w:right="-105" w:rightChars="-5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900-2</w:t>
                  </w:r>
                  <w:r>
                    <w:rPr>
                      <w:rFonts w:hint="eastAsia"/>
                      <w:snapToGrid w:val="0"/>
                      <w:color w:val="000000" w:themeColor="text1"/>
                      <w:kern w:val="0"/>
                      <w:szCs w:val="21"/>
                      <w14:textFill>
                        <w14:solidFill>
                          <w14:schemeClr w14:val="tx1"/>
                        </w14:solidFill>
                      </w14:textFill>
                    </w:rPr>
                    <w:t>10</w:t>
                  </w:r>
                  <w:r>
                    <w:rPr>
                      <w:snapToGrid w:val="0"/>
                      <w:color w:val="000000" w:themeColor="text1"/>
                      <w:kern w:val="0"/>
                      <w:szCs w:val="21"/>
                      <w14:textFill>
                        <w14:solidFill>
                          <w14:schemeClr w14:val="tx1"/>
                        </w14:solidFill>
                      </w14:textFill>
                    </w:rPr>
                    <w:t>-08</w:t>
                  </w:r>
                </w:p>
              </w:tc>
              <w:tc>
                <w:tcPr>
                  <w:tcW w:w="670" w:type="pct"/>
                  <w:tcBorders>
                    <w:top w:val="single" w:color="auto" w:sz="4" w:space="0"/>
                    <w:left w:val="single" w:color="auto" w:sz="4" w:space="0"/>
                    <w:bottom w:val="single" w:color="auto" w:sz="4" w:space="0"/>
                    <w:right w:val="single" w:color="auto" w:sz="4" w:space="0"/>
                  </w:tcBorders>
                  <w:vAlign w:val="center"/>
                </w:tcPr>
                <w:p w14:paraId="2188951E">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1</w:t>
                  </w:r>
                </w:p>
              </w:tc>
              <w:tc>
                <w:tcPr>
                  <w:tcW w:w="1041" w:type="pct"/>
                  <w:vMerge w:val="continue"/>
                  <w:tcBorders>
                    <w:left w:val="single" w:color="auto" w:sz="4" w:space="0"/>
                    <w:right w:val="single" w:color="auto" w:sz="4" w:space="0"/>
                  </w:tcBorders>
                  <w:vAlign w:val="center"/>
                </w:tcPr>
                <w:p w14:paraId="0FCD73BF">
                  <w:pPr>
                    <w:ind w:left="-105" w:leftChars="-50" w:right="-105" w:rightChars="-50"/>
                    <w:jc w:val="center"/>
                    <w:rPr>
                      <w:color w:val="000000" w:themeColor="text1"/>
                      <w:szCs w:val="21"/>
                      <w14:textFill>
                        <w14:solidFill>
                          <w14:schemeClr w14:val="tx1"/>
                        </w14:solidFill>
                      </w14:textFill>
                    </w:rPr>
                  </w:pPr>
                </w:p>
              </w:tc>
            </w:tr>
            <w:tr w14:paraId="2DEC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tcBorders>
                    <w:top w:val="single" w:color="auto" w:sz="4" w:space="0"/>
                    <w:left w:val="single" w:color="auto" w:sz="4" w:space="0"/>
                    <w:bottom w:val="single" w:color="auto" w:sz="4" w:space="0"/>
                    <w:right w:val="single" w:color="auto" w:sz="4" w:space="0"/>
                  </w:tcBorders>
                  <w:vAlign w:val="center"/>
                </w:tcPr>
                <w:p w14:paraId="000B9405">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生活垃圾</w:t>
                  </w:r>
                </w:p>
              </w:tc>
              <w:tc>
                <w:tcPr>
                  <w:tcW w:w="1191" w:type="pct"/>
                  <w:tcBorders>
                    <w:top w:val="single" w:color="auto" w:sz="4" w:space="0"/>
                    <w:left w:val="single" w:color="auto" w:sz="4" w:space="0"/>
                    <w:bottom w:val="single" w:color="auto" w:sz="4" w:space="0"/>
                    <w:right w:val="single" w:color="auto" w:sz="4" w:space="0"/>
                  </w:tcBorders>
                  <w:vAlign w:val="center"/>
                </w:tcPr>
                <w:p w14:paraId="573A3412">
                  <w:pPr>
                    <w:ind w:right="-55"/>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703" w:type="pct"/>
                  <w:tcBorders>
                    <w:top w:val="single" w:color="auto" w:sz="4" w:space="0"/>
                    <w:left w:val="single" w:color="auto" w:sz="4" w:space="0"/>
                    <w:bottom w:val="single" w:color="auto" w:sz="4" w:space="0"/>
                    <w:right w:val="single" w:color="auto" w:sz="4" w:space="0"/>
                  </w:tcBorders>
                  <w:vAlign w:val="center"/>
                </w:tcPr>
                <w:p w14:paraId="6EEC6F7A">
                  <w:pPr>
                    <w:spacing w:line="280" w:lineRule="exact"/>
                    <w:ind w:left="-105" w:leftChars="-50" w:right="-105" w:rightChars="-5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859" w:type="pct"/>
                  <w:tcBorders>
                    <w:top w:val="single" w:color="auto" w:sz="4" w:space="0"/>
                    <w:left w:val="single" w:color="auto" w:sz="4" w:space="0"/>
                    <w:bottom w:val="single" w:color="auto" w:sz="4" w:space="0"/>
                    <w:right w:val="single" w:color="auto" w:sz="4" w:space="0"/>
                  </w:tcBorders>
                  <w:vAlign w:val="center"/>
                </w:tcPr>
                <w:p w14:paraId="7F7D9A18">
                  <w:pPr>
                    <w:ind w:left="-105" w:leftChars="-50" w:right="-105" w:rightChars="-5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670" w:type="pct"/>
                  <w:tcBorders>
                    <w:top w:val="single" w:color="auto" w:sz="4" w:space="0"/>
                    <w:left w:val="single" w:color="auto" w:sz="4" w:space="0"/>
                    <w:bottom w:val="single" w:color="auto" w:sz="4" w:space="0"/>
                    <w:right w:val="single" w:color="auto" w:sz="4" w:space="0"/>
                  </w:tcBorders>
                  <w:vAlign w:val="center"/>
                </w:tcPr>
                <w:p w14:paraId="108D97D0">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5.8</w:t>
                  </w:r>
                </w:p>
              </w:tc>
              <w:tc>
                <w:tcPr>
                  <w:tcW w:w="1041" w:type="pct"/>
                  <w:tcBorders>
                    <w:top w:val="single" w:color="auto" w:sz="4" w:space="0"/>
                    <w:left w:val="single" w:color="auto" w:sz="4" w:space="0"/>
                    <w:bottom w:val="single" w:color="auto" w:sz="4" w:space="0"/>
                    <w:right w:val="single" w:color="auto" w:sz="4" w:space="0"/>
                  </w:tcBorders>
                  <w:vAlign w:val="center"/>
                </w:tcPr>
                <w:p w14:paraId="2305BB3D">
                  <w:pPr>
                    <w:spacing w:line="300" w:lineRule="exact"/>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环卫部门统一清运</w:t>
                  </w:r>
                </w:p>
              </w:tc>
            </w:tr>
          </w:tbl>
          <w:p w14:paraId="73899EF9">
            <w:pPr>
              <w:tabs>
                <w:tab w:val="left" w:pos="-160"/>
              </w:tabs>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固体废物环境影响分析</w:t>
            </w:r>
          </w:p>
          <w:p w14:paraId="01A4B10B">
            <w:pPr>
              <w:spacing w:line="500" w:lineRule="exact"/>
              <w:ind w:firstLine="480" w:firstLineChars="200"/>
              <w:rPr>
                <w:snapToGrid w:val="0"/>
                <w:color w:val="000000" w:themeColor="text1"/>
                <w:kern w:val="24"/>
                <w:sz w:val="24"/>
                <w14:textFill>
                  <w14:solidFill>
                    <w14:schemeClr w14:val="tx1"/>
                  </w14:solidFill>
                </w14:textFill>
              </w:rPr>
            </w:pPr>
            <w:r>
              <w:rPr>
                <w:rFonts w:hint="eastAsia"/>
                <w:snapToGrid w:val="0"/>
                <w:color w:val="000000" w:themeColor="text1"/>
                <w:kern w:val="24"/>
                <w:sz w:val="24"/>
                <w14:textFill>
                  <w14:solidFill>
                    <w14:schemeClr w14:val="tx1"/>
                  </w14:solidFill>
                </w14:textFill>
              </w:rPr>
              <w:t>项目产生的各类固体废物均分/类收集，生活垃圾贮存于厂内垃圾桶，由环卫部门定期清运。各类废弃物不存在混放。一般固体废物按照固废法要求进行建设。</w:t>
            </w:r>
          </w:p>
          <w:p w14:paraId="2628ACC5">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（1）危险废物包装、收集、暂存、运输要求</w:t>
            </w:r>
          </w:p>
          <w:p w14:paraId="0178B6C5">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该单位拟设立单独的危险废物废物存放区。为保证危险废物置场内暂存的废物不对环境产生污染，依据《危险废物贮存污染控制标准》（</w:t>
            </w:r>
            <w:r>
              <w:rPr>
                <w:snapToGrid w:val="0"/>
                <w:color w:val="000000" w:themeColor="text1"/>
                <w:kern w:val="0"/>
                <w:sz w:val="24"/>
                <w14:textFill>
                  <w14:solidFill>
                    <w14:schemeClr w14:val="tx1"/>
                  </w14:solidFill>
                </w14:textFill>
              </w:rPr>
              <w:t>GB18597-20</w:t>
            </w:r>
            <w:r>
              <w:rPr>
                <w:rFonts w:hint="eastAsia"/>
                <w:snapToGrid w:val="0"/>
                <w:color w:val="000000" w:themeColor="text1"/>
                <w:kern w:val="0"/>
                <w:sz w:val="24"/>
                <w14:textFill>
                  <w14:solidFill>
                    <w14:schemeClr w14:val="tx1"/>
                  </w14:solidFill>
                </w14:textFill>
              </w:rPr>
              <w:t>23）、《危险废物收集贮存运输技术规范》（</w:t>
            </w:r>
            <w:r>
              <w:rPr>
                <w:snapToGrid w:val="0"/>
                <w:color w:val="000000" w:themeColor="text1"/>
                <w:kern w:val="0"/>
                <w:sz w:val="24"/>
                <w14:textFill>
                  <w14:solidFill>
                    <w14:schemeClr w14:val="tx1"/>
                  </w14:solidFill>
                </w14:textFill>
              </w:rPr>
              <w:t>HJ2025-2012</w:t>
            </w:r>
            <w:r>
              <w:rPr>
                <w:rFonts w:hint="eastAsia"/>
                <w:snapToGrid w:val="0"/>
                <w:color w:val="000000" w:themeColor="text1"/>
                <w:kern w:val="0"/>
                <w:sz w:val="24"/>
                <w14:textFill>
                  <w14:solidFill>
                    <w14:schemeClr w14:val="tx1"/>
                  </w14:solidFill>
                </w14:textFill>
              </w:rPr>
              <w:t>）及相关国家及地方法律法规，对危险废物暂存地点提出如下安全措施：</w:t>
            </w:r>
          </w:p>
          <w:p w14:paraId="0F086133">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a.</w:t>
            </w:r>
            <w:r>
              <w:rPr>
                <w:rFonts w:hint="eastAsia"/>
                <w:snapToGrid w:val="0"/>
                <w:color w:val="000000" w:themeColor="text1"/>
                <w:kern w:val="0"/>
                <w:sz w:val="24"/>
                <w14:textFill>
                  <w14:solidFill>
                    <w14:schemeClr w14:val="tx1"/>
                  </w14:solidFill>
                </w14:textFill>
              </w:rPr>
              <w:t>危险废物应选择防腐、防漏、防磕碰、密封严密的容器进行贮存和运输，储存于阴凉、通风良好的库房，远离火种、热源。危险废物运输人员在工作中应佩带防护用具，并配备医疗急救用品；</w:t>
            </w:r>
          </w:p>
          <w:p w14:paraId="4F859125">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b.</w:t>
            </w:r>
            <w:r>
              <w:rPr>
                <w:rFonts w:hint="eastAsia"/>
                <w:snapToGrid w:val="0"/>
                <w:color w:val="000000" w:themeColor="text1"/>
                <w:kern w:val="0"/>
                <w:sz w:val="24"/>
                <w14:textFill>
                  <w14:solidFill>
                    <w14:schemeClr w14:val="tx1"/>
                  </w14:solidFill>
                </w14:textFill>
              </w:rPr>
              <w:t>危险废物的盛装容器严格执行国家标准；</w:t>
            </w:r>
          </w:p>
          <w:p w14:paraId="521E1B32">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c.</w:t>
            </w:r>
            <w:r>
              <w:rPr>
                <w:rFonts w:hint="eastAsia"/>
                <w:snapToGrid w:val="0"/>
                <w:color w:val="000000" w:themeColor="text1"/>
                <w:kern w:val="0"/>
                <w:sz w:val="24"/>
                <w14:textFill>
                  <w14:solidFill>
                    <w14:schemeClr w14:val="tx1"/>
                  </w14:solidFill>
                </w14:textFill>
              </w:rPr>
              <w:t>贮存容器均具有耐腐蚀、耐压、密封和不与所贮存的废物发生反应等特性；</w:t>
            </w:r>
          </w:p>
          <w:p w14:paraId="68063670">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d.</w:t>
            </w:r>
            <w:r>
              <w:rPr>
                <w:rFonts w:hint="eastAsia"/>
                <w:snapToGrid w:val="0"/>
                <w:color w:val="000000" w:themeColor="text1"/>
                <w:kern w:val="0"/>
                <w:sz w:val="24"/>
                <w14:textFill>
                  <w14:solidFill>
                    <w14:schemeClr w14:val="tx1"/>
                  </w14:solidFill>
                </w14:textFill>
              </w:rPr>
              <w:t>贮存容器保证完好无损并具有明显标志；</w:t>
            </w:r>
          </w:p>
          <w:p w14:paraId="51634865">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e.</w:t>
            </w:r>
            <w:r>
              <w:rPr>
                <w:rFonts w:hint="eastAsia"/>
                <w:snapToGrid w:val="0"/>
                <w:color w:val="000000" w:themeColor="text1"/>
                <w:kern w:val="0"/>
                <w:sz w:val="24"/>
                <w14:textFill>
                  <w14:solidFill>
                    <w14:schemeClr w14:val="tx1"/>
                  </w14:solidFill>
                </w14:textFill>
              </w:rPr>
              <w:t>不相溶的危险废物均分开存放，并设有隔离间隔断；</w:t>
            </w:r>
          </w:p>
          <w:p w14:paraId="68DD1F22">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f.</w:t>
            </w:r>
            <w:r>
              <w:rPr>
                <w:rFonts w:hint="eastAsia"/>
                <w:snapToGrid w:val="0"/>
                <w:color w:val="000000" w:themeColor="text1"/>
                <w:kern w:val="0"/>
                <w:sz w:val="24"/>
                <w14:textFill>
                  <w14:solidFill>
                    <w14:schemeClr w14:val="tx1"/>
                  </w14:solidFill>
                </w14:textFill>
              </w:rPr>
              <w:t>危险废物暂存场所应设有符合《环境保护图形标志</w:t>
            </w:r>
            <w:r>
              <w:rPr>
                <w:snapToGrid w:val="0"/>
                <w:color w:val="000000" w:themeColor="text1"/>
                <w:kern w:val="0"/>
                <w:sz w:val="24"/>
                <w14:textFill>
                  <w14:solidFill>
                    <w14:schemeClr w14:val="tx1"/>
                  </w14:solidFill>
                </w14:textFill>
              </w:rPr>
              <w:t>---</w:t>
            </w:r>
            <w:r>
              <w:rPr>
                <w:rFonts w:hint="eastAsia"/>
                <w:snapToGrid w:val="0"/>
                <w:color w:val="000000" w:themeColor="text1"/>
                <w:kern w:val="0"/>
                <w:sz w:val="24"/>
                <w14:textFill>
                  <w14:solidFill>
                    <w14:schemeClr w14:val="tx1"/>
                  </w14:solidFill>
                </w14:textFill>
              </w:rPr>
              <w:t>固体废物贮存</w:t>
            </w:r>
            <w:r>
              <w:rPr>
                <w:snapToGrid w:val="0"/>
                <w:color w:val="000000" w:themeColor="text1"/>
                <w:kern w:val="0"/>
                <w:sz w:val="24"/>
                <w14:textFill>
                  <w14:solidFill>
                    <w14:schemeClr w14:val="tx1"/>
                  </w14:solidFill>
                </w14:textFill>
              </w:rPr>
              <w:t>(</w:t>
            </w:r>
            <w:r>
              <w:rPr>
                <w:rFonts w:hint="eastAsia"/>
                <w:snapToGrid w:val="0"/>
                <w:color w:val="000000" w:themeColor="text1"/>
                <w:kern w:val="0"/>
                <w:sz w:val="24"/>
                <w14:textFill>
                  <w14:solidFill>
                    <w14:schemeClr w14:val="tx1"/>
                  </w14:solidFill>
                </w14:textFill>
              </w:rPr>
              <w:t>处置</w:t>
            </w:r>
            <w:r>
              <w:rPr>
                <w:snapToGrid w:val="0"/>
                <w:color w:val="000000" w:themeColor="text1"/>
                <w:kern w:val="0"/>
                <w:sz w:val="24"/>
                <w14:textFill>
                  <w14:solidFill>
                    <w14:schemeClr w14:val="tx1"/>
                  </w14:solidFill>
                </w14:textFill>
              </w:rPr>
              <w:t>)</w:t>
            </w:r>
            <w:r>
              <w:rPr>
                <w:rFonts w:hint="eastAsia"/>
                <w:snapToGrid w:val="0"/>
                <w:color w:val="000000" w:themeColor="text1"/>
                <w:kern w:val="0"/>
                <w:sz w:val="24"/>
                <w14:textFill>
                  <w14:solidFill>
                    <w14:schemeClr w14:val="tx1"/>
                  </w14:solidFill>
                </w14:textFill>
              </w:rPr>
              <w:t>场》</w:t>
            </w:r>
            <w:r>
              <w:rPr>
                <w:snapToGrid w:val="0"/>
                <w:color w:val="000000" w:themeColor="text1"/>
                <w:kern w:val="0"/>
                <w:sz w:val="24"/>
                <w14:textFill>
                  <w14:solidFill>
                    <w14:schemeClr w14:val="tx1"/>
                  </w14:solidFill>
                </w14:textFill>
              </w:rPr>
              <w:t>(GB15562.2-1995)</w:t>
            </w:r>
            <w:r>
              <w:rPr>
                <w:rFonts w:hint="eastAsia"/>
                <w:snapToGrid w:val="0"/>
                <w:color w:val="000000" w:themeColor="text1"/>
                <w:kern w:val="0"/>
                <w:sz w:val="24"/>
                <w14:textFill>
                  <w14:solidFill>
                    <w14:schemeClr w14:val="tx1"/>
                  </w14:solidFill>
                </w14:textFill>
              </w:rPr>
              <w:t>的专用标志；</w:t>
            </w:r>
          </w:p>
          <w:p w14:paraId="06005065">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g.</w:t>
            </w:r>
            <w:r>
              <w:rPr>
                <w:rFonts w:hint="eastAsia"/>
                <w:snapToGrid w:val="0"/>
                <w:color w:val="000000" w:themeColor="text1"/>
                <w:kern w:val="0"/>
                <w:sz w:val="24"/>
                <w14:textFill>
                  <w14:solidFill>
                    <w14:schemeClr w14:val="tx1"/>
                  </w14:solidFill>
                </w14:textFill>
              </w:rPr>
              <w:t>设有专人专职对产生的危险废物的收集、暂存和保管进行管理。</w:t>
            </w:r>
          </w:p>
          <w:p w14:paraId="5518DB87">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h.</w:t>
            </w:r>
            <w:r>
              <w:rPr>
                <w:rFonts w:hint="eastAsia"/>
                <w:snapToGrid w:val="0"/>
                <w:color w:val="000000" w:themeColor="text1"/>
                <w:kern w:val="0"/>
                <w:sz w:val="24"/>
                <w14:textFill>
                  <w14:solidFill>
                    <w14:schemeClr w14:val="tx1"/>
                  </w14:solidFill>
                </w14:textFill>
              </w:rPr>
              <w:t>建立档案制度，对暂存的废物种类、数量、特性、包装容器类别、存放库位、存入日期、运出日期等详细记录在案并长期保存。建立定期巡查、维护制度；</w:t>
            </w:r>
          </w:p>
          <w:p w14:paraId="35AAA3A8">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i.</w:t>
            </w:r>
            <w:r>
              <w:rPr>
                <w:rFonts w:hint="eastAsia"/>
                <w:snapToGrid w:val="0"/>
                <w:color w:val="000000" w:themeColor="text1"/>
                <w:kern w:val="0"/>
                <w:sz w:val="24"/>
                <w14:textFill>
                  <w14:solidFill>
                    <w14:schemeClr w14:val="tx1"/>
                  </w14:solidFill>
                </w14:textFill>
              </w:rPr>
              <w:t>危险废物置场室内地面硬化和防渗漏处理。一旦出现盛装液态固体废物的容器发生破裂或渗漏情况，马上修复或更换破损容器，地面残留液体用布擦拭干净。</w:t>
            </w:r>
          </w:p>
          <w:p w14:paraId="6E554729">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危险废物的堆放：</w:t>
            </w:r>
          </w:p>
          <w:p w14:paraId="5897D5A5">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a.</w:t>
            </w:r>
            <w:r>
              <w:rPr>
                <w:rFonts w:hint="eastAsia"/>
                <w:snapToGrid w:val="0"/>
                <w:color w:val="000000" w:themeColor="text1"/>
                <w:kern w:val="0"/>
                <w:sz w:val="24"/>
                <w14:textFill>
                  <w14:solidFill>
                    <w14:schemeClr w14:val="tx1"/>
                  </w14:solidFill>
                </w14:textFill>
              </w:rPr>
              <w:t>基础必须防渗，防渗层为至少</w:t>
            </w:r>
            <w:r>
              <w:rPr>
                <w:snapToGrid w:val="0"/>
                <w:color w:val="000000" w:themeColor="text1"/>
                <w:kern w:val="0"/>
                <w:sz w:val="24"/>
                <w14:textFill>
                  <w14:solidFill>
                    <w14:schemeClr w14:val="tx1"/>
                  </w14:solidFill>
                </w14:textFill>
              </w:rPr>
              <w:t>1m</w:t>
            </w:r>
            <w:r>
              <w:rPr>
                <w:rFonts w:hint="eastAsia"/>
                <w:snapToGrid w:val="0"/>
                <w:color w:val="000000" w:themeColor="text1"/>
                <w:kern w:val="0"/>
                <w:sz w:val="24"/>
                <w14:textFill>
                  <w14:solidFill>
                    <w14:schemeClr w14:val="tx1"/>
                  </w14:solidFill>
                </w14:textFill>
              </w:rPr>
              <w:t>厚粘土层（渗透系数≤</w:t>
            </w:r>
            <w:r>
              <w:rPr>
                <w:snapToGrid w:val="0"/>
                <w:color w:val="000000" w:themeColor="text1"/>
                <w:kern w:val="0"/>
                <w:sz w:val="24"/>
                <w14:textFill>
                  <w14:solidFill>
                    <w14:schemeClr w14:val="tx1"/>
                  </w14:solidFill>
                </w14:textFill>
              </w:rPr>
              <w:t>10</w:t>
            </w:r>
            <w:r>
              <w:rPr>
                <w:snapToGrid w:val="0"/>
                <w:color w:val="000000" w:themeColor="text1"/>
                <w:kern w:val="0"/>
                <w:sz w:val="24"/>
                <w:vertAlign w:val="superscript"/>
                <w14:textFill>
                  <w14:solidFill>
                    <w14:schemeClr w14:val="tx1"/>
                  </w14:solidFill>
                </w14:textFill>
              </w:rPr>
              <w:t>-7</w:t>
            </w:r>
            <w:r>
              <w:rPr>
                <w:snapToGrid w:val="0"/>
                <w:color w:val="000000" w:themeColor="text1"/>
                <w:kern w:val="0"/>
                <w:sz w:val="24"/>
                <w14:textFill>
                  <w14:solidFill>
                    <w14:schemeClr w14:val="tx1"/>
                  </w14:solidFill>
                </w14:textFill>
              </w:rPr>
              <w:t>cm/s</w:t>
            </w:r>
            <w:r>
              <w:rPr>
                <w:rFonts w:hint="eastAsia"/>
                <w:snapToGrid w:val="0"/>
                <w:color w:val="000000" w:themeColor="text1"/>
                <w:kern w:val="0"/>
                <w:sz w:val="24"/>
                <w14:textFill>
                  <w14:solidFill>
                    <w14:schemeClr w14:val="tx1"/>
                  </w14:solidFill>
                </w14:textFill>
              </w:rPr>
              <w:t>），或</w:t>
            </w:r>
            <w:r>
              <w:rPr>
                <w:snapToGrid w:val="0"/>
                <w:color w:val="000000" w:themeColor="text1"/>
                <w:kern w:val="0"/>
                <w:sz w:val="24"/>
                <w14:textFill>
                  <w14:solidFill>
                    <w14:schemeClr w14:val="tx1"/>
                  </w14:solidFill>
                </w14:textFill>
              </w:rPr>
              <w:t>2mm</w:t>
            </w:r>
            <w:r>
              <w:rPr>
                <w:rFonts w:hint="eastAsia"/>
                <w:snapToGrid w:val="0"/>
                <w:color w:val="000000" w:themeColor="text1"/>
                <w:kern w:val="0"/>
                <w:sz w:val="24"/>
                <w14:textFill>
                  <w14:solidFill>
                    <w14:schemeClr w14:val="tx1"/>
                  </w14:solidFill>
                </w14:textFill>
              </w:rPr>
              <w:t>厚高密度聚乙烯，或至少</w:t>
            </w:r>
            <w:r>
              <w:rPr>
                <w:snapToGrid w:val="0"/>
                <w:color w:val="000000" w:themeColor="text1"/>
                <w:kern w:val="0"/>
                <w:sz w:val="24"/>
                <w14:textFill>
                  <w14:solidFill>
                    <w14:schemeClr w14:val="tx1"/>
                  </w14:solidFill>
                </w14:textFill>
              </w:rPr>
              <w:t>2mm</w:t>
            </w:r>
            <w:r>
              <w:rPr>
                <w:rFonts w:hint="eastAsia"/>
                <w:snapToGrid w:val="0"/>
                <w:color w:val="000000" w:themeColor="text1"/>
                <w:kern w:val="0"/>
                <w:sz w:val="24"/>
                <w14:textFill>
                  <w14:solidFill>
                    <w14:schemeClr w14:val="tx1"/>
                  </w14:solidFill>
                </w14:textFill>
              </w:rPr>
              <w:t>厚的其它人工材料，渗透系数≤</w:t>
            </w:r>
            <w:r>
              <w:rPr>
                <w:snapToGrid w:val="0"/>
                <w:color w:val="000000" w:themeColor="text1"/>
                <w:kern w:val="0"/>
                <w:sz w:val="24"/>
                <w14:textFill>
                  <w14:solidFill>
                    <w14:schemeClr w14:val="tx1"/>
                  </w14:solidFill>
                </w14:textFill>
              </w:rPr>
              <w:t>10</w:t>
            </w:r>
            <w:r>
              <w:rPr>
                <w:snapToGrid w:val="0"/>
                <w:color w:val="000000" w:themeColor="text1"/>
                <w:kern w:val="0"/>
                <w:sz w:val="24"/>
                <w:vertAlign w:val="superscript"/>
                <w14:textFill>
                  <w14:solidFill>
                    <w14:schemeClr w14:val="tx1"/>
                  </w14:solidFill>
                </w14:textFill>
              </w:rPr>
              <w:t>-10</w:t>
            </w:r>
            <w:r>
              <w:rPr>
                <w:snapToGrid w:val="0"/>
                <w:color w:val="000000" w:themeColor="text1"/>
                <w:kern w:val="0"/>
                <w:sz w:val="24"/>
                <w14:textFill>
                  <w14:solidFill>
                    <w14:schemeClr w14:val="tx1"/>
                  </w14:solidFill>
                </w14:textFill>
              </w:rPr>
              <w:t>cm/s</w:t>
            </w:r>
            <w:r>
              <w:rPr>
                <w:rFonts w:hint="eastAsia"/>
                <w:snapToGrid w:val="0"/>
                <w:color w:val="000000" w:themeColor="text1"/>
                <w:kern w:val="0"/>
                <w:sz w:val="24"/>
                <w14:textFill>
                  <w14:solidFill>
                    <w14:schemeClr w14:val="tx1"/>
                  </w14:solidFill>
                </w14:textFill>
              </w:rPr>
              <w:t>；</w:t>
            </w:r>
          </w:p>
          <w:p w14:paraId="53EC0E8E">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b.</w:t>
            </w:r>
            <w:r>
              <w:rPr>
                <w:rFonts w:hint="eastAsia"/>
                <w:snapToGrid w:val="0"/>
                <w:color w:val="000000" w:themeColor="text1"/>
                <w:kern w:val="0"/>
                <w:sz w:val="24"/>
                <w14:textFill>
                  <w14:solidFill>
                    <w14:schemeClr w14:val="tx1"/>
                  </w14:solidFill>
                </w14:textFill>
              </w:rPr>
              <w:t>堆放危险废物的高度应根据地面承载能力确定；</w:t>
            </w:r>
          </w:p>
          <w:p w14:paraId="21F741D8">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c.</w:t>
            </w:r>
            <w:r>
              <w:rPr>
                <w:rFonts w:hint="eastAsia"/>
                <w:snapToGrid w:val="0"/>
                <w:color w:val="000000" w:themeColor="text1"/>
                <w:kern w:val="0"/>
                <w:sz w:val="24"/>
                <w14:textFill>
                  <w14:solidFill>
                    <w14:schemeClr w14:val="tx1"/>
                  </w14:solidFill>
                </w14:textFill>
              </w:rPr>
              <w:t>衬里放在一个基础或底座上；</w:t>
            </w:r>
          </w:p>
          <w:p w14:paraId="25A5B04C">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d.</w:t>
            </w:r>
            <w:r>
              <w:rPr>
                <w:rFonts w:hint="eastAsia"/>
                <w:snapToGrid w:val="0"/>
                <w:color w:val="000000" w:themeColor="text1"/>
                <w:kern w:val="0"/>
                <w:sz w:val="24"/>
                <w14:textFill>
                  <w14:solidFill>
                    <w14:schemeClr w14:val="tx1"/>
                  </w14:solidFill>
                </w14:textFill>
              </w:rPr>
              <w:t>衬里要能够覆盖危险废物或其溶出物可能涉及到的范围；</w:t>
            </w:r>
          </w:p>
          <w:p w14:paraId="60690942">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e.</w:t>
            </w:r>
            <w:r>
              <w:rPr>
                <w:rFonts w:hint="eastAsia"/>
                <w:snapToGrid w:val="0"/>
                <w:color w:val="000000" w:themeColor="text1"/>
                <w:kern w:val="0"/>
                <w:sz w:val="24"/>
                <w14:textFill>
                  <w14:solidFill>
                    <w14:schemeClr w14:val="tx1"/>
                  </w14:solidFill>
                </w14:textFill>
              </w:rPr>
              <w:t>衬里材料与堆放危险废物相容；</w:t>
            </w:r>
          </w:p>
          <w:p w14:paraId="389504EA">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f.</w:t>
            </w:r>
            <w:r>
              <w:rPr>
                <w:rFonts w:hint="eastAsia"/>
                <w:snapToGrid w:val="0"/>
                <w:color w:val="000000" w:themeColor="text1"/>
                <w:kern w:val="0"/>
                <w:sz w:val="24"/>
                <w14:textFill>
                  <w14:solidFill>
                    <w14:schemeClr w14:val="tx1"/>
                  </w14:solidFill>
                </w14:textFill>
              </w:rPr>
              <w:t>在衬里上设计、建造浸出液收集清除系统；</w:t>
            </w:r>
          </w:p>
          <w:p w14:paraId="47EA59FA">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g.</w:t>
            </w:r>
            <w:r>
              <w:rPr>
                <w:rFonts w:hint="eastAsia"/>
                <w:snapToGrid w:val="0"/>
                <w:color w:val="000000" w:themeColor="text1"/>
                <w:kern w:val="0"/>
                <w:sz w:val="24"/>
                <w14:textFill>
                  <w14:solidFill>
                    <w14:schemeClr w14:val="tx1"/>
                  </w14:solidFill>
                </w14:textFill>
              </w:rPr>
              <w:t>危险废物堆要防风、防雨、防晒；</w:t>
            </w:r>
          </w:p>
          <w:p w14:paraId="048AA4EA">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h.</w:t>
            </w:r>
            <w:r>
              <w:rPr>
                <w:rFonts w:hint="eastAsia"/>
                <w:snapToGrid w:val="0"/>
                <w:color w:val="000000" w:themeColor="text1"/>
                <w:kern w:val="0"/>
                <w:sz w:val="24"/>
                <w14:textFill>
                  <w14:solidFill>
                    <w14:schemeClr w14:val="tx1"/>
                  </w14:solidFill>
                </w14:textFill>
              </w:rPr>
              <w:t>不相溶的危险废物不能堆放在一起；</w:t>
            </w:r>
          </w:p>
          <w:p w14:paraId="55E5575C">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i.</w:t>
            </w:r>
            <w:r>
              <w:rPr>
                <w:rFonts w:hint="eastAsia"/>
                <w:snapToGrid w:val="0"/>
                <w:color w:val="000000" w:themeColor="text1"/>
                <w:kern w:val="0"/>
                <w:sz w:val="24"/>
                <w14:textFill>
                  <w14:solidFill>
                    <w14:schemeClr w14:val="tx1"/>
                  </w14:solidFill>
                </w14:textFill>
              </w:rPr>
              <w:t>总贮存量不超过</w:t>
            </w:r>
            <w:r>
              <w:rPr>
                <w:snapToGrid w:val="0"/>
                <w:color w:val="000000" w:themeColor="text1"/>
                <w:kern w:val="0"/>
                <w:sz w:val="24"/>
                <w14:textFill>
                  <w14:solidFill>
                    <w14:schemeClr w14:val="tx1"/>
                  </w14:solidFill>
                </w14:textFill>
              </w:rPr>
              <w:t>300kg(L)</w:t>
            </w:r>
            <w:r>
              <w:rPr>
                <w:rFonts w:hint="eastAsia"/>
                <w:snapToGrid w:val="0"/>
                <w:color w:val="000000" w:themeColor="text1"/>
                <w:kern w:val="0"/>
                <w:sz w:val="24"/>
                <w14:textFill>
                  <w14:solidFill>
                    <w14:schemeClr w14:val="tx1"/>
                  </w14:solidFill>
                </w14:textFill>
              </w:rPr>
              <w:t>的危险废物要放入符合标准的容器内，加上标签，容器放入坚固的柜或箱中，柜或箱应设多个直径不少于</w:t>
            </w:r>
            <w:r>
              <w:rPr>
                <w:snapToGrid w:val="0"/>
                <w:color w:val="000000" w:themeColor="text1"/>
                <w:kern w:val="0"/>
                <w:sz w:val="24"/>
                <w14:textFill>
                  <w14:solidFill>
                    <w14:schemeClr w14:val="tx1"/>
                  </w14:solidFill>
                </w14:textFill>
              </w:rPr>
              <w:t>30mm</w:t>
            </w:r>
            <w:r>
              <w:rPr>
                <w:rFonts w:hint="eastAsia"/>
                <w:snapToGrid w:val="0"/>
                <w:color w:val="000000" w:themeColor="text1"/>
                <w:kern w:val="0"/>
                <w:sz w:val="24"/>
                <w14:textFill>
                  <w14:solidFill>
                    <w14:schemeClr w14:val="tx1"/>
                  </w14:solidFill>
                </w14:textFill>
              </w:rPr>
              <w:t>的排气孔。不相溶危险废物要分别存放或存放在不渗透间隔分开的区域内，每个部分都应有防漏裙脚或储漏盘，防漏裙脚或储漏盘的材料要与危险废物不相溶。</w:t>
            </w:r>
          </w:p>
          <w:p w14:paraId="5A5540A8">
            <w:pPr>
              <w:spacing w:line="480" w:lineRule="exact"/>
              <w:jc w:val="center"/>
              <w:rPr>
                <w:b/>
                <w:snapToGrid w:val="0"/>
                <w:color w:val="000000" w:themeColor="text1"/>
                <w:kern w:val="0"/>
                <w:sz w:val="24"/>
                <w14:textFill>
                  <w14:solidFill>
                    <w14:schemeClr w14:val="tx1"/>
                  </w14:solidFill>
                </w14:textFill>
              </w:rPr>
            </w:pPr>
            <w:r>
              <w:rPr>
                <w:rFonts w:hint="eastAsia"/>
                <w:b/>
                <w:snapToGrid w:val="0"/>
                <w:color w:val="000000" w:themeColor="text1"/>
                <w:kern w:val="0"/>
                <w:sz w:val="24"/>
                <w14:textFill>
                  <w14:solidFill>
                    <w14:schemeClr w14:val="tx1"/>
                  </w14:solidFill>
                </w14:textFill>
              </w:rPr>
              <w:t>表4-16        项目危险废物贮存场所基本情况表</w:t>
            </w:r>
          </w:p>
          <w:tbl>
            <w:tblPr>
              <w:tblStyle w:val="27"/>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28" w:type="dxa"/>
                <w:left w:w="28" w:type="dxa"/>
                <w:bottom w:w="28" w:type="dxa"/>
                <w:right w:w="28" w:type="dxa"/>
              </w:tblCellMar>
            </w:tblPr>
            <w:tblGrid>
              <w:gridCol w:w="960"/>
              <w:gridCol w:w="1450"/>
              <w:gridCol w:w="791"/>
              <w:gridCol w:w="1622"/>
              <w:gridCol w:w="1132"/>
              <w:gridCol w:w="1544"/>
              <w:gridCol w:w="790"/>
              <w:gridCol w:w="1059"/>
            </w:tblGrid>
            <w:tr w14:paraId="2C737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03" w:hRule="atLeast"/>
                <w:jc w:val="center"/>
              </w:trPr>
              <w:tc>
                <w:tcPr>
                  <w:tcW w:w="513" w:type="pct"/>
                  <w:vAlign w:val="center"/>
                </w:tcPr>
                <w:p w14:paraId="139E5DE0">
                  <w:pPr>
                    <w:widowControl/>
                    <w:topLinePunct/>
                    <w:adjustRightInd w:val="0"/>
                    <w:snapToGrid w:val="0"/>
                    <w:spacing w:line="240" w:lineRule="atLeas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贮存场所名称</w:t>
                  </w:r>
                </w:p>
              </w:tc>
              <w:tc>
                <w:tcPr>
                  <w:tcW w:w="775" w:type="pct"/>
                  <w:vAlign w:val="center"/>
                </w:tcPr>
                <w:p w14:paraId="3D8422FB">
                  <w:pPr>
                    <w:widowControl/>
                    <w:topLinePunct/>
                    <w:adjustRightInd w:val="0"/>
                    <w:snapToGrid w:val="0"/>
                    <w:spacing w:line="240" w:lineRule="atLeas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危险废物名称</w:t>
                  </w:r>
                </w:p>
              </w:tc>
              <w:tc>
                <w:tcPr>
                  <w:tcW w:w="423" w:type="pct"/>
                  <w:vAlign w:val="center"/>
                </w:tcPr>
                <w:p w14:paraId="113ED167">
                  <w:pPr>
                    <w:widowControl/>
                    <w:topLinePunct/>
                    <w:adjustRightInd w:val="0"/>
                    <w:snapToGrid w:val="0"/>
                    <w:spacing w:line="240" w:lineRule="atLeas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危险废物类别</w:t>
                  </w:r>
                </w:p>
              </w:tc>
              <w:tc>
                <w:tcPr>
                  <w:tcW w:w="867" w:type="pct"/>
                  <w:vAlign w:val="center"/>
                </w:tcPr>
                <w:p w14:paraId="31F40435">
                  <w:pPr>
                    <w:widowControl/>
                    <w:topLinePunct/>
                    <w:adjustRightInd w:val="0"/>
                    <w:snapToGrid w:val="0"/>
                    <w:spacing w:line="240" w:lineRule="atLeas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危险废物代码</w:t>
                  </w:r>
                </w:p>
              </w:tc>
              <w:tc>
                <w:tcPr>
                  <w:tcW w:w="605" w:type="pct"/>
                  <w:vAlign w:val="center"/>
                </w:tcPr>
                <w:p w14:paraId="79522A09">
                  <w:pPr>
                    <w:widowControl/>
                    <w:topLinePunct/>
                    <w:adjustRightInd w:val="0"/>
                    <w:snapToGrid w:val="0"/>
                    <w:spacing w:line="240" w:lineRule="atLeas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占地面积</w:t>
                  </w:r>
                </w:p>
                <w:p w14:paraId="602391BB">
                  <w:pPr>
                    <w:widowControl/>
                    <w:topLinePunct/>
                    <w:adjustRightInd w:val="0"/>
                    <w:snapToGrid w:val="0"/>
                    <w:spacing w:line="240" w:lineRule="atLeas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（m</w:t>
                  </w:r>
                  <w:r>
                    <w:rPr>
                      <w:rFonts w:hint="eastAsia"/>
                      <w:color w:val="000000" w:themeColor="text1"/>
                      <w:kern w:val="0"/>
                      <w:szCs w:val="21"/>
                      <w:vertAlign w:val="superscript"/>
                      <w14:textFill>
                        <w14:solidFill>
                          <w14:schemeClr w14:val="tx1"/>
                        </w14:solidFill>
                      </w14:textFill>
                    </w:rPr>
                    <w:t>2</w:t>
                  </w:r>
                  <w:r>
                    <w:rPr>
                      <w:rFonts w:hint="eastAsia"/>
                      <w:color w:val="000000" w:themeColor="text1"/>
                      <w:kern w:val="0"/>
                      <w:szCs w:val="21"/>
                      <w14:textFill>
                        <w14:solidFill>
                          <w14:schemeClr w14:val="tx1"/>
                        </w14:solidFill>
                      </w14:textFill>
                    </w:rPr>
                    <w:t>）</w:t>
                  </w:r>
                </w:p>
              </w:tc>
              <w:tc>
                <w:tcPr>
                  <w:tcW w:w="825" w:type="pct"/>
                  <w:vAlign w:val="center"/>
                </w:tcPr>
                <w:p w14:paraId="4F9A9384">
                  <w:pPr>
                    <w:widowControl/>
                    <w:topLinePunct/>
                    <w:adjustRightInd w:val="0"/>
                    <w:snapToGrid w:val="0"/>
                    <w:spacing w:line="240" w:lineRule="atLeas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贮存方式</w:t>
                  </w:r>
                </w:p>
              </w:tc>
              <w:tc>
                <w:tcPr>
                  <w:tcW w:w="422" w:type="pct"/>
                  <w:vAlign w:val="center"/>
                </w:tcPr>
                <w:p w14:paraId="781A0DF6">
                  <w:pPr>
                    <w:widowControl/>
                    <w:topLinePunct/>
                    <w:adjustRightInd w:val="0"/>
                    <w:snapToGrid w:val="0"/>
                    <w:spacing w:line="240" w:lineRule="atLeas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贮存能力</w:t>
                  </w:r>
                </w:p>
                <w:p w14:paraId="1A967C7F">
                  <w:pPr>
                    <w:widowControl/>
                    <w:topLinePunct/>
                    <w:adjustRightInd w:val="0"/>
                    <w:snapToGrid w:val="0"/>
                    <w:spacing w:line="240" w:lineRule="atLeas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（t）</w:t>
                  </w:r>
                </w:p>
              </w:tc>
              <w:tc>
                <w:tcPr>
                  <w:tcW w:w="566" w:type="pct"/>
                  <w:vAlign w:val="center"/>
                </w:tcPr>
                <w:p w14:paraId="1A32DDCB">
                  <w:pPr>
                    <w:widowControl/>
                    <w:topLinePunct/>
                    <w:adjustRightInd w:val="0"/>
                    <w:snapToGrid w:val="0"/>
                    <w:spacing w:line="240" w:lineRule="atLeas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贮存周期</w:t>
                  </w:r>
                </w:p>
              </w:tc>
            </w:tr>
            <w:tr w14:paraId="62881B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jc w:val="center"/>
              </w:trPr>
              <w:tc>
                <w:tcPr>
                  <w:tcW w:w="513" w:type="pct"/>
                  <w:vAlign w:val="center"/>
                </w:tcPr>
                <w:p w14:paraId="659F9FC7">
                  <w:pPr>
                    <w:widowControl/>
                    <w:topLinePunct/>
                    <w:adjustRightInd w:val="0"/>
                    <w:snapToGrid w:val="0"/>
                    <w:spacing w:line="240" w:lineRule="atLeas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危废暂存</w:t>
                  </w:r>
                  <w:r>
                    <w:rPr>
                      <w:rFonts w:hint="eastAsia"/>
                      <w:color w:val="000000" w:themeColor="text1"/>
                      <w:kern w:val="0"/>
                      <w:szCs w:val="21"/>
                      <w:lang w:val="en-US" w:eastAsia="zh-CN"/>
                      <w14:textFill>
                        <w14:solidFill>
                          <w14:schemeClr w14:val="tx1"/>
                        </w14:solidFill>
                      </w14:textFill>
                    </w:rPr>
                    <w:t>箱</w:t>
                  </w:r>
                </w:p>
              </w:tc>
              <w:tc>
                <w:tcPr>
                  <w:tcW w:w="775" w:type="pct"/>
                  <w:vAlign w:val="center"/>
                </w:tcPr>
                <w:p w14:paraId="37C185B0">
                  <w:pPr>
                    <w:ind w:left="-105" w:leftChars="-50" w:right="-105" w:rightChars="-50"/>
                    <w:jc w:val="center"/>
                    <w:rPr>
                      <w:color w:val="000000" w:themeColor="text1"/>
                      <w:kern w:val="0"/>
                      <w:szCs w:val="21"/>
                      <w14:textFill>
                        <w14:solidFill>
                          <w14:schemeClr w14:val="tx1"/>
                        </w14:solidFill>
                      </w14:textFill>
                    </w:rPr>
                  </w:pPr>
                  <w:r>
                    <w:rPr>
                      <w:rFonts w:hint="eastAsia"/>
                      <w:bCs/>
                      <w:color w:val="000000" w:themeColor="text1"/>
                      <w:szCs w:val="21"/>
                      <w14:textFill>
                        <w14:solidFill>
                          <w14:schemeClr w14:val="tx1"/>
                        </w14:solidFill>
                      </w14:textFill>
                    </w:rPr>
                    <w:t>废含油抹布和废手套</w:t>
                  </w:r>
                </w:p>
              </w:tc>
              <w:tc>
                <w:tcPr>
                  <w:tcW w:w="423" w:type="pct"/>
                  <w:vAlign w:val="center"/>
                </w:tcPr>
                <w:p w14:paraId="16327619">
                  <w:pPr>
                    <w:ind w:left="-105" w:leftChars="-50" w:right="-105" w:rightChars="-50"/>
                    <w:jc w:val="center"/>
                    <w:rPr>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HW49</w:t>
                  </w:r>
                </w:p>
              </w:tc>
              <w:tc>
                <w:tcPr>
                  <w:tcW w:w="867" w:type="pct"/>
                  <w:vAlign w:val="center"/>
                </w:tcPr>
                <w:p w14:paraId="28E969A9">
                  <w:pPr>
                    <w:ind w:left="-105" w:leftChars="-50" w:right="-105" w:rightChars="-5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900-041-49</w:t>
                  </w:r>
                </w:p>
              </w:tc>
              <w:tc>
                <w:tcPr>
                  <w:tcW w:w="605" w:type="pct"/>
                  <w:vAlign w:val="center"/>
                </w:tcPr>
                <w:p w14:paraId="1D87444D">
                  <w:pPr>
                    <w:widowControl/>
                    <w:topLinePunct/>
                    <w:adjustRightInd w:val="0"/>
                    <w:snapToGrid w:val="0"/>
                    <w:spacing w:line="240" w:lineRule="atLeas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c>
                <w:tcPr>
                  <w:tcW w:w="825" w:type="pct"/>
                  <w:vAlign w:val="center"/>
                </w:tcPr>
                <w:p w14:paraId="6953F185">
                  <w:pPr>
                    <w:widowControl/>
                    <w:topLinePunct/>
                    <w:adjustRightInd w:val="0"/>
                    <w:snapToGrid w:val="0"/>
                    <w:spacing w:line="240" w:lineRule="atLeas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堆放</w:t>
                  </w:r>
                </w:p>
              </w:tc>
              <w:tc>
                <w:tcPr>
                  <w:tcW w:w="422" w:type="pct"/>
                  <w:vAlign w:val="center"/>
                </w:tcPr>
                <w:p w14:paraId="54657A52">
                  <w:pPr>
                    <w:widowControl/>
                    <w:topLinePunct/>
                    <w:adjustRightInd w:val="0"/>
                    <w:snapToGrid w:val="0"/>
                    <w:spacing w:line="240" w:lineRule="atLeas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c>
                <w:tcPr>
                  <w:tcW w:w="566" w:type="pct"/>
                  <w:vAlign w:val="center"/>
                </w:tcPr>
                <w:p w14:paraId="5412710E">
                  <w:pPr>
                    <w:widowControl/>
                    <w:topLinePunct/>
                    <w:adjustRightInd w:val="0"/>
                    <w:snapToGrid w:val="0"/>
                    <w:spacing w:line="240" w:lineRule="atLeas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3个月</w:t>
                  </w:r>
                </w:p>
              </w:tc>
            </w:tr>
          </w:tbl>
          <w:p w14:paraId="1A8289F5">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（2）危险废物环境管理要求</w:t>
            </w:r>
          </w:p>
          <w:p w14:paraId="1CF33361">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建设单位运营过程应该对产生的危险废物从收集、贮存、运输、利用、处置各环节进行全过程的监管，各环节应严格执行《危险废物收集、贮存、运输技术规范》</w:t>
            </w:r>
            <w:r>
              <w:rPr>
                <w:snapToGrid w:val="0"/>
                <w:color w:val="000000" w:themeColor="text1"/>
                <w:kern w:val="0"/>
                <w:sz w:val="24"/>
                <w14:textFill>
                  <w14:solidFill>
                    <w14:schemeClr w14:val="tx1"/>
                  </w14:solidFill>
                </w14:textFill>
              </w:rPr>
              <w:t>(H2025-2012)</w:t>
            </w:r>
            <w:r>
              <w:rPr>
                <w:rFonts w:hint="eastAsia"/>
                <w:snapToGrid w:val="0"/>
                <w:color w:val="000000" w:themeColor="text1"/>
                <w:kern w:val="0"/>
                <w:sz w:val="24"/>
                <w14:textFill>
                  <w14:solidFill>
                    <w14:schemeClr w14:val="tx1"/>
                  </w14:solidFill>
                </w14:textFill>
              </w:rPr>
              <w:t>的相关要求。</w:t>
            </w:r>
          </w:p>
          <w:p w14:paraId="3906CCA2">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危险废物暂存过程中应满足《危险废物贮存污染控制标准》</w:t>
            </w:r>
            <w:r>
              <w:rPr>
                <w:snapToGrid w:val="0"/>
                <w:color w:val="000000" w:themeColor="text1"/>
                <w:kern w:val="0"/>
                <w:sz w:val="24"/>
                <w14:textFill>
                  <w14:solidFill>
                    <w14:schemeClr w14:val="tx1"/>
                  </w14:solidFill>
                </w14:textFill>
              </w:rPr>
              <w:t>(GB18597-20</w:t>
            </w:r>
            <w:r>
              <w:rPr>
                <w:rFonts w:hint="eastAsia"/>
                <w:snapToGrid w:val="0"/>
                <w:color w:val="000000" w:themeColor="text1"/>
                <w:kern w:val="0"/>
                <w:sz w:val="24"/>
                <w14:textFill>
                  <w14:solidFill>
                    <w14:schemeClr w14:val="tx1"/>
                  </w14:solidFill>
                </w14:textFill>
              </w:rPr>
              <w:t>23</w:t>
            </w:r>
            <w:r>
              <w:rPr>
                <w:snapToGrid w:val="0"/>
                <w:color w:val="000000" w:themeColor="text1"/>
                <w:kern w:val="0"/>
                <w:sz w:val="24"/>
                <w14:textFill>
                  <w14:solidFill>
                    <w14:schemeClr w14:val="tx1"/>
                  </w14:solidFill>
                </w14:textFill>
              </w:rPr>
              <w:t>)</w:t>
            </w:r>
            <w:r>
              <w:rPr>
                <w:rFonts w:hint="eastAsia"/>
                <w:snapToGrid w:val="0"/>
                <w:color w:val="000000" w:themeColor="text1"/>
                <w:kern w:val="0"/>
                <w:sz w:val="24"/>
                <w14:textFill>
                  <w14:solidFill>
                    <w14:schemeClr w14:val="tx1"/>
                  </w14:solidFill>
                </w14:textFill>
              </w:rPr>
              <w:t>中的相关规定，危险废物的贮存容器须满足下列要求：</w:t>
            </w:r>
          </w:p>
          <w:p w14:paraId="54E525C3">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a.</w:t>
            </w:r>
            <w:r>
              <w:rPr>
                <w:rFonts w:hint="eastAsia"/>
                <w:snapToGrid w:val="0"/>
                <w:color w:val="000000" w:themeColor="text1"/>
                <w:kern w:val="0"/>
                <w:sz w:val="24"/>
                <w14:textFill>
                  <w14:solidFill>
                    <w14:schemeClr w14:val="tx1"/>
                  </w14:solidFill>
                </w14:textFill>
              </w:rPr>
              <w:t>应当使用符合标准的容器盛装危险废物；</w:t>
            </w:r>
          </w:p>
          <w:p w14:paraId="75E68B8B">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b.</w:t>
            </w:r>
            <w:r>
              <w:rPr>
                <w:rFonts w:hint="eastAsia"/>
                <w:snapToGrid w:val="0"/>
                <w:color w:val="000000" w:themeColor="text1"/>
                <w:kern w:val="0"/>
                <w:sz w:val="24"/>
                <w14:textFill>
                  <w14:solidFill>
                    <w14:schemeClr w14:val="tx1"/>
                  </w14:solidFill>
                </w14:textFill>
              </w:rPr>
              <w:t>装载危险废物的容器及材质要满足相应的强度要求；</w:t>
            </w:r>
          </w:p>
          <w:p w14:paraId="28844E4E">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c.</w:t>
            </w:r>
            <w:r>
              <w:rPr>
                <w:rFonts w:hint="eastAsia"/>
                <w:snapToGrid w:val="0"/>
                <w:color w:val="000000" w:themeColor="text1"/>
                <w:kern w:val="0"/>
                <w:sz w:val="24"/>
                <w14:textFill>
                  <w14:solidFill>
                    <w14:schemeClr w14:val="tx1"/>
                  </w14:solidFill>
                </w14:textFill>
              </w:rPr>
              <w:t>装载危险废物的容器必须完好无损；</w:t>
            </w:r>
          </w:p>
          <w:p w14:paraId="76BCD515">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d.</w:t>
            </w:r>
            <w:r>
              <w:rPr>
                <w:rFonts w:hint="eastAsia"/>
                <w:snapToGrid w:val="0"/>
                <w:color w:val="000000" w:themeColor="text1"/>
                <w:kern w:val="0"/>
                <w:sz w:val="24"/>
                <w14:textFill>
                  <w14:solidFill>
                    <w14:schemeClr w14:val="tx1"/>
                  </w14:solidFill>
                </w14:textFill>
              </w:rPr>
              <w:t>盛装危险废物的容器材质和衬里要与危险废物相溶（不相互反应）；</w:t>
            </w:r>
          </w:p>
          <w:p w14:paraId="45478329">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e.</w:t>
            </w:r>
            <w:r>
              <w:rPr>
                <w:rFonts w:hint="eastAsia"/>
                <w:snapToGrid w:val="0"/>
                <w:color w:val="000000" w:themeColor="text1"/>
                <w:kern w:val="0"/>
                <w:sz w:val="24"/>
                <w14:textFill>
                  <w14:solidFill>
                    <w14:schemeClr w14:val="tx1"/>
                  </w14:solidFill>
                </w14:textFill>
              </w:rPr>
              <w:t>盛装危险废物的容器上必须粘贴符合本标准附录</w:t>
            </w:r>
            <w:r>
              <w:rPr>
                <w:snapToGrid w:val="0"/>
                <w:color w:val="000000" w:themeColor="text1"/>
                <w:kern w:val="0"/>
                <w:sz w:val="24"/>
                <w14:textFill>
                  <w14:solidFill>
                    <w14:schemeClr w14:val="tx1"/>
                  </w14:solidFill>
                </w14:textFill>
              </w:rPr>
              <w:t>A</w:t>
            </w:r>
            <w:r>
              <w:rPr>
                <w:rFonts w:hint="eastAsia"/>
                <w:snapToGrid w:val="0"/>
                <w:color w:val="000000" w:themeColor="text1"/>
                <w:kern w:val="0"/>
                <w:sz w:val="24"/>
                <w14:textFill>
                  <w14:solidFill>
                    <w14:schemeClr w14:val="tx1"/>
                  </w14:solidFill>
                </w14:textFill>
              </w:rPr>
              <w:t>所示的标签。</w:t>
            </w:r>
          </w:p>
          <w:p w14:paraId="637F9189">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危险废物贮存设施的运行与管理应按照下列要求执行：</w:t>
            </w:r>
          </w:p>
          <w:p w14:paraId="2FFF2636">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a.</w:t>
            </w:r>
            <w:r>
              <w:rPr>
                <w:rFonts w:hint="eastAsia"/>
                <w:snapToGrid w:val="0"/>
                <w:color w:val="000000" w:themeColor="text1"/>
                <w:kern w:val="0"/>
                <w:sz w:val="24"/>
                <w14:textFill>
                  <w14:solidFill>
                    <w14:schemeClr w14:val="tx1"/>
                  </w14:solidFill>
                </w14:textFill>
              </w:rPr>
              <w:t>不得将不相溶的废物混合或合并存放；</w:t>
            </w:r>
          </w:p>
          <w:p w14:paraId="6A69BF9B">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b.</w:t>
            </w:r>
            <w:r>
              <w:rPr>
                <w:rFonts w:hint="eastAsia"/>
                <w:snapToGrid w:val="0"/>
                <w:color w:val="000000" w:themeColor="text1"/>
                <w:kern w:val="0"/>
                <w:sz w:val="24"/>
                <w14:textFill>
                  <w14:solidFill>
                    <w14:schemeClr w14:val="tx1"/>
                  </w14:solidFill>
                </w14:textFill>
              </w:rPr>
              <w:t>须做好危险废物情况的记录，记录上须注明危险废物的名称、源、数量、特性和包装容器的类别、入库日期、存放库位、废物出库日期及接收单位名称。危险废物的记录和货单在危险废物回取后应继续保留三年；</w:t>
            </w:r>
          </w:p>
          <w:p w14:paraId="75E87CEA">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c.</w:t>
            </w:r>
            <w:r>
              <w:rPr>
                <w:rFonts w:hint="eastAsia"/>
                <w:snapToGrid w:val="0"/>
                <w:color w:val="000000" w:themeColor="text1"/>
                <w:kern w:val="0"/>
                <w:sz w:val="24"/>
                <w14:textFill>
                  <w14:solidFill>
                    <w14:schemeClr w14:val="tx1"/>
                  </w14:solidFill>
                </w14:textFill>
              </w:rPr>
              <w:t>必须定期对所贮存的危险废物包转容器及贮存设施进行检查</w:t>
            </w:r>
            <w:r>
              <w:rPr>
                <w:snapToGrid w:val="0"/>
                <w:color w:val="000000" w:themeColor="text1"/>
                <w:kern w:val="0"/>
                <w:sz w:val="24"/>
                <w14:textFill>
                  <w14:solidFill>
                    <w14:schemeClr w14:val="tx1"/>
                  </w14:solidFill>
                </w14:textFill>
              </w:rPr>
              <w:t>,</w:t>
            </w:r>
            <w:r>
              <w:rPr>
                <w:rFonts w:hint="eastAsia"/>
                <w:snapToGrid w:val="0"/>
                <w:color w:val="000000" w:themeColor="text1"/>
                <w:kern w:val="0"/>
                <w:sz w:val="24"/>
                <w14:textFill>
                  <w14:solidFill>
                    <w14:schemeClr w14:val="tx1"/>
                  </w14:solidFill>
                </w14:textFill>
              </w:rPr>
              <w:t>发现破损，应及时采取措施清理更换。</w:t>
            </w:r>
          </w:p>
          <w:p w14:paraId="730D1484">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（3）危险废物环境影响分析</w:t>
            </w:r>
          </w:p>
          <w:p w14:paraId="57D9015D">
            <w:pPr>
              <w:spacing w:line="500" w:lineRule="atLeast"/>
              <w:ind w:firstLine="480" w:firstLineChars="200"/>
              <w:rPr>
                <w:snapToGrid w:val="0"/>
                <w:color w:val="000000" w:themeColor="text1"/>
                <w:kern w:val="0"/>
                <w:sz w:val="24"/>
                <w14:textFill>
                  <w14:solidFill>
                    <w14:schemeClr w14:val="tx1"/>
                  </w14:solidFill>
                </w14:textFill>
              </w:rPr>
            </w:pPr>
            <w:r>
              <w:rPr>
                <w:rFonts w:hint="eastAsia" w:ascii="宋体" w:hAnsi="宋体" w:cs="宋体"/>
                <w:snapToGrid w:val="0"/>
                <w:color w:val="000000" w:themeColor="text1"/>
                <w:kern w:val="0"/>
                <w:sz w:val="24"/>
                <w14:textFill>
                  <w14:solidFill>
                    <w14:schemeClr w14:val="tx1"/>
                  </w14:solidFill>
                </w14:textFill>
              </w:rPr>
              <w:t>①</w:t>
            </w:r>
            <w:r>
              <w:rPr>
                <w:rFonts w:hint="eastAsia"/>
                <w:snapToGrid w:val="0"/>
                <w:color w:val="000000" w:themeColor="text1"/>
                <w:kern w:val="0"/>
                <w:sz w:val="24"/>
                <w14:textFill>
                  <w14:solidFill>
                    <w14:schemeClr w14:val="tx1"/>
                  </w14:solidFill>
                </w14:textFill>
              </w:rPr>
              <w:t>贮存设施的污染防治措施和环境影响分析</w:t>
            </w:r>
          </w:p>
          <w:p w14:paraId="3B163EE7">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本项目危险废物临时存放于指定的危废暂存间，不得露天堆放，危废暂存间应严格按照《危险废物贮存污染控制标准》（</w:t>
            </w:r>
            <w:r>
              <w:rPr>
                <w:snapToGrid w:val="0"/>
                <w:color w:val="000000" w:themeColor="text1"/>
                <w:kern w:val="0"/>
                <w:sz w:val="24"/>
                <w14:textFill>
                  <w14:solidFill>
                    <w14:schemeClr w14:val="tx1"/>
                  </w14:solidFill>
                </w14:textFill>
              </w:rPr>
              <w:t>GB18597-20</w:t>
            </w:r>
            <w:r>
              <w:rPr>
                <w:rFonts w:hint="eastAsia"/>
                <w:snapToGrid w:val="0"/>
                <w:color w:val="000000" w:themeColor="text1"/>
                <w:kern w:val="0"/>
                <w:sz w:val="24"/>
                <w14:textFill>
                  <w14:solidFill>
                    <w14:schemeClr w14:val="tx1"/>
                  </w14:solidFill>
                </w14:textFill>
              </w:rPr>
              <w:t>23）、《危险废物收集贮存运输技术规范》（</w:t>
            </w:r>
            <w:r>
              <w:rPr>
                <w:snapToGrid w:val="0"/>
                <w:color w:val="000000" w:themeColor="text1"/>
                <w:kern w:val="0"/>
                <w:sz w:val="24"/>
                <w14:textFill>
                  <w14:solidFill>
                    <w14:schemeClr w14:val="tx1"/>
                  </w14:solidFill>
                </w14:textFill>
              </w:rPr>
              <w:t>HJ2025-2012</w:t>
            </w:r>
            <w:r>
              <w:rPr>
                <w:rFonts w:hint="eastAsia"/>
                <w:snapToGrid w:val="0"/>
                <w:color w:val="000000" w:themeColor="text1"/>
                <w:kern w:val="0"/>
                <w:sz w:val="24"/>
                <w14:textFill>
                  <w14:solidFill>
                    <w14:schemeClr w14:val="tx1"/>
                  </w14:solidFill>
                </w14:textFill>
              </w:rPr>
              <w:t>）中相关要求设置，并做到以下几点：</w:t>
            </w:r>
          </w:p>
          <w:p w14:paraId="5F77EFE5">
            <w:pPr>
              <w:spacing w:line="500" w:lineRule="atLeast"/>
              <w:ind w:firstLine="480" w:firstLineChars="200"/>
              <w:rPr>
                <w:snapToGrid w:val="0"/>
                <w:color w:val="000000" w:themeColor="text1"/>
                <w:kern w:val="0"/>
                <w:sz w:val="24"/>
                <w14:textFill>
                  <w14:solidFill>
                    <w14:schemeClr w14:val="tx1"/>
                  </w14:solidFill>
                </w14:textFill>
              </w:rPr>
            </w:pPr>
            <w:r>
              <w:rPr>
                <w:rFonts w:hint="eastAsia" w:ascii="宋体" w:hAnsi="宋体" w:cs="宋体"/>
                <w:snapToGrid w:val="0"/>
                <w:color w:val="000000" w:themeColor="text1"/>
                <w:kern w:val="0"/>
                <w:sz w:val="24"/>
                <w14:textFill>
                  <w14:solidFill>
                    <w14:schemeClr w14:val="tx1"/>
                  </w14:solidFill>
                </w14:textFill>
              </w:rPr>
              <w:t>a</w:t>
            </w:r>
            <w:r>
              <w:rPr>
                <w:rFonts w:ascii="宋体" w:hAnsi="宋体" w:cs="宋体"/>
                <w:snapToGrid w:val="0"/>
                <w:color w:val="000000" w:themeColor="text1"/>
                <w:kern w:val="0"/>
                <w:sz w:val="24"/>
                <w14:textFill>
                  <w14:solidFill>
                    <w14:schemeClr w14:val="tx1"/>
                  </w14:solidFill>
                </w14:textFill>
              </w:rPr>
              <w:t>.</w:t>
            </w:r>
            <w:r>
              <w:rPr>
                <w:rFonts w:hint="eastAsia"/>
                <w:snapToGrid w:val="0"/>
                <w:color w:val="000000" w:themeColor="text1"/>
                <w:kern w:val="0"/>
                <w:sz w:val="24"/>
                <w14:textFill>
                  <w14:solidFill>
                    <w14:schemeClr w14:val="tx1"/>
                  </w14:solidFill>
                </w14:textFill>
              </w:rPr>
              <w:t>危险废物产生后用容器密封储存，并在容器显著位置张贴危险废物的标识。需根据《环境保护图形标志</w:t>
            </w:r>
            <w:r>
              <w:rPr>
                <w:snapToGrid w:val="0"/>
                <w:color w:val="000000" w:themeColor="text1"/>
                <w:kern w:val="0"/>
                <w:sz w:val="24"/>
                <w14:textFill>
                  <w14:solidFill>
                    <w14:schemeClr w14:val="tx1"/>
                  </w14:solidFill>
                </w14:textFill>
              </w:rPr>
              <w:t>——</w:t>
            </w:r>
            <w:r>
              <w:rPr>
                <w:rFonts w:hint="eastAsia"/>
                <w:snapToGrid w:val="0"/>
                <w:color w:val="000000" w:themeColor="text1"/>
                <w:kern w:val="0"/>
                <w:sz w:val="24"/>
                <w14:textFill>
                  <w14:solidFill>
                    <w14:schemeClr w14:val="tx1"/>
                  </w14:solidFill>
                </w14:textFill>
              </w:rPr>
              <w:t>固体废物贮存（处置场）》（</w:t>
            </w:r>
            <w:r>
              <w:rPr>
                <w:snapToGrid w:val="0"/>
                <w:color w:val="000000" w:themeColor="text1"/>
                <w:kern w:val="0"/>
                <w:sz w:val="24"/>
                <w14:textFill>
                  <w14:solidFill>
                    <w14:schemeClr w14:val="tx1"/>
                  </w14:solidFill>
                </w14:textFill>
              </w:rPr>
              <w:t>GB15562.2-1995</w:t>
            </w:r>
            <w:r>
              <w:rPr>
                <w:rFonts w:hint="eastAsia"/>
                <w:snapToGrid w:val="0"/>
                <w:color w:val="000000" w:themeColor="text1"/>
                <w:kern w:val="0"/>
                <w:sz w:val="24"/>
                <w14:textFill>
                  <w14:solidFill>
                    <w14:schemeClr w14:val="tx1"/>
                  </w14:solidFill>
                </w14:textFill>
              </w:rPr>
              <w:t>）在危废贮存场所设置环保标志；</w:t>
            </w:r>
          </w:p>
          <w:p w14:paraId="173B0514">
            <w:pPr>
              <w:spacing w:line="500" w:lineRule="atLeast"/>
              <w:ind w:firstLine="480" w:firstLineChars="200"/>
              <w:rPr>
                <w:snapToGrid w:val="0"/>
                <w:color w:val="000000" w:themeColor="text1"/>
                <w:kern w:val="0"/>
                <w:sz w:val="24"/>
                <w14:textFill>
                  <w14:solidFill>
                    <w14:schemeClr w14:val="tx1"/>
                  </w14:solidFill>
                </w14:textFill>
              </w:rPr>
            </w:pPr>
            <w:r>
              <w:rPr>
                <w:rFonts w:hint="eastAsia" w:ascii="宋体" w:hAnsi="宋体" w:cs="宋体"/>
                <w:snapToGrid w:val="0"/>
                <w:color w:val="000000" w:themeColor="text1"/>
                <w:kern w:val="0"/>
                <w:sz w:val="24"/>
                <w14:textFill>
                  <w14:solidFill>
                    <w14:schemeClr w14:val="tx1"/>
                  </w14:solidFill>
                </w14:textFill>
              </w:rPr>
              <w:t>b.</w:t>
            </w:r>
            <w:r>
              <w:rPr>
                <w:rFonts w:hint="eastAsia"/>
                <w:snapToGrid w:val="0"/>
                <w:color w:val="000000" w:themeColor="text1"/>
                <w:kern w:val="0"/>
                <w:sz w:val="24"/>
                <w14:textFill>
                  <w14:solidFill>
                    <w14:schemeClr w14:val="tx1"/>
                  </w14:solidFill>
                </w14:textFill>
              </w:rPr>
              <w:t>危险废物暂存场所应按照《危险废物贮存污染控制标准》（</w:t>
            </w:r>
            <w:r>
              <w:rPr>
                <w:snapToGrid w:val="0"/>
                <w:color w:val="000000" w:themeColor="text1"/>
                <w:kern w:val="0"/>
                <w:sz w:val="24"/>
                <w14:textFill>
                  <w14:solidFill>
                    <w14:schemeClr w14:val="tx1"/>
                  </w14:solidFill>
                </w14:textFill>
              </w:rPr>
              <w:t>GB18597-20</w:t>
            </w:r>
            <w:r>
              <w:rPr>
                <w:rFonts w:hint="eastAsia"/>
                <w:snapToGrid w:val="0"/>
                <w:color w:val="000000" w:themeColor="text1"/>
                <w:kern w:val="0"/>
                <w:sz w:val="24"/>
                <w14:textFill>
                  <w14:solidFill>
                    <w14:schemeClr w14:val="tx1"/>
                  </w14:solidFill>
                </w14:textFill>
              </w:rPr>
              <w:t>23）的要求进行建设，设置防渗、防漏、防雨等措施。建议基础防渗层为</w:t>
            </w:r>
            <w:r>
              <w:rPr>
                <w:snapToGrid w:val="0"/>
                <w:color w:val="000000" w:themeColor="text1"/>
                <w:kern w:val="0"/>
                <w:sz w:val="24"/>
                <w14:textFill>
                  <w14:solidFill>
                    <w14:schemeClr w14:val="tx1"/>
                  </w14:solidFill>
                </w14:textFill>
              </w:rPr>
              <w:t>1m</w:t>
            </w:r>
            <w:r>
              <w:rPr>
                <w:rFonts w:hint="eastAsia"/>
                <w:snapToGrid w:val="0"/>
                <w:color w:val="000000" w:themeColor="text1"/>
                <w:kern w:val="0"/>
                <w:sz w:val="24"/>
                <w14:textFill>
                  <w14:solidFill>
                    <w14:schemeClr w14:val="tx1"/>
                  </w14:solidFill>
                </w14:textFill>
              </w:rPr>
              <w:t>厚粘土层（渗透系数</w:t>
            </w:r>
            <w:r>
              <w:rPr>
                <w:snapToGrid w:val="0"/>
                <w:color w:val="000000" w:themeColor="text1"/>
                <w:kern w:val="0"/>
                <w:sz w:val="24"/>
                <w14:textFill>
                  <w14:solidFill>
                    <w14:schemeClr w14:val="tx1"/>
                  </w14:solidFill>
                </w14:textFill>
              </w:rPr>
              <w:t>≤10</w:t>
            </w:r>
            <w:r>
              <w:rPr>
                <w:snapToGrid w:val="0"/>
                <w:color w:val="000000" w:themeColor="text1"/>
                <w:kern w:val="0"/>
                <w:sz w:val="24"/>
                <w:vertAlign w:val="superscript"/>
                <w14:textFill>
                  <w14:solidFill>
                    <w14:schemeClr w14:val="tx1"/>
                  </w14:solidFill>
                </w14:textFill>
              </w:rPr>
              <w:t>-7</w:t>
            </w:r>
            <w:r>
              <w:rPr>
                <w:snapToGrid w:val="0"/>
                <w:color w:val="000000" w:themeColor="text1"/>
                <w:kern w:val="0"/>
                <w:sz w:val="24"/>
                <w14:textFill>
                  <w14:solidFill>
                    <w14:schemeClr w14:val="tx1"/>
                  </w14:solidFill>
                </w14:textFill>
              </w:rPr>
              <w:t>cm/s</w:t>
            </w:r>
            <w:r>
              <w:rPr>
                <w:rFonts w:hint="eastAsia"/>
                <w:snapToGrid w:val="0"/>
                <w:color w:val="000000" w:themeColor="text1"/>
                <w:kern w:val="0"/>
                <w:sz w:val="24"/>
                <w14:textFill>
                  <w14:solidFill>
                    <w14:schemeClr w14:val="tx1"/>
                  </w14:solidFill>
                </w14:textFill>
              </w:rPr>
              <w:t>），最上层为</w:t>
            </w:r>
            <w:r>
              <w:rPr>
                <w:snapToGrid w:val="0"/>
                <w:color w:val="000000" w:themeColor="text1"/>
                <w:kern w:val="0"/>
                <w:sz w:val="24"/>
                <w14:textFill>
                  <w14:solidFill>
                    <w14:schemeClr w14:val="tx1"/>
                  </w14:solidFill>
                </w14:textFill>
              </w:rPr>
              <w:t>2mm</w:t>
            </w:r>
            <w:r>
              <w:rPr>
                <w:rFonts w:hint="eastAsia"/>
                <w:snapToGrid w:val="0"/>
                <w:color w:val="000000" w:themeColor="text1"/>
                <w:kern w:val="0"/>
                <w:sz w:val="24"/>
                <w14:textFill>
                  <w14:solidFill>
                    <w14:schemeClr w14:val="tx1"/>
                  </w14:solidFill>
                </w14:textFill>
              </w:rPr>
              <w:t>厚的高密度聚乙烯，或至少</w:t>
            </w:r>
            <w:r>
              <w:rPr>
                <w:snapToGrid w:val="0"/>
                <w:color w:val="000000" w:themeColor="text1"/>
                <w:kern w:val="0"/>
                <w:sz w:val="24"/>
                <w14:textFill>
                  <w14:solidFill>
                    <w14:schemeClr w14:val="tx1"/>
                  </w14:solidFill>
                </w14:textFill>
              </w:rPr>
              <w:t>2mm</w:t>
            </w:r>
            <w:r>
              <w:rPr>
                <w:rFonts w:hint="eastAsia"/>
                <w:snapToGrid w:val="0"/>
                <w:color w:val="000000" w:themeColor="text1"/>
                <w:kern w:val="0"/>
                <w:sz w:val="24"/>
                <w14:textFill>
                  <w14:solidFill>
                    <w14:schemeClr w14:val="tx1"/>
                  </w14:solidFill>
                </w14:textFill>
              </w:rPr>
              <w:t>厚的其他人工材料，渗透系数</w:t>
            </w:r>
            <w:r>
              <w:rPr>
                <w:snapToGrid w:val="0"/>
                <w:color w:val="000000" w:themeColor="text1"/>
                <w:kern w:val="0"/>
                <w:sz w:val="24"/>
                <w14:textFill>
                  <w14:solidFill>
                    <w14:schemeClr w14:val="tx1"/>
                  </w14:solidFill>
                </w14:textFill>
              </w:rPr>
              <w:t>≤10</w:t>
            </w:r>
            <w:r>
              <w:rPr>
                <w:snapToGrid w:val="0"/>
                <w:color w:val="000000" w:themeColor="text1"/>
                <w:kern w:val="0"/>
                <w:sz w:val="24"/>
                <w:vertAlign w:val="superscript"/>
                <w14:textFill>
                  <w14:solidFill>
                    <w14:schemeClr w14:val="tx1"/>
                  </w14:solidFill>
                </w14:textFill>
              </w:rPr>
              <w:t>-10</w:t>
            </w:r>
            <w:r>
              <w:rPr>
                <w:snapToGrid w:val="0"/>
                <w:color w:val="000000" w:themeColor="text1"/>
                <w:kern w:val="0"/>
                <w:sz w:val="24"/>
                <w14:textFill>
                  <w14:solidFill>
                    <w14:schemeClr w14:val="tx1"/>
                  </w14:solidFill>
                </w14:textFill>
              </w:rPr>
              <w:t>cm/s</w:t>
            </w:r>
            <w:r>
              <w:rPr>
                <w:rFonts w:hint="eastAsia"/>
                <w:snapToGrid w:val="0"/>
                <w:color w:val="000000" w:themeColor="text1"/>
                <w:kern w:val="0"/>
                <w:sz w:val="24"/>
                <w14:textFill>
                  <w14:solidFill>
                    <w14:schemeClr w14:val="tx1"/>
                  </w14:solidFill>
                </w14:textFill>
              </w:rPr>
              <w:t>；</w:t>
            </w:r>
          </w:p>
          <w:p w14:paraId="4E3E7E6C">
            <w:pPr>
              <w:spacing w:line="500" w:lineRule="atLeast"/>
              <w:ind w:firstLine="480" w:firstLineChars="200"/>
              <w:rPr>
                <w:snapToGrid w:val="0"/>
                <w:color w:val="000000" w:themeColor="text1"/>
                <w:kern w:val="0"/>
                <w:sz w:val="24"/>
                <w14:textFill>
                  <w14:solidFill>
                    <w14:schemeClr w14:val="tx1"/>
                  </w14:solidFill>
                </w14:textFill>
              </w:rPr>
            </w:pPr>
            <w:r>
              <w:rPr>
                <w:rFonts w:hint="eastAsia" w:ascii="宋体" w:hAnsi="宋体" w:cs="宋体"/>
                <w:snapToGrid w:val="0"/>
                <w:color w:val="000000" w:themeColor="text1"/>
                <w:kern w:val="0"/>
                <w:sz w:val="24"/>
                <w14:textFill>
                  <w14:solidFill>
                    <w14:schemeClr w14:val="tx1"/>
                  </w14:solidFill>
                </w14:textFill>
              </w:rPr>
              <w:t>c.</w:t>
            </w:r>
            <w:r>
              <w:rPr>
                <w:rFonts w:hint="eastAsia"/>
                <w:snapToGrid w:val="0"/>
                <w:color w:val="000000" w:themeColor="text1"/>
                <w:kern w:val="0"/>
                <w:sz w:val="24"/>
                <w14:textFill>
                  <w14:solidFill>
                    <w14:schemeClr w14:val="tx1"/>
                  </w14:solidFill>
                </w14:textFill>
              </w:rPr>
              <w:t>废物贮存设施周围设置围墙或其它防护栅栏；</w:t>
            </w:r>
          </w:p>
          <w:p w14:paraId="4E84CAE0">
            <w:pPr>
              <w:spacing w:line="500" w:lineRule="atLeast"/>
              <w:ind w:firstLine="480" w:firstLineChars="200"/>
              <w:rPr>
                <w:snapToGrid w:val="0"/>
                <w:color w:val="000000" w:themeColor="text1"/>
                <w:kern w:val="0"/>
                <w:sz w:val="24"/>
                <w14:textFill>
                  <w14:solidFill>
                    <w14:schemeClr w14:val="tx1"/>
                  </w14:solidFill>
                </w14:textFill>
              </w:rPr>
            </w:pPr>
            <w:r>
              <w:rPr>
                <w:rFonts w:hint="eastAsia" w:ascii="宋体" w:hAnsi="宋体" w:cs="宋体"/>
                <w:snapToGrid w:val="0"/>
                <w:color w:val="000000" w:themeColor="text1"/>
                <w:kern w:val="0"/>
                <w:sz w:val="24"/>
                <w14:textFill>
                  <w14:solidFill>
                    <w14:schemeClr w14:val="tx1"/>
                  </w14:solidFill>
                </w14:textFill>
              </w:rPr>
              <w:t>d.</w:t>
            </w:r>
            <w:r>
              <w:rPr>
                <w:rFonts w:hint="eastAsia"/>
                <w:snapToGrid w:val="0"/>
                <w:color w:val="000000" w:themeColor="text1"/>
                <w:kern w:val="0"/>
                <w:sz w:val="24"/>
                <w14:textFill>
                  <w14:solidFill>
                    <w14:schemeClr w14:val="tx1"/>
                  </w14:solidFill>
                </w14:textFill>
              </w:rPr>
              <w:t>废物贮存设施配备通讯设备、照明设施、安全防护服装及工具，并设有应急防护设施；</w:t>
            </w:r>
          </w:p>
          <w:p w14:paraId="5767E4D1">
            <w:pPr>
              <w:spacing w:line="500" w:lineRule="atLeast"/>
              <w:ind w:firstLine="480" w:firstLineChars="200"/>
              <w:rPr>
                <w:snapToGrid w:val="0"/>
                <w:color w:val="000000" w:themeColor="text1"/>
                <w:kern w:val="0"/>
                <w:sz w:val="24"/>
                <w14:textFill>
                  <w14:solidFill>
                    <w14:schemeClr w14:val="tx1"/>
                  </w14:solidFill>
                </w14:textFill>
              </w:rPr>
            </w:pPr>
            <w:r>
              <w:rPr>
                <w:rFonts w:hint="eastAsia" w:ascii="宋体" w:hAnsi="宋体" w:cs="宋体"/>
                <w:snapToGrid w:val="0"/>
                <w:color w:val="000000" w:themeColor="text1"/>
                <w:kern w:val="0"/>
                <w:sz w:val="24"/>
                <w14:textFill>
                  <w14:solidFill>
                    <w14:schemeClr w14:val="tx1"/>
                  </w14:solidFill>
                </w14:textFill>
              </w:rPr>
              <w:t>e.</w:t>
            </w:r>
            <w:r>
              <w:rPr>
                <w:rFonts w:hint="eastAsia"/>
                <w:snapToGrid w:val="0"/>
                <w:color w:val="000000" w:themeColor="text1"/>
                <w:kern w:val="0"/>
                <w:sz w:val="24"/>
                <w14:textFill>
                  <w14:solidFill>
                    <w14:schemeClr w14:val="tx1"/>
                  </w14:solidFill>
                </w14:textFill>
              </w:rPr>
              <w:t>废物贮存设施内清理出来的泄漏物，一律按危险废物处理。</w:t>
            </w:r>
          </w:p>
          <w:p w14:paraId="47C1FFEA">
            <w:pPr>
              <w:spacing w:line="500" w:lineRule="atLeast"/>
              <w:ind w:firstLine="480" w:firstLineChars="200"/>
              <w:rPr>
                <w:snapToGrid w:val="0"/>
                <w:color w:val="000000" w:themeColor="text1"/>
                <w:kern w:val="0"/>
                <w:sz w:val="24"/>
                <w14:textFill>
                  <w14:solidFill>
                    <w14:schemeClr w14:val="tx1"/>
                  </w14:solidFill>
                </w14:textFill>
              </w:rPr>
            </w:pPr>
            <w:r>
              <w:rPr>
                <w:rFonts w:hint="eastAsia" w:ascii="宋体" w:hAnsi="宋体" w:cs="宋体"/>
                <w:snapToGrid w:val="0"/>
                <w:color w:val="000000" w:themeColor="text1"/>
                <w:kern w:val="0"/>
                <w:sz w:val="24"/>
                <w14:textFill>
                  <w14:solidFill>
                    <w14:schemeClr w14:val="tx1"/>
                  </w14:solidFill>
                </w14:textFill>
              </w:rPr>
              <w:t>f.</w:t>
            </w:r>
            <w:r>
              <w:rPr>
                <w:rFonts w:hint="eastAsia"/>
                <w:snapToGrid w:val="0"/>
                <w:color w:val="000000" w:themeColor="text1"/>
                <w:kern w:val="0"/>
                <w:sz w:val="24"/>
                <w14:textFill>
                  <w14:solidFill>
                    <w14:schemeClr w14:val="tx1"/>
                  </w14:solidFill>
                </w14:textFill>
              </w:rPr>
              <w:t>危险废物贮存设施（仓库式）的设计原则：地面与裙脚要用坚固、防渗的材料建造，建筑材料必须与危险废物相容；必须有泄漏液体收集装置、气体导出口及气体净化装置；设施内要有安全照明设施和观察窗口；用以存放装载液体、半固体危险废物容器的地方，必须有耐腐蚀的硬化地面，且表面无裂隙；应设计堵截泄漏的裙脚；不相容的危险废物必须分开存放，并设有隔离间隔断。</w:t>
            </w:r>
          </w:p>
          <w:p w14:paraId="7883939D">
            <w:pPr>
              <w:spacing w:line="500" w:lineRule="atLeast"/>
              <w:ind w:firstLine="480" w:firstLineChars="200"/>
              <w:rPr>
                <w:snapToGrid w:val="0"/>
                <w:color w:val="000000" w:themeColor="text1"/>
                <w:kern w:val="0"/>
                <w:sz w:val="24"/>
                <w14:textFill>
                  <w14:solidFill>
                    <w14:schemeClr w14:val="tx1"/>
                  </w14:solidFill>
                </w14:textFill>
              </w:rPr>
            </w:pPr>
            <w:r>
              <w:rPr>
                <w:rFonts w:ascii="宋体" w:hAnsi="宋体" w:cs="宋体"/>
                <w:snapToGrid w:val="0"/>
                <w:color w:val="000000" w:themeColor="text1"/>
                <w:kern w:val="0"/>
                <w:sz w:val="24"/>
                <w14:textFill>
                  <w14:solidFill>
                    <w14:schemeClr w14:val="tx1"/>
                  </w14:solidFill>
                </w14:textFill>
              </w:rPr>
              <w:t>g.</w:t>
            </w:r>
            <w:r>
              <w:rPr>
                <w:rFonts w:hint="eastAsia"/>
                <w:snapToGrid w:val="0"/>
                <w:color w:val="000000" w:themeColor="text1"/>
                <w:kern w:val="0"/>
                <w:sz w:val="24"/>
                <w14:textFill>
                  <w14:solidFill>
                    <w14:schemeClr w14:val="tx1"/>
                  </w14:solidFill>
                </w14:textFill>
              </w:rPr>
              <w:t>应加强危险储存场所的安全防范措施，防止包装桶破损、倾倒等情况发生，防止出现二次污染情况。垃圾桶需加盖封闭，定时转运，保持周围场地整洁，无撒落垃圾和堆积杂物，无积留污水。</w:t>
            </w:r>
          </w:p>
          <w:p w14:paraId="6AC2E58B">
            <w:pPr>
              <w:spacing w:line="500" w:lineRule="atLeast"/>
              <w:ind w:firstLine="480" w:firstLineChars="200"/>
              <w:rPr>
                <w:snapToGrid w:val="0"/>
                <w:color w:val="000000" w:themeColor="text1"/>
                <w:kern w:val="0"/>
                <w:sz w:val="24"/>
                <w14:textFill>
                  <w14:solidFill>
                    <w14:schemeClr w14:val="tx1"/>
                  </w14:solidFill>
                </w14:textFill>
              </w:rPr>
            </w:pPr>
            <w:r>
              <w:rPr>
                <w:rFonts w:hint="eastAsia" w:ascii="宋体" w:hAnsi="宋体" w:cs="宋体"/>
                <w:snapToGrid w:val="0"/>
                <w:color w:val="000000" w:themeColor="text1"/>
                <w:kern w:val="0"/>
                <w:sz w:val="24"/>
                <w14:textFill>
                  <w14:solidFill>
                    <w14:schemeClr w14:val="tx1"/>
                  </w14:solidFill>
                </w14:textFill>
              </w:rPr>
              <w:t>②</w:t>
            </w:r>
            <w:r>
              <w:rPr>
                <w:rFonts w:hint="eastAsia"/>
                <w:snapToGrid w:val="0"/>
                <w:color w:val="000000" w:themeColor="text1"/>
                <w:kern w:val="0"/>
                <w:sz w:val="24"/>
                <w14:textFill>
                  <w14:solidFill>
                    <w14:schemeClr w14:val="tx1"/>
                  </w14:solidFill>
                </w14:textFill>
              </w:rPr>
              <w:t>运输过程的污染防治措施和环境影响分析</w:t>
            </w:r>
          </w:p>
          <w:p w14:paraId="51ECFAE8">
            <w:pPr>
              <w:spacing w:line="500" w:lineRule="atLeast"/>
              <w:ind w:firstLine="480" w:firstLineChars="200"/>
              <w:rPr>
                <w:snapToGrid w:val="0"/>
                <w:color w:val="000000" w:themeColor="text1"/>
                <w:kern w:val="0"/>
                <w:sz w:val="24"/>
                <w14:textFill>
                  <w14:solidFill>
                    <w14:schemeClr w14:val="tx1"/>
                  </w14:solidFill>
                </w14:textFill>
              </w:rPr>
            </w:pPr>
            <w:r>
              <w:rPr>
                <w:rFonts w:hint="eastAsia" w:ascii="宋体" w:hAnsi="宋体" w:cs="宋体"/>
                <w:snapToGrid w:val="0"/>
                <w:color w:val="000000" w:themeColor="text1"/>
                <w:kern w:val="0"/>
                <w:sz w:val="24"/>
                <w14:textFill>
                  <w14:solidFill>
                    <w14:schemeClr w14:val="tx1"/>
                  </w14:solidFill>
                </w14:textFill>
              </w:rPr>
              <w:t>a.</w:t>
            </w:r>
            <w:r>
              <w:rPr>
                <w:rFonts w:hint="eastAsia"/>
                <w:snapToGrid w:val="0"/>
                <w:color w:val="000000" w:themeColor="text1"/>
                <w:kern w:val="0"/>
                <w:sz w:val="24"/>
                <w14:textFill>
                  <w14:solidFill>
                    <w14:schemeClr w14:val="tx1"/>
                  </w14:solidFill>
                </w14:textFill>
              </w:rPr>
              <w:t>本项目危险废物必须及时运送至危险废物处置单位进行处置，运输过程必须符合国家对危险废物的运输要求。应由固废接收单位的专用车进行运输，须填写危废转移单，要注意危险废物安全单独运输，固废的包装容器要注意密闭，以免在运输途中发生泄漏，从而危害环境；</w:t>
            </w:r>
          </w:p>
          <w:p w14:paraId="0B628853">
            <w:pPr>
              <w:spacing w:line="500" w:lineRule="atLeast"/>
              <w:ind w:firstLine="480" w:firstLineChars="200"/>
              <w:rPr>
                <w:snapToGrid w:val="0"/>
                <w:color w:val="000000" w:themeColor="text1"/>
                <w:kern w:val="0"/>
                <w:sz w:val="24"/>
                <w14:textFill>
                  <w14:solidFill>
                    <w14:schemeClr w14:val="tx1"/>
                  </w14:solidFill>
                </w14:textFill>
              </w:rPr>
            </w:pPr>
            <w:r>
              <w:rPr>
                <w:rFonts w:hint="eastAsia" w:ascii="宋体" w:hAnsi="宋体" w:cs="宋体"/>
                <w:snapToGrid w:val="0"/>
                <w:color w:val="000000" w:themeColor="text1"/>
                <w:kern w:val="0"/>
                <w:sz w:val="24"/>
                <w14:textFill>
                  <w14:solidFill>
                    <w14:schemeClr w14:val="tx1"/>
                  </w14:solidFill>
                </w14:textFill>
              </w:rPr>
              <w:t>b.</w:t>
            </w:r>
            <w:r>
              <w:rPr>
                <w:rFonts w:hint="eastAsia"/>
                <w:snapToGrid w:val="0"/>
                <w:color w:val="000000" w:themeColor="text1"/>
                <w:kern w:val="0"/>
                <w:sz w:val="24"/>
                <w14:textFill>
                  <w14:solidFill>
                    <w14:schemeClr w14:val="tx1"/>
                  </w14:solidFill>
                </w14:textFill>
              </w:rPr>
              <w:t>本项目在危险废物转移的过程中严格执行《危险废物转移单联管理办法》，危险废物的转运必须填写</w:t>
            </w:r>
            <w:r>
              <w:rPr>
                <w:snapToGrid w:val="0"/>
                <w:color w:val="000000" w:themeColor="text1"/>
                <w:kern w:val="0"/>
                <w:sz w:val="24"/>
                <w14:textFill>
                  <w14:solidFill>
                    <w14:schemeClr w14:val="tx1"/>
                  </w14:solidFill>
                </w14:textFill>
              </w:rPr>
              <w:t>“</w:t>
            </w:r>
            <w:r>
              <w:rPr>
                <w:rFonts w:hint="eastAsia"/>
                <w:snapToGrid w:val="0"/>
                <w:color w:val="000000" w:themeColor="text1"/>
                <w:kern w:val="0"/>
                <w:sz w:val="24"/>
                <w14:textFill>
                  <w14:solidFill>
                    <w14:schemeClr w14:val="tx1"/>
                  </w14:solidFill>
                </w14:textFill>
              </w:rPr>
              <w:t>五联单</w:t>
            </w:r>
            <w:r>
              <w:rPr>
                <w:snapToGrid w:val="0"/>
                <w:color w:val="000000" w:themeColor="text1"/>
                <w:kern w:val="0"/>
                <w:sz w:val="24"/>
                <w14:textFill>
                  <w14:solidFill>
                    <w14:schemeClr w14:val="tx1"/>
                  </w14:solidFill>
                </w14:textFill>
              </w:rPr>
              <w:t>”</w:t>
            </w:r>
            <w:r>
              <w:rPr>
                <w:rFonts w:hint="eastAsia"/>
                <w:snapToGrid w:val="0"/>
                <w:color w:val="000000" w:themeColor="text1"/>
                <w:kern w:val="0"/>
                <w:sz w:val="24"/>
                <w14:textFill>
                  <w14:solidFill>
                    <w14:schemeClr w14:val="tx1"/>
                  </w14:solidFill>
                </w14:textFill>
              </w:rPr>
              <w:t>，且必须符合国家对危险废物转运的相关规定。</w:t>
            </w:r>
          </w:p>
          <w:p w14:paraId="5E149D29">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本项目产生的危险废物将委托有资质单位进行集中处理，做到合理处置，将对环境的危害降到最低，同时要求清理油罐及隔油池建设单位需要委托有资质单位，并且要按照危废要求进行转移、处置。</w:t>
            </w:r>
          </w:p>
          <w:p w14:paraId="57DE12E6">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3</w:t>
            </w:r>
            <w:r>
              <w:rPr>
                <w:rFonts w:hint="eastAsia"/>
                <w:snapToGrid w:val="0"/>
                <w:color w:val="000000" w:themeColor="text1"/>
                <w:kern w:val="0"/>
                <w:sz w:val="24"/>
                <w14:textFill>
                  <w14:solidFill>
                    <w14:schemeClr w14:val="tx1"/>
                  </w14:solidFill>
                </w14:textFill>
              </w:rPr>
              <w:t>）委托利用或处置的污染防治措施和环境影响分析</w:t>
            </w:r>
          </w:p>
          <w:p w14:paraId="7D87D5B2">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本项目产生的危险废物将委托有资质单位进行集中处理，做到合理处置，将对环境的危害降到最低。</w:t>
            </w:r>
          </w:p>
          <w:p w14:paraId="5F1E0D31">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本项目固体废弃物处理处置率达到</w:t>
            </w:r>
            <w:r>
              <w:rPr>
                <w:snapToGrid w:val="0"/>
                <w:color w:val="000000" w:themeColor="text1"/>
                <w:kern w:val="0"/>
                <w:sz w:val="24"/>
                <w14:textFill>
                  <w14:solidFill>
                    <w14:schemeClr w14:val="tx1"/>
                  </w14:solidFill>
                </w14:textFill>
              </w:rPr>
              <w:t>100%</w:t>
            </w:r>
            <w:r>
              <w:rPr>
                <w:rFonts w:hint="eastAsia"/>
                <w:snapToGrid w:val="0"/>
                <w:color w:val="000000" w:themeColor="text1"/>
                <w:kern w:val="0"/>
                <w:sz w:val="24"/>
                <w14:textFill>
                  <w14:solidFill>
                    <w14:schemeClr w14:val="tx1"/>
                  </w14:solidFill>
                </w14:textFill>
              </w:rPr>
              <w:t>，在收集、贮存、运输过程中严密防护，不会产生二次污染，有效避免固体废弃物对环境造成影响。</w:t>
            </w:r>
          </w:p>
          <w:p w14:paraId="1EECF0A3">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综上，企业应强化管理，做好一般工业固体废物、危险废物及生活垃圾的收集、贮存和清运工作，并采取恰当的安全处置方法，经处置后固废基本不会对周围环境产生明显的不利影响。</w:t>
            </w:r>
          </w:p>
          <w:p w14:paraId="02D85CE8">
            <w:pPr>
              <w:spacing w:line="50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w:t>
            </w:r>
            <w:r>
              <w:rPr>
                <w:rFonts w:hint="eastAsia"/>
                <w:b/>
                <w:bCs/>
                <w:color w:val="000000" w:themeColor="text1"/>
                <w:sz w:val="24"/>
                <w14:textFill>
                  <w14:solidFill>
                    <w14:schemeClr w14:val="tx1"/>
                  </w14:solidFill>
                </w14:textFill>
              </w:rPr>
              <w:t>、</w:t>
            </w:r>
            <w:r>
              <w:rPr>
                <w:rFonts w:hint="eastAsia" w:ascii="宋体" w:hAnsi="宋体" w:cs="宋体"/>
                <w:b/>
                <w:bCs/>
                <w:color w:val="000000" w:themeColor="text1"/>
                <w:sz w:val="24"/>
                <w14:textFill>
                  <w14:solidFill>
                    <w14:schemeClr w14:val="tx1"/>
                  </w14:solidFill>
                </w14:textFill>
              </w:rPr>
              <w:t>地下水、土壤环境</w:t>
            </w:r>
          </w:p>
          <w:p w14:paraId="4170F2E5">
            <w:pPr>
              <w:spacing w:line="500" w:lineRule="exact"/>
              <w:ind w:firstLine="480"/>
              <w:rPr>
                <w:rFonts w:ascii="宋体" w:hAnsi="宋体" w:cs="宋体"/>
                <w:b/>
                <w:bCs/>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t>5.1 地下水、土壤污染识别</w:t>
            </w:r>
          </w:p>
          <w:p w14:paraId="25230107">
            <w:pPr>
              <w:spacing w:line="500" w:lineRule="exact"/>
              <w:ind w:firstLine="480"/>
              <w:rPr>
                <w:b/>
                <w:bCs/>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项目地下水、土壤污染识别情况见下表</w:t>
            </w:r>
            <w:r>
              <w:rPr>
                <w:rFonts w:hint="eastAsia" w:ascii="宋体" w:hAnsi="宋体" w:cs="宋体"/>
                <w:color w:val="000000" w:themeColor="text1"/>
                <w:sz w:val="24"/>
                <w14:textFill>
                  <w14:solidFill>
                    <w14:schemeClr w14:val="tx1"/>
                  </w14:solidFill>
                </w14:textFill>
              </w:rPr>
              <w:t>：</w:t>
            </w:r>
          </w:p>
          <w:p w14:paraId="4AEB3F1C">
            <w:pPr>
              <w:spacing w:line="500" w:lineRule="exact"/>
              <w:jc w:val="center"/>
              <w:rPr>
                <w:b/>
                <w:bCs/>
                <w:color w:val="000000" w:themeColor="text1"/>
                <w:sz w:val="24"/>
                <w14:textFill>
                  <w14:solidFill>
                    <w14:schemeClr w14:val="tx1"/>
                  </w14:solidFill>
                </w14:textFill>
              </w:rPr>
            </w:pPr>
            <w:r>
              <w:rPr>
                <w:rFonts w:hint="eastAsia"/>
                <w:b/>
                <w:snapToGrid w:val="0"/>
                <w:color w:val="000000" w:themeColor="text1"/>
                <w:kern w:val="0"/>
                <w:sz w:val="24"/>
                <w14:textFill>
                  <w14:solidFill>
                    <w14:schemeClr w14:val="tx1"/>
                  </w14:solidFill>
                </w14:textFill>
              </w:rPr>
              <w:t>表4-17   地下水、土壤污染识别情况一览表</w:t>
            </w:r>
          </w:p>
          <w:p w14:paraId="3DE0FFA5">
            <w:pPr>
              <w:spacing w:line="500" w:lineRule="exact"/>
              <w:ind w:firstLine="480"/>
              <w:rPr>
                <w:b/>
                <w:bCs/>
                <w:color w:val="000000" w:themeColor="text1"/>
                <w:sz w:val="24"/>
                <w14:textFill>
                  <w14:solidFill>
                    <w14:schemeClr w14:val="tx1"/>
                  </w14:solidFill>
                </w14:textFill>
              </w:rPr>
            </w:pPr>
          </w:p>
          <w:p w14:paraId="7BBC3B0C">
            <w:pPr>
              <w:spacing w:line="500" w:lineRule="exact"/>
              <w:rPr>
                <w:b/>
                <w:bCs/>
                <w:color w:val="000000" w:themeColor="text1"/>
                <w:sz w:val="24"/>
                <w14:textFill>
                  <w14:solidFill>
                    <w14:schemeClr w14:val="tx1"/>
                  </w14:solidFill>
                </w14:textFill>
              </w:rPr>
            </w:pPr>
          </w:p>
          <w:p w14:paraId="7F3240F4">
            <w:pPr>
              <w:spacing w:line="500" w:lineRule="exact"/>
              <w:ind w:firstLine="480"/>
              <w:rPr>
                <w:rFonts w:ascii="宋体" w:hAnsi="宋体" w:cs="宋体"/>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drawing>
                <wp:anchor distT="0" distB="0" distL="114300" distR="114300" simplePos="0" relativeHeight="251662336" behindDoc="0" locked="0" layoutInCell="1" allowOverlap="1">
                  <wp:simplePos x="0" y="0"/>
                  <wp:positionH relativeFrom="column">
                    <wp:posOffset>69850</wp:posOffset>
                  </wp:positionH>
                  <wp:positionV relativeFrom="paragraph">
                    <wp:posOffset>52705</wp:posOffset>
                  </wp:positionV>
                  <wp:extent cx="5768340" cy="945515"/>
                  <wp:effectExtent l="0" t="0" r="7620" b="14605"/>
                  <wp:wrapNone/>
                  <wp:docPr id="66" name="图片 66" descr="168446324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684463245169"/>
                          <pic:cNvPicPr>
                            <a:picLocks noChangeAspect="1"/>
                          </pic:cNvPicPr>
                        </pic:nvPicPr>
                        <pic:blipFill>
                          <a:blip r:embed="rId20"/>
                          <a:stretch>
                            <a:fillRect/>
                          </a:stretch>
                        </pic:blipFill>
                        <pic:spPr>
                          <a:xfrm>
                            <a:off x="0" y="0"/>
                            <a:ext cx="5768340" cy="945515"/>
                          </a:xfrm>
                          <a:prstGeom prst="rect">
                            <a:avLst/>
                          </a:prstGeom>
                        </pic:spPr>
                      </pic:pic>
                    </a:graphicData>
                  </a:graphic>
                </wp:anchor>
              </w:drawing>
            </w:r>
          </w:p>
          <w:p w14:paraId="3F0D2B3B">
            <w:pPr>
              <w:pStyle w:val="2"/>
              <w:rPr>
                <w:rFonts w:ascii="宋体" w:hAnsi="宋体" w:cs="宋体"/>
                <w:b/>
                <w:bCs/>
                <w:color w:val="000000" w:themeColor="text1"/>
                <w:sz w:val="24"/>
                <w14:textFill>
                  <w14:solidFill>
                    <w14:schemeClr w14:val="tx1"/>
                  </w14:solidFill>
                </w14:textFill>
              </w:rPr>
            </w:pPr>
          </w:p>
          <w:p w14:paraId="3F2A608D">
            <w:pPr>
              <w:pStyle w:val="2"/>
              <w:rPr>
                <w:rFonts w:ascii="宋体" w:hAnsi="宋体" w:cs="宋体"/>
                <w:b/>
                <w:bCs/>
                <w:color w:val="000000" w:themeColor="text1"/>
                <w:sz w:val="24"/>
                <w14:textFill>
                  <w14:solidFill>
                    <w14:schemeClr w14:val="tx1"/>
                  </w14:solidFill>
                </w14:textFill>
              </w:rPr>
            </w:pPr>
          </w:p>
          <w:p w14:paraId="7C7ABDE6">
            <w:pPr>
              <w:pStyle w:val="2"/>
              <w:rPr>
                <w:rFonts w:ascii="宋体" w:hAnsi="宋体" w:cs="宋体"/>
                <w:b/>
                <w:bCs/>
                <w:color w:val="000000" w:themeColor="text1"/>
                <w:sz w:val="24"/>
                <w14:textFill>
                  <w14:solidFill>
                    <w14:schemeClr w14:val="tx1"/>
                  </w14:solidFill>
                </w14:textFill>
              </w:rPr>
            </w:pPr>
          </w:p>
          <w:p w14:paraId="45F2CBBF">
            <w:pPr>
              <w:spacing w:line="500" w:lineRule="exact"/>
              <w:ind w:firstLine="480"/>
              <w:rPr>
                <w:rFonts w:ascii="宋体" w:hAnsi="宋体" w:cs="宋体"/>
                <w:b/>
                <w:bCs/>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t xml:space="preserve">5.2地下水、土壤污染防控措施 </w:t>
            </w:r>
          </w:p>
          <w:p w14:paraId="0E7F4903">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1、地下水、土壤污染的途径</w:t>
            </w:r>
          </w:p>
          <w:p w14:paraId="4420BDC6">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项目地下水、土壤污染源包括油罐以及输油管线、加油机、危废暂存间、隔油池、水封井、化粪池以及污水管道等区域，污染源发生泄漏或渗漏会对地下水、土壤产生污染。</w:t>
            </w:r>
          </w:p>
          <w:p w14:paraId="371D2BEC">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项目可能影响地下水的主要途径是垂直入渗，具体方式为：通过泄漏或渗漏污染地下水，污染对象主要为浅部含水层，污染程度除受废水污染物化学成分、浓度及当地的降水、径流和入渗等条件影响外，还受地质结构、岩土成分、厚度、饱和和非饱和渗透性能以及对污染物的吸附滞留能力的影响。由于项目采用了双层罐和双层输油管道，可以有效防控油品泄漏，且储罐内设置了液位仪，可以及时发现储罐泄漏。</w:t>
            </w:r>
          </w:p>
          <w:p w14:paraId="752AD226">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2、地下水、土壤环境防治措施</w:t>
            </w:r>
          </w:p>
          <w:p w14:paraId="06CCFEB5">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储罐的防渗处理应按《汽车加油加气加氢站技术标准》（GB50156-2021）规定执行。储罐防渗的相关要求，具体为：</w:t>
            </w:r>
          </w:p>
          <w:p w14:paraId="015425D2">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（1）根据《加油站地下水污染防治技术指南（试行）》的通知中规定：本项目采用双层SF储油罐，符合《汽车加油加气加氢站技术标准》（GB50156-2021）要求的采取防止汽油渗漏保护措施的防渗方式。</w:t>
            </w:r>
          </w:p>
          <w:p w14:paraId="143BA862">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（2）设有储罐液位显示报警系统、管道泄漏检测系统、双层罐渗漏检测系统和管理系统。具体为：</w:t>
            </w:r>
          </w:p>
          <w:p w14:paraId="4FB768D4">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①储罐液位显示报警系统：储罐液位显示报警系统由磁致伸缩液位计、液位监控仪、声光报警器等组成，设置磁致伸缩液位计；在电控室设置液位监控仪。磁致伸缩液位计上传的数据在液位监控仪界面进行连续监视以及超限集中报警。</w:t>
            </w:r>
          </w:p>
          <w:p w14:paraId="4A3D7F52">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②管道泄漏检测系统：由管道泄漏检测仪和泄漏探测器组成，完成对管道的泄漏检测。泄漏探测器安装在管沟的承重检测井内，管道泄漏检测仪设置在电控室内。</w:t>
            </w:r>
          </w:p>
          <w:p w14:paraId="344A36F8">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③双层罐渗漏检测系统：在电控室设置双层罐渗漏检测仪。</w:t>
            </w:r>
          </w:p>
          <w:p w14:paraId="1E2B9B31">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（3）与土壤接触的钢制储罐外表面，其防腐设计应符合现行行业标准《石油化工设备和管道涂料防腐蚀技术规范》的有关规定，且防腐等级不应低于加强级。</w:t>
            </w:r>
          </w:p>
          <w:p w14:paraId="09ED6B24">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（4）装有潜液泵的储罐人孔操作井、卸料口井、加油机底槽等可能发生渗漏的部位，也应采取相应的防渗措施。</w:t>
            </w:r>
          </w:p>
          <w:p w14:paraId="7433EA5D">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（5）工艺管道材质不使用非金属材料，非金属管件优先选用耐燃料的材料。</w:t>
            </w:r>
          </w:p>
          <w:p w14:paraId="06B2EB06">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3、分区防渗措施</w:t>
            </w:r>
          </w:p>
          <w:p w14:paraId="18EEF4C3">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为确保项目生产运行不会对周围地下水、土壤产生污染，评价建议建设单位应采取分区防治措施，将厂区内按各功能单元所处位置划分为简单防渗区、一般防渗区和重点防渗区。</w:t>
            </w:r>
          </w:p>
          <w:p w14:paraId="22309D6E">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（1）重点防渗区</w:t>
            </w:r>
          </w:p>
          <w:p w14:paraId="3E144E77">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油罐区及卸车区、加油岛、危险废物暂存间、隔油池等区域采用抗渗钢筋混凝土，防渗措施应满足《环境影响评价技术导则地下水环境》（HJ610-2016）中重点防渗措施中“等效黏土防渗层 Mb≥6.0m，K≤10</w:t>
            </w:r>
            <w:r>
              <w:rPr>
                <w:rFonts w:hint="eastAsia"/>
                <w:snapToGrid w:val="0"/>
                <w:color w:val="000000" w:themeColor="text1"/>
                <w:kern w:val="0"/>
                <w:sz w:val="24"/>
                <w:vertAlign w:val="superscript"/>
                <w14:textFill>
                  <w14:solidFill>
                    <w14:schemeClr w14:val="tx1"/>
                  </w14:solidFill>
                </w14:textFill>
              </w:rPr>
              <w:t>-7</w:t>
            </w:r>
            <w:r>
              <w:rPr>
                <w:rFonts w:hint="eastAsia"/>
                <w:snapToGrid w:val="0"/>
                <w:color w:val="000000" w:themeColor="text1"/>
                <w:kern w:val="0"/>
                <w:sz w:val="24"/>
                <w14:textFill>
                  <w14:solidFill>
                    <w14:schemeClr w14:val="tx1"/>
                  </w14:solidFill>
                </w14:textFill>
              </w:rPr>
              <w:t>cm/s；或参照 GB18597 执行”中相关要求。其中危废库应同时满足《危险废物贮存污染控制标准》（GB18597-2023）中“防渗层为至少 1m 厚黏土层（渗透系数不大于10</w:t>
            </w:r>
            <w:r>
              <w:rPr>
                <w:rFonts w:hint="eastAsia"/>
                <w:snapToGrid w:val="0"/>
                <w:color w:val="000000" w:themeColor="text1"/>
                <w:kern w:val="0"/>
                <w:sz w:val="24"/>
                <w:vertAlign w:val="superscript"/>
                <w14:textFill>
                  <w14:solidFill>
                    <w14:schemeClr w14:val="tx1"/>
                  </w14:solidFill>
                </w14:textFill>
              </w:rPr>
              <w:t>-7</w:t>
            </w:r>
            <w:r>
              <w:rPr>
                <w:rFonts w:hint="eastAsia"/>
                <w:snapToGrid w:val="0"/>
                <w:color w:val="000000" w:themeColor="text1"/>
                <w:kern w:val="0"/>
                <w:sz w:val="24"/>
                <w14:textFill>
                  <w14:solidFill>
                    <w14:schemeClr w14:val="tx1"/>
                  </w14:solidFill>
                </w14:textFill>
              </w:rPr>
              <w:t>cm/s），或至少 2mm 厚高密度聚乙烯膜等人工防渗材料（渗透系数不大于10</w:t>
            </w:r>
            <w:r>
              <w:rPr>
                <w:rFonts w:hint="eastAsia"/>
                <w:snapToGrid w:val="0"/>
                <w:color w:val="000000" w:themeColor="text1"/>
                <w:kern w:val="0"/>
                <w:sz w:val="24"/>
                <w:vertAlign w:val="superscript"/>
                <w14:textFill>
                  <w14:solidFill>
                    <w14:schemeClr w14:val="tx1"/>
                  </w14:solidFill>
                </w14:textFill>
              </w:rPr>
              <w:t>-10</w:t>
            </w:r>
            <w:r>
              <w:rPr>
                <w:rFonts w:hint="eastAsia"/>
                <w:snapToGrid w:val="0"/>
                <w:color w:val="000000" w:themeColor="text1"/>
                <w:kern w:val="0"/>
                <w:sz w:val="24"/>
                <w14:textFill>
                  <w14:solidFill>
                    <w14:schemeClr w14:val="tx1"/>
                  </w14:solidFill>
                </w14:textFill>
              </w:rPr>
              <w:t>cm/s），或其他防渗性能等效的材料”。</w:t>
            </w:r>
          </w:p>
          <w:p w14:paraId="2C130C57">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通过上述防渗措施可使重点防渗区各单元防渗层渗透系数≤10</w:t>
            </w:r>
            <w:r>
              <w:rPr>
                <w:rFonts w:hint="eastAsia"/>
                <w:snapToGrid w:val="0"/>
                <w:color w:val="000000" w:themeColor="text1"/>
                <w:kern w:val="0"/>
                <w:sz w:val="24"/>
                <w:vertAlign w:val="superscript"/>
                <w14:textFill>
                  <w14:solidFill>
                    <w14:schemeClr w14:val="tx1"/>
                  </w14:solidFill>
                </w14:textFill>
              </w:rPr>
              <w:t>-7</w:t>
            </w:r>
            <w:r>
              <w:rPr>
                <w:rFonts w:hint="eastAsia"/>
                <w:snapToGrid w:val="0"/>
                <w:color w:val="000000" w:themeColor="text1"/>
                <w:kern w:val="0"/>
                <w:sz w:val="24"/>
                <w14:textFill>
                  <w14:solidFill>
                    <w14:schemeClr w14:val="tx1"/>
                  </w14:solidFill>
                </w14:textFill>
              </w:rPr>
              <w:t>cm/s，等效黏土防渗层 Mb≥6.0m。</w:t>
            </w:r>
          </w:p>
          <w:p w14:paraId="71CD28AA">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（2）一般防渗区</w:t>
            </w:r>
          </w:p>
          <w:p w14:paraId="669DF166">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评价要求在加油区采用抗渗混凝土浇制地面底板，企业在经处理的防腐基体上铺设防渗措施，防渗措施应满足《环境影响评价技术导则地下水环境》（HJ610-2016）中一般防渗措施中“等效黏土防渗层 Mb≥1.5m，K≤10</w:t>
            </w:r>
            <w:r>
              <w:rPr>
                <w:rFonts w:hint="eastAsia"/>
                <w:snapToGrid w:val="0"/>
                <w:color w:val="000000" w:themeColor="text1"/>
                <w:kern w:val="0"/>
                <w:sz w:val="24"/>
                <w:vertAlign w:val="superscript"/>
                <w14:textFill>
                  <w14:solidFill>
                    <w14:schemeClr w14:val="tx1"/>
                  </w14:solidFill>
                </w14:textFill>
              </w:rPr>
              <w:t>-7</w:t>
            </w:r>
            <w:r>
              <w:rPr>
                <w:rFonts w:hint="eastAsia"/>
                <w:snapToGrid w:val="0"/>
                <w:color w:val="000000" w:themeColor="text1"/>
                <w:kern w:val="0"/>
                <w:sz w:val="24"/>
                <w14:textFill>
                  <w14:solidFill>
                    <w14:schemeClr w14:val="tx1"/>
                  </w14:solidFill>
                </w14:textFill>
              </w:rPr>
              <w:t>cm/s；或参照 GB16889 执行”的要求。</w:t>
            </w:r>
          </w:p>
          <w:p w14:paraId="5442C8C5">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（3）简单防渗区</w:t>
            </w:r>
          </w:p>
          <w:p w14:paraId="211D0AEE">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本项目厂区重点污染防治区和一般污染防治区之外的区域为简单污染防治区（站房区），采用抗渗钢筋混凝土浇制地面底板，可达到一般地面硬化要求。</w:t>
            </w:r>
          </w:p>
          <w:p w14:paraId="72390C5F">
            <w:pPr>
              <w:spacing w:line="500" w:lineRule="atLeast"/>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本项目分区防渗措施见下表。</w:t>
            </w:r>
          </w:p>
          <w:p w14:paraId="119C9665">
            <w:pPr>
              <w:spacing w:line="500" w:lineRule="exact"/>
              <w:jc w:val="center"/>
              <w:rPr>
                <w:b/>
                <w:snapToGrid w:val="0"/>
                <w:color w:val="000000" w:themeColor="text1"/>
                <w:kern w:val="0"/>
                <w:sz w:val="24"/>
                <w14:textFill>
                  <w14:solidFill>
                    <w14:schemeClr w14:val="tx1"/>
                  </w14:solidFill>
                </w14:textFill>
              </w:rPr>
            </w:pPr>
            <w:r>
              <w:rPr>
                <w:rFonts w:hint="eastAsia"/>
                <w:b/>
                <w:snapToGrid w:val="0"/>
                <w:color w:val="000000" w:themeColor="text1"/>
                <w:kern w:val="0"/>
                <w:sz w:val="24"/>
                <w14:textFill>
                  <w14:solidFill>
                    <w14:schemeClr w14:val="tx1"/>
                  </w14:solidFill>
                </w14:textFill>
              </w:rPr>
              <w:t>表4-18   项目防渗区及防渗要求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2746"/>
              <w:gridCol w:w="5309"/>
            </w:tblGrid>
            <w:tr w14:paraId="4F84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tcPr>
                <w:p w14:paraId="3F425A29">
                  <w:pPr>
                    <w:spacing w:line="500" w:lineRule="exact"/>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防治分区</w:t>
                  </w:r>
                </w:p>
              </w:tc>
              <w:tc>
                <w:tcPr>
                  <w:tcW w:w="1467" w:type="pct"/>
                </w:tcPr>
                <w:p w14:paraId="6F89BCF2">
                  <w:pPr>
                    <w:spacing w:line="500" w:lineRule="exact"/>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工作区</w:t>
                  </w:r>
                </w:p>
              </w:tc>
              <w:tc>
                <w:tcPr>
                  <w:tcW w:w="2836" w:type="pct"/>
                </w:tcPr>
                <w:p w14:paraId="122278E4">
                  <w:pPr>
                    <w:spacing w:line="500" w:lineRule="exact"/>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防渗技术要求</w:t>
                  </w:r>
                </w:p>
              </w:tc>
            </w:tr>
            <w:tr w14:paraId="7661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tcPr>
                <w:p w14:paraId="2A7E8032">
                  <w:pPr>
                    <w:spacing w:line="5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重点防渗区</w:t>
                  </w:r>
                </w:p>
              </w:tc>
              <w:tc>
                <w:tcPr>
                  <w:tcW w:w="1467" w:type="pct"/>
                </w:tcPr>
                <w:p w14:paraId="5208C738">
                  <w:pPr>
                    <w:spacing w:line="5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油罐区及卸车区、加油岛、危险废物暂存间、隔油池</w:t>
                  </w:r>
                </w:p>
              </w:tc>
              <w:tc>
                <w:tcPr>
                  <w:tcW w:w="2836" w:type="pct"/>
                </w:tcPr>
                <w:p w14:paraId="35CF8D01">
                  <w:pPr>
                    <w:spacing w:line="500" w:lineRule="exact"/>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水泥混凝土结构，等效黏土防渗层 Mb≥6.0m，K≤10</w:t>
                  </w:r>
                  <w:r>
                    <w:rPr>
                      <w:rFonts w:ascii="宋体" w:hAnsi="宋体" w:cs="宋体"/>
                      <w:color w:val="000000" w:themeColor="text1"/>
                      <w:szCs w:val="21"/>
                      <w:vertAlign w:val="superscript"/>
                      <w14:textFill>
                        <w14:solidFill>
                          <w14:schemeClr w14:val="tx1"/>
                        </w14:solidFill>
                      </w14:textFill>
                    </w:rPr>
                    <w:t>-7</w:t>
                  </w:r>
                  <w:r>
                    <w:rPr>
                      <w:rFonts w:ascii="宋体" w:hAnsi="宋体" w:cs="宋体"/>
                      <w:color w:val="000000" w:themeColor="text1"/>
                      <w:szCs w:val="21"/>
                      <w14:textFill>
                        <w14:solidFill>
                          <w14:schemeClr w14:val="tx1"/>
                        </w14:solidFill>
                      </w14:textFill>
                    </w:rPr>
                    <w:t>cm/s，或参照 GB18597 执行</w:t>
                  </w:r>
                </w:p>
              </w:tc>
            </w:tr>
            <w:tr w14:paraId="308D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tcPr>
                <w:p w14:paraId="0B270E34">
                  <w:pPr>
                    <w:spacing w:line="5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一般防渗区</w:t>
                  </w:r>
                </w:p>
              </w:tc>
              <w:tc>
                <w:tcPr>
                  <w:tcW w:w="1467" w:type="pct"/>
                </w:tcPr>
                <w:p w14:paraId="74589BDB">
                  <w:pPr>
                    <w:spacing w:line="5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2836" w:type="pct"/>
                </w:tcPr>
                <w:p w14:paraId="06601EE4">
                  <w:pPr>
                    <w:spacing w:line="500" w:lineRule="exact"/>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等效粘土防渗层 Mb≥1.5m，K≤10</w:t>
                  </w:r>
                  <w:r>
                    <w:rPr>
                      <w:rFonts w:ascii="宋体" w:hAnsi="宋体" w:cs="宋体"/>
                      <w:color w:val="000000" w:themeColor="text1"/>
                      <w:szCs w:val="21"/>
                      <w:vertAlign w:val="superscript"/>
                      <w14:textFill>
                        <w14:solidFill>
                          <w14:schemeClr w14:val="tx1"/>
                        </w14:solidFill>
                      </w14:textFill>
                    </w:rPr>
                    <w:t>-7</w:t>
                  </w:r>
                  <w:r>
                    <w:rPr>
                      <w:rFonts w:ascii="宋体" w:hAnsi="宋体" w:cs="宋体"/>
                      <w:color w:val="000000" w:themeColor="text1"/>
                      <w:szCs w:val="21"/>
                      <w14:textFill>
                        <w14:solidFill>
                          <w14:schemeClr w14:val="tx1"/>
                        </w14:solidFill>
                      </w14:textFill>
                    </w:rPr>
                    <w:t>cm/s；或参照 GB16889 执行</w:t>
                  </w:r>
                </w:p>
              </w:tc>
            </w:tr>
            <w:tr w14:paraId="1F38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tcPr>
                <w:p w14:paraId="4B20A574">
                  <w:pPr>
                    <w:spacing w:line="5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简单防渗区</w:t>
                  </w:r>
                </w:p>
              </w:tc>
              <w:tc>
                <w:tcPr>
                  <w:tcW w:w="1467" w:type="pct"/>
                </w:tcPr>
                <w:p w14:paraId="3E78361F">
                  <w:pPr>
                    <w:spacing w:line="5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站区内道路、站房区域</w:t>
                  </w:r>
                </w:p>
              </w:tc>
              <w:tc>
                <w:tcPr>
                  <w:tcW w:w="2836" w:type="pct"/>
                </w:tcPr>
                <w:p w14:paraId="24C11B14">
                  <w:pPr>
                    <w:spacing w:line="5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一般地面硬化</w:t>
                  </w:r>
                </w:p>
              </w:tc>
            </w:tr>
          </w:tbl>
          <w:p w14:paraId="5AE96D3D">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在采取以上分区防渗等措施后，可有效防止和避免本项目对地下水、土壤环境造成污染。</w:t>
            </w:r>
          </w:p>
          <w:p w14:paraId="4810A7A2">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为了将项目对区域地下水、土壤环境的影响降至最低限度，建议采取以下措施：</w:t>
            </w:r>
          </w:p>
          <w:p w14:paraId="41FBCFF6">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①为了及时准确地掌握厂区及其周围地下水、土壤环境质量状况，坚持分区管理和控制，对可能泄漏危险物质的重点污染防控区进行重点监控。</w:t>
            </w:r>
          </w:p>
          <w:p w14:paraId="7465EF99">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②项目在运行前应编制操作性较强的事故应急预案，组织全厂职工认真学习并实地演习。一旦发生事故排放，可及时查明事故排放原因，做出正确的解决方案，将影响降到最低。</w:t>
            </w:r>
          </w:p>
          <w:p w14:paraId="05A5BB9E">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4、地下水监测井</w:t>
            </w:r>
          </w:p>
          <w:p w14:paraId="421B59C4">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根据《加油站地下水污染防治技术指南（试行）》，处于地下水饮用水水源保护区和补给径流区外的加油站可设一个地下水监测井；地下水监测井应设在埋地油罐区地下水流向的下游，在保证安全的情况下，尽可能靠近埋地油罐。监测井设置的其他要求可参照《场地环境监测技术导则》（HJ/T25.2）执行。本项目拟在站内南侧（地下水流向下游）布设一个地下水监测井，距离罐区约25m，并定期开展地下水常规监测。</w:t>
            </w:r>
          </w:p>
          <w:p w14:paraId="2E4F84FA">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5、地下水跟踪监测计划</w:t>
            </w:r>
          </w:p>
          <w:p w14:paraId="3BAD3D51">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根据《加油站地下水污染防治技术指南》（试行）的规定，项目应建立地下水环境影响跟踪监测计划：</w:t>
            </w:r>
          </w:p>
          <w:p w14:paraId="001625BF">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1）定性监测。可通过肉眼观察、使用测油膏、便携式气体监测仪等其他快速方法判定地下水监测井中是否存在油品污染，定性监测每周一次。</w:t>
            </w:r>
          </w:p>
          <w:p w14:paraId="6CB2B147">
            <w:pPr>
              <w:spacing w:line="500" w:lineRule="atLeas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2）定量监测。若定性监测发现地下水存在油品污染，立即启动定量监测；若定性监测未发现问题，则每季度监测 1 次，具体监测指标见下表。</w:t>
            </w:r>
          </w:p>
          <w:p w14:paraId="1E47E709">
            <w:pPr>
              <w:spacing w:line="500" w:lineRule="exact"/>
              <w:jc w:val="center"/>
              <w:rPr>
                <w:b/>
                <w:snapToGrid w:val="0"/>
                <w:color w:val="000000" w:themeColor="text1"/>
                <w:kern w:val="0"/>
                <w:sz w:val="24"/>
                <w14:textFill>
                  <w14:solidFill>
                    <w14:schemeClr w14:val="tx1"/>
                  </w14:solidFill>
                </w14:textFill>
              </w:rPr>
            </w:pPr>
            <w:r>
              <w:rPr>
                <w:rFonts w:hint="eastAsia"/>
                <w:b/>
                <w:snapToGrid w:val="0"/>
                <w:color w:val="000000" w:themeColor="text1"/>
                <w:kern w:val="0"/>
                <w:sz w:val="24"/>
                <w14:textFill>
                  <w14:solidFill>
                    <w14:schemeClr w14:val="tx1"/>
                  </w14:solidFill>
                </w14:textFill>
              </w:rPr>
              <w:t>表4-18   地下水监测计划</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083"/>
              <w:gridCol w:w="1165"/>
              <w:gridCol w:w="2092"/>
              <w:gridCol w:w="1605"/>
            </w:tblGrid>
            <w:tr w14:paraId="14DC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Align w:val="center"/>
                </w:tcPr>
                <w:p w14:paraId="4776F74C">
                  <w:pPr>
                    <w:spacing w:line="500" w:lineRule="exact"/>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监测点位</w:t>
                  </w:r>
                </w:p>
              </w:tc>
              <w:tc>
                <w:tcPr>
                  <w:tcW w:w="1646" w:type="pct"/>
                  <w:vAlign w:val="center"/>
                </w:tcPr>
                <w:p w14:paraId="39F9ECD6">
                  <w:pPr>
                    <w:spacing w:line="500" w:lineRule="exact"/>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监测因子</w:t>
                  </w:r>
                </w:p>
              </w:tc>
              <w:tc>
                <w:tcPr>
                  <w:tcW w:w="622" w:type="pct"/>
                  <w:vAlign w:val="center"/>
                </w:tcPr>
                <w:p w14:paraId="43FF997F">
                  <w:pPr>
                    <w:spacing w:line="500" w:lineRule="exact"/>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类别</w:t>
                  </w:r>
                </w:p>
              </w:tc>
              <w:tc>
                <w:tcPr>
                  <w:tcW w:w="1117" w:type="pct"/>
                  <w:vAlign w:val="center"/>
                </w:tcPr>
                <w:p w14:paraId="3FB0691D">
                  <w:pPr>
                    <w:spacing w:line="500" w:lineRule="exact"/>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监测频次</w:t>
                  </w:r>
                </w:p>
              </w:tc>
              <w:tc>
                <w:tcPr>
                  <w:tcW w:w="857" w:type="pct"/>
                  <w:vAlign w:val="center"/>
                </w:tcPr>
                <w:p w14:paraId="6DBD5E6A">
                  <w:pPr>
                    <w:spacing w:line="500" w:lineRule="exact"/>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执行标准</w:t>
                  </w:r>
                </w:p>
              </w:tc>
            </w:tr>
            <w:tr w14:paraId="1F58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vAlign w:val="center"/>
                </w:tcPr>
                <w:p w14:paraId="577AE8F8">
                  <w:pPr>
                    <w:spacing w:line="5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地下水监测井</w:t>
                  </w:r>
                </w:p>
              </w:tc>
              <w:tc>
                <w:tcPr>
                  <w:tcW w:w="1646" w:type="pct"/>
                  <w:vMerge w:val="restart"/>
                  <w:vAlign w:val="center"/>
                </w:tcPr>
                <w:p w14:paraId="2148638A">
                  <w:pPr>
                    <w:spacing w:line="500" w:lineRule="exact"/>
                    <w:jc w:val="center"/>
                  </w:pPr>
                  <w:r>
                    <w:rPr>
                      <w:rFonts w:hint="eastAsia"/>
                    </w:rPr>
                    <w:t>萘、苯、甲苯、乙苯、邻二甲苯、间（对）二甲苯、甲基叔丁基醚、石油类</w:t>
                  </w:r>
                </w:p>
              </w:tc>
              <w:tc>
                <w:tcPr>
                  <w:tcW w:w="622" w:type="pct"/>
                  <w:vAlign w:val="center"/>
                </w:tcPr>
                <w:p w14:paraId="711F58C1">
                  <w:pPr>
                    <w:spacing w:line="500" w:lineRule="exact"/>
                    <w:jc w:val="center"/>
                  </w:pPr>
                  <w:r>
                    <w:rPr>
                      <w:rFonts w:hint="eastAsia"/>
                    </w:rPr>
                    <w:t>定性监测</w:t>
                  </w:r>
                </w:p>
              </w:tc>
              <w:tc>
                <w:tcPr>
                  <w:tcW w:w="1117" w:type="pct"/>
                  <w:vAlign w:val="center"/>
                </w:tcPr>
                <w:p w14:paraId="5A9CEA15">
                  <w:pPr>
                    <w:spacing w:line="500" w:lineRule="exact"/>
                    <w:jc w:val="center"/>
                  </w:pPr>
                  <w:r>
                    <w:rPr>
                      <w:rFonts w:hint="eastAsia"/>
                    </w:rPr>
                    <w:t>1 次/周，可通过肉眼观察、使用测</w:t>
                  </w:r>
                </w:p>
                <w:p w14:paraId="50CD1F24">
                  <w:pPr>
                    <w:spacing w:line="500" w:lineRule="exact"/>
                    <w:jc w:val="center"/>
                  </w:pPr>
                  <w:r>
                    <w:rPr>
                      <w:rFonts w:hint="eastAsia"/>
                    </w:rPr>
                    <w:t>油膏、便携式气体监测仪等其他快</w:t>
                  </w:r>
                </w:p>
                <w:p w14:paraId="6830770D">
                  <w:pPr>
                    <w:spacing w:line="500" w:lineRule="exact"/>
                    <w:jc w:val="center"/>
                  </w:pPr>
                  <w:r>
                    <w:rPr>
                      <w:rFonts w:hint="eastAsia"/>
                    </w:rPr>
                    <w:t>速方法判定地下水监测井中是否</w:t>
                  </w:r>
                </w:p>
                <w:p w14:paraId="265418CC">
                  <w:pPr>
                    <w:spacing w:line="500" w:lineRule="exact"/>
                    <w:jc w:val="center"/>
                  </w:pPr>
                  <w:r>
                    <w:rPr>
                      <w:rFonts w:hint="eastAsia"/>
                    </w:rPr>
                    <w:t>存在油品污染</w:t>
                  </w:r>
                </w:p>
              </w:tc>
              <w:tc>
                <w:tcPr>
                  <w:tcW w:w="857" w:type="pct"/>
                  <w:vMerge w:val="restart"/>
                  <w:vAlign w:val="center"/>
                </w:tcPr>
                <w:p w14:paraId="0348133E">
                  <w:pPr>
                    <w:spacing w:line="500" w:lineRule="exact"/>
                    <w:jc w:val="center"/>
                  </w:pPr>
                  <w:r>
                    <w:rPr>
                      <w:rFonts w:hint="eastAsia"/>
                    </w:rPr>
                    <w:t>《地下水质量</w:t>
                  </w:r>
                </w:p>
                <w:p w14:paraId="7F16EFC9">
                  <w:pPr>
                    <w:spacing w:line="500" w:lineRule="exact"/>
                    <w:jc w:val="center"/>
                  </w:pPr>
                  <w:r>
                    <w:rPr>
                      <w:rFonts w:hint="eastAsia"/>
                    </w:rPr>
                    <w:t>标准》</w:t>
                  </w:r>
                </w:p>
                <w:p w14:paraId="2DF9F00D">
                  <w:pPr>
                    <w:spacing w:line="500" w:lineRule="exact"/>
                    <w:jc w:val="center"/>
                  </w:pPr>
                  <w:r>
                    <w:rPr>
                      <w:rFonts w:hint="eastAsia"/>
                    </w:rPr>
                    <w:t>（GB/T14848-2</w:t>
                  </w:r>
                </w:p>
                <w:p w14:paraId="687B0135">
                  <w:pPr>
                    <w:spacing w:line="500" w:lineRule="exact"/>
                    <w:jc w:val="center"/>
                  </w:pPr>
                  <w:r>
                    <w:rPr>
                      <w:rFonts w:hint="eastAsia"/>
                    </w:rPr>
                    <w:t>017）</w:t>
                  </w:r>
                </w:p>
                <w:p w14:paraId="51EA29F7">
                  <w:pPr>
                    <w:spacing w:line="500" w:lineRule="exact"/>
                    <w:jc w:val="center"/>
                    <w:rPr>
                      <w:rFonts w:ascii="宋体" w:hAnsi="宋体" w:cs="宋体"/>
                      <w:color w:val="000000" w:themeColor="text1"/>
                      <w:szCs w:val="21"/>
                      <w14:textFill>
                        <w14:solidFill>
                          <w14:schemeClr w14:val="tx1"/>
                        </w14:solidFill>
                      </w14:textFill>
                    </w:rPr>
                  </w:pPr>
                </w:p>
              </w:tc>
            </w:tr>
            <w:tr w14:paraId="0D0C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vAlign w:val="center"/>
                </w:tcPr>
                <w:p w14:paraId="2D1016FC">
                  <w:pPr>
                    <w:spacing w:line="500" w:lineRule="exact"/>
                    <w:jc w:val="center"/>
                    <w:rPr>
                      <w:rFonts w:ascii="宋体" w:hAnsi="宋体" w:cs="宋体"/>
                      <w:color w:val="000000" w:themeColor="text1"/>
                      <w:szCs w:val="21"/>
                      <w14:textFill>
                        <w14:solidFill>
                          <w14:schemeClr w14:val="tx1"/>
                        </w14:solidFill>
                      </w14:textFill>
                    </w:rPr>
                  </w:pPr>
                </w:p>
              </w:tc>
              <w:tc>
                <w:tcPr>
                  <w:tcW w:w="1646" w:type="pct"/>
                  <w:vMerge w:val="continue"/>
                  <w:vAlign w:val="center"/>
                </w:tcPr>
                <w:p w14:paraId="5D4E9923">
                  <w:pPr>
                    <w:spacing w:line="500" w:lineRule="exact"/>
                    <w:jc w:val="center"/>
                  </w:pPr>
                </w:p>
              </w:tc>
              <w:tc>
                <w:tcPr>
                  <w:tcW w:w="622" w:type="pct"/>
                  <w:vAlign w:val="center"/>
                </w:tcPr>
                <w:p w14:paraId="2B55BA85">
                  <w:pPr>
                    <w:spacing w:line="500" w:lineRule="exact"/>
                    <w:jc w:val="center"/>
                  </w:pPr>
                  <w:r>
                    <w:rPr>
                      <w:rFonts w:hint="eastAsia"/>
                    </w:rPr>
                    <w:t>定量监测</w:t>
                  </w:r>
                </w:p>
              </w:tc>
              <w:tc>
                <w:tcPr>
                  <w:tcW w:w="1117" w:type="pct"/>
                  <w:vAlign w:val="center"/>
                </w:tcPr>
                <w:p w14:paraId="12E13BE3">
                  <w:pPr>
                    <w:spacing w:line="500" w:lineRule="exact"/>
                    <w:jc w:val="center"/>
                  </w:pPr>
                  <w:r>
                    <w:rPr>
                      <w:rFonts w:hint="eastAsia"/>
                    </w:rPr>
                    <w:t>1次/季度</w:t>
                  </w:r>
                </w:p>
              </w:tc>
              <w:tc>
                <w:tcPr>
                  <w:tcW w:w="857" w:type="pct"/>
                  <w:vMerge w:val="continue"/>
                  <w:vAlign w:val="center"/>
                </w:tcPr>
                <w:p w14:paraId="65C33673">
                  <w:pPr>
                    <w:spacing w:line="500" w:lineRule="exact"/>
                    <w:jc w:val="center"/>
                    <w:rPr>
                      <w:rFonts w:ascii="宋体" w:hAnsi="宋体" w:cs="宋体"/>
                      <w:color w:val="000000" w:themeColor="text1"/>
                      <w:szCs w:val="21"/>
                      <w14:textFill>
                        <w14:solidFill>
                          <w14:schemeClr w14:val="tx1"/>
                        </w14:solidFill>
                      </w14:textFill>
                    </w:rPr>
                  </w:pPr>
                </w:p>
              </w:tc>
            </w:tr>
            <w:tr w14:paraId="2F23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vAlign w:val="center"/>
                </w:tcPr>
                <w:p w14:paraId="3D8CAC77">
                  <w:pPr>
                    <w:spacing w:line="500" w:lineRule="exact"/>
                    <w:jc w:val="center"/>
                    <w:rPr>
                      <w:rFonts w:ascii="宋体" w:hAnsi="宋体" w:cs="宋体"/>
                      <w:color w:val="000000" w:themeColor="text1"/>
                      <w:szCs w:val="21"/>
                      <w14:textFill>
                        <w14:solidFill>
                          <w14:schemeClr w14:val="tx1"/>
                        </w14:solidFill>
                      </w14:textFill>
                    </w:rPr>
                  </w:pPr>
                </w:p>
              </w:tc>
              <w:tc>
                <w:tcPr>
                  <w:tcW w:w="1646" w:type="pct"/>
                  <w:vMerge w:val="continue"/>
                  <w:vAlign w:val="center"/>
                </w:tcPr>
                <w:p w14:paraId="58C12047">
                  <w:pPr>
                    <w:spacing w:line="500" w:lineRule="exact"/>
                    <w:jc w:val="center"/>
                  </w:pPr>
                </w:p>
              </w:tc>
              <w:tc>
                <w:tcPr>
                  <w:tcW w:w="622" w:type="pct"/>
                  <w:vAlign w:val="center"/>
                </w:tcPr>
                <w:p w14:paraId="040035D6">
                  <w:pPr>
                    <w:spacing w:line="500" w:lineRule="exact"/>
                    <w:jc w:val="center"/>
                  </w:pPr>
                  <w:r>
                    <w:rPr>
                      <w:rFonts w:hint="eastAsia"/>
                    </w:rPr>
                    <w:t>应急监测</w:t>
                  </w:r>
                </w:p>
              </w:tc>
              <w:tc>
                <w:tcPr>
                  <w:tcW w:w="1117" w:type="pct"/>
                  <w:vAlign w:val="center"/>
                </w:tcPr>
                <w:p w14:paraId="171E17C1">
                  <w:pPr>
                    <w:spacing w:line="500" w:lineRule="exact"/>
                    <w:jc w:val="center"/>
                  </w:pPr>
                  <w:r>
                    <w:rPr>
                      <w:rFonts w:hint="eastAsia"/>
                    </w:rPr>
                    <w:t>定性监测发现地下水存在油品污染，立即启动定量监测</w:t>
                  </w:r>
                </w:p>
              </w:tc>
              <w:tc>
                <w:tcPr>
                  <w:tcW w:w="857" w:type="pct"/>
                  <w:vMerge w:val="continue"/>
                  <w:vAlign w:val="center"/>
                </w:tcPr>
                <w:p w14:paraId="788205C0">
                  <w:pPr>
                    <w:spacing w:line="500" w:lineRule="exact"/>
                    <w:jc w:val="center"/>
                    <w:rPr>
                      <w:rFonts w:ascii="宋体" w:hAnsi="宋体" w:cs="宋体"/>
                      <w:color w:val="000000" w:themeColor="text1"/>
                      <w:szCs w:val="21"/>
                      <w14:textFill>
                        <w14:solidFill>
                          <w14:schemeClr w14:val="tx1"/>
                        </w14:solidFill>
                      </w14:textFill>
                    </w:rPr>
                  </w:pPr>
                </w:p>
              </w:tc>
            </w:tr>
          </w:tbl>
          <w:p w14:paraId="02886A38">
            <w:pPr>
              <w:spacing w:line="500" w:lineRule="atLeast"/>
              <w:ind w:firstLine="482" w:firstLineChars="200"/>
              <w:rPr>
                <w:rFonts w:ascii="宋体" w:hAnsi="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六、风险评价</w:t>
            </w:r>
          </w:p>
          <w:p w14:paraId="465FA6A2">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（1）环境风险识别</w:t>
            </w:r>
          </w:p>
          <w:p w14:paraId="5E8868D9">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风险识别范围包括生产过程中所涉及的物质风险识别和生产设施风险识别。其中物质风险识别主要包括原辅材料、燃料、产品以及生产过程中排放的污染物等；生产设施风险识别的范围主要包括生产装置、贮运系统、公用工程、环保设施等。根据有毒有害物质污染的途径和可能产生的后果，可以把环境风险分为火灾、爆炸、泄漏三种情况下可能对环境造成的污染和破坏，另一种环境风险是环保治理设施出现故障时对周围环境造成突发性污染。</w:t>
            </w:r>
          </w:p>
          <w:p w14:paraId="322B2F10">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根据《建设项目环境风险评价技术导则》（HJ169-2018），本项目涉及的危险物质主要是汽油、柴油，对其进行物质危险性判定。本项目设有4个20m</w:t>
            </w:r>
            <w:r>
              <w:rPr>
                <w:rFonts w:hint="eastAsia" w:ascii="宋体" w:hAnsi="宋体" w:cs="宋体"/>
                <w:color w:val="000000" w:themeColor="text1"/>
                <w:sz w:val="24"/>
                <w:vertAlign w:val="superscript"/>
                <w14:textFill>
                  <w14:solidFill>
                    <w14:schemeClr w14:val="tx1"/>
                  </w14:solidFill>
                </w14:textFill>
              </w:rPr>
              <w:t xml:space="preserve">3 </w:t>
            </w:r>
            <w:r>
              <w:rPr>
                <w:rFonts w:hint="eastAsia" w:ascii="宋体" w:hAnsi="宋体" w:cs="宋体"/>
                <w:color w:val="000000" w:themeColor="text1"/>
                <w:sz w:val="24"/>
                <w14:textFill>
                  <w14:solidFill>
                    <w14:schemeClr w14:val="tx1"/>
                  </w14:solidFill>
                </w14:textFill>
              </w:rPr>
              <w:t>的地埋汽油储罐、1 个 20m</w:t>
            </w:r>
            <w:r>
              <w:rPr>
                <w:rFonts w:hint="eastAsia" w:ascii="宋体" w:hAnsi="宋体" w:cs="宋体"/>
                <w:color w:val="000000" w:themeColor="text1"/>
                <w:sz w:val="24"/>
                <w:vertAlign w:val="superscript"/>
                <w14:textFill>
                  <w14:solidFill>
                    <w14:schemeClr w14:val="tx1"/>
                  </w14:solidFill>
                </w14:textFill>
              </w:rPr>
              <w:t xml:space="preserve">3 </w:t>
            </w:r>
            <w:r>
              <w:rPr>
                <w:rFonts w:hint="eastAsia" w:ascii="宋体" w:hAnsi="宋体" w:cs="宋体"/>
                <w:color w:val="000000" w:themeColor="text1"/>
                <w:sz w:val="24"/>
                <w14:textFill>
                  <w14:solidFill>
                    <w14:schemeClr w14:val="tx1"/>
                  </w14:solidFill>
                </w14:textFill>
              </w:rPr>
              <w:t>的地埋柴油储罐，汽油密度按照725kg/m</w:t>
            </w:r>
            <w:r>
              <w:rPr>
                <w:rFonts w:hint="eastAsia" w:ascii="宋体" w:hAnsi="宋体" w:cs="宋体"/>
                <w:color w:val="000000" w:themeColor="text1"/>
                <w:sz w:val="24"/>
                <w:vertAlign w:val="superscript"/>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，柴油密度按照840kg/m</w:t>
            </w:r>
            <w:r>
              <w:rPr>
                <w:rFonts w:hint="eastAsia" w:ascii="宋体" w:hAnsi="宋体" w:cs="宋体"/>
                <w:color w:val="000000" w:themeColor="text1"/>
                <w:sz w:val="24"/>
                <w:vertAlign w:val="superscript"/>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，储罐装填系数为 0.95，则汽油最大存储量为85.5t，柴油最大存储量为48.45t。险物质临界量具体情况见下表。</w:t>
            </w:r>
          </w:p>
          <w:p w14:paraId="3DB957AC">
            <w:pPr>
              <w:spacing w:line="500" w:lineRule="exact"/>
              <w:jc w:val="center"/>
              <w:rPr>
                <w:rFonts w:ascii="宋体" w:hAnsi="宋体" w:cs="宋体"/>
                <w:color w:val="000000" w:themeColor="text1"/>
                <w:sz w:val="24"/>
                <w14:textFill>
                  <w14:solidFill>
                    <w14:schemeClr w14:val="tx1"/>
                  </w14:solidFill>
                </w14:textFill>
              </w:rPr>
            </w:pPr>
            <w:r>
              <w:rPr>
                <w:rFonts w:hint="eastAsia"/>
                <w:b/>
                <w:snapToGrid w:val="0"/>
                <w:color w:val="000000" w:themeColor="text1"/>
                <w:kern w:val="0"/>
                <w:sz w:val="24"/>
                <w14:textFill>
                  <w14:solidFill>
                    <w14:schemeClr w14:val="tx1"/>
                  </w14:solidFill>
                </w14:textFill>
              </w:rPr>
              <w:t xml:space="preserve">表4-19   </w:t>
            </w:r>
            <w:r>
              <w:rPr>
                <w:rFonts w:ascii="宋体" w:hAnsi="宋体" w:cs="宋体"/>
                <w:b/>
                <w:bCs/>
                <w:color w:val="000000" w:themeColor="text1"/>
                <w:sz w:val="24"/>
                <w14:textFill>
                  <w14:solidFill>
                    <w14:schemeClr w14:val="tx1"/>
                  </w14:solidFill>
                </w14:textFill>
              </w:rPr>
              <w:t>项目主要化学品储存量一览表</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3086"/>
              <w:gridCol w:w="2873"/>
              <w:gridCol w:w="1995"/>
            </w:tblGrid>
            <w:tr w14:paraId="21E5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14:paraId="0A6539AE">
                  <w:pPr>
                    <w:spacing w:line="500" w:lineRule="exact"/>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物质名称</w:t>
                  </w:r>
                </w:p>
              </w:tc>
              <w:tc>
                <w:tcPr>
                  <w:tcW w:w="1648" w:type="pct"/>
                  <w:vAlign w:val="center"/>
                </w:tcPr>
                <w:p w14:paraId="686273AB">
                  <w:pPr>
                    <w:spacing w:line="500" w:lineRule="exact"/>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每种危险物质最大储存量q</w:t>
                  </w:r>
                  <w:r>
                    <w:rPr>
                      <w:rFonts w:hint="eastAsia"/>
                      <w:b/>
                      <w:snapToGrid w:val="0"/>
                      <w:color w:val="000000" w:themeColor="text1"/>
                      <w:kern w:val="0"/>
                      <w:szCs w:val="21"/>
                      <w:vertAlign w:val="subscript"/>
                      <w14:textFill>
                        <w14:solidFill>
                          <w14:schemeClr w14:val="tx1"/>
                        </w14:solidFill>
                      </w14:textFill>
                    </w:rPr>
                    <w:t>n</w:t>
                  </w:r>
                </w:p>
              </w:tc>
              <w:tc>
                <w:tcPr>
                  <w:tcW w:w="1534" w:type="pct"/>
                  <w:vAlign w:val="center"/>
                </w:tcPr>
                <w:p w14:paraId="23FC4E73">
                  <w:pPr>
                    <w:spacing w:line="500" w:lineRule="exact"/>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每种危险物质的临界量Qn</w:t>
                  </w:r>
                </w:p>
              </w:tc>
              <w:tc>
                <w:tcPr>
                  <w:tcW w:w="1065" w:type="pct"/>
                  <w:vAlign w:val="center"/>
                </w:tcPr>
                <w:p w14:paraId="215A57C3">
                  <w:pPr>
                    <w:spacing w:line="500" w:lineRule="exact"/>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q</w:t>
                  </w:r>
                  <w:r>
                    <w:rPr>
                      <w:rFonts w:hint="eastAsia"/>
                      <w:b/>
                      <w:snapToGrid w:val="0"/>
                      <w:color w:val="000000" w:themeColor="text1"/>
                      <w:kern w:val="0"/>
                      <w:szCs w:val="21"/>
                      <w:vertAlign w:val="subscript"/>
                      <w14:textFill>
                        <w14:solidFill>
                          <w14:schemeClr w14:val="tx1"/>
                        </w14:solidFill>
                      </w14:textFill>
                    </w:rPr>
                    <w:t>n/</w:t>
                  </w:r>
                  <w:r>
                    <w:rPr>
                      <w:rFonts w:hint="eastAsia"/>
                      <w:b/>
                      <w:snapToGrid w:val="0"/>
                      <w:color w:val="000000" w:themeColor="text1"/>
                      <w:kern w:val="0"/>
                      <w:szCs w:val="21"/>
                      <w14:textFill>
                        <w14:solidFill>
                          <w14:schemeClr w14:val="tx1"/>
                        </w14:solidFill>
                      </w14:textFill>
                    </w:rPr>
                    <w:t>Qn</w:t>
                  </w:r>
                </w:p>
              </w:tc>
            </w:tr>
            <w:tr w14:paraId="4F6A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14:paraId="014514E8">
                  <w:pPr>
                    <w:spacing w:line="5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汽油</w:t>
                  </w:r>
                </w:p>
              </w:tc>
              <w:tc>
                <w:tcPr>
                  <w:tcW w:w="1648" w:type="pct"/>
                  <w:vAlign w:val="center"/>
                </w:tcPr>
                <w:p w14:paraId="523FBFF4">
                  <w:pPr>
                    <w:spacing w:line="500" w:lineRule="exact"/>
                    <w:jc w:val="center"/>
                  </w:pPr>
                  <w:r>
                    <w:rPr>
                      <w:rFonts w:hint="eastAsia"/>
                    </w:rPr>
                    <w:t>58</w:t>
                  </w:r>
                </w:p>
              </w:tc>
              <w:tc>
                <w:tcPr>
                  <w:tcW w:w="1534" w:type="pct"/>
                  <w:vAlign w:val="center"/>
                </w:tcPr>
                <w:p w14:paraId="72B3CBE8">
                  <w:pPr>
                    <w:spacing w:line="500" w:lineRule="exact"/>
                    <w:jc w:val="center"/>
                  </w:pPr>
                  <w:r>
                    <w:rPr>
                      <w:rFonts w:hint="eastAsia"/>
                    </w:rPr>
                    <w:t>2500</w:t>
                  </w:r>
                </w:p>
              </w:tc>
              <w:tc>
                <w:tcPr>
                  <w:tcW w:w="1065" w:type="pct"/>
                  <w:vAlign w:val="center"/>
                </w:tcPr>
                <w:p w14:paraId="76A26788">
                  <w:pPr>
                    <w:spacing w:line="5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0.0232</w:t>
                  </w:r>
                </w:p>
              </w:tc>
            </w:tr>
            <w:tr w14:paraId="2E24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50" w:type="pct"/>
                  <w:vAlign w:val="center"/>
                </w:tcPr>
                <w:p w14:paraId="4F71CBD5">
                  <w:pPr>
                    <w:spacing w:line="5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柴油</w:t>
                  </w:r>
                </w:p>
              </w:tc>
              <w:tc>
                <w:tcPr>
                  <w:tcW w:w="1648" w:type="pct"/>
                  <w:vAlign w:val="center"/>
                </w:tcPr>
                <w:p w14:paraId="5BA5850A">
                  <w:pPr>
                    <w:spacing w:line="500" w:lineRule="exact"/>
                    <w:jc w:val="center"/>
                  </w:pPr>
                  <w:r>
                    <w:rPr>
                      <w:rFonts w:hint="eastAsia"/>
                    </w:rPr>
                    <w:t>16.8</w:t>
                  </w:r>
                </w:p>
              </w:tc>
              <w:tc>
                <w:tcPr>
                  <w:tcW w:w="1534" w:type="pct"/>
                  <w:vAlign w:val="center"/>
                </w:tcPr>
                <w:p w14:paraId="77EDC897">
                  <w:pPr>
                    <w:spacing w:line="500" w:lineRule="exact"/>
                    <w:jc w:val="center"/>
                  </w:pPr>
                  <w:r>
                    <w:rPr>
                      <w:rFonts w:hint="eastAsia"/>
                    </w:rPr>
                    <w:t>2500</w:t>
                  </w:r>
                </w:p>
              </w:tc>
              <w:tc>
                <w:tcPr>
                  <w:tcW w:w="1065" w:type="pct"/>
                  <w:vAlign w:val="center"/>
                </w:tcPr>
                <w:p w14:paraId="783541A3">
                  <w:pPr>
                    <w:spacing w:line="5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0.00672</w:t>
                  </w:r>
                </w:p>
              </w:tc>
            </w:tr>
          </w:tbl>
          <w:p w14:paraId="3691098D">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根据上表可知，Q＜1，因此判断项目的环境风险潜势为 I，故做简单分析。</w:t>
            </w:r>
          </w:p>
          <w:p w14:paraId="75283CB0">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（2）风险源分布</w:t>
            </w:r>
          </w:p>
          <w:p w14:paraId="23AD1D4E">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项目在生产过程中使用的主要危险物质见下表。</w:t>
            </w:r>
          </w:p>
          <w:p w14:paraId="434A0C6E">
            <w:pPr>
              <w:spacing w:line="500" w:lineRule="exact"/>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表4-20 主要危险物质贮存量一览表</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2515"/>
              <w:gridCol w:w="3445"/>
              <w:gridCol w:w="1994"/>
            </w:tblGrid>
            <w:tr w14:paraId="10A7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14:paraId="0ACBC2AA">
                  <w:pPr>
                    <w:spacing w:line="500" w:lineRule="exact"/>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序号</w:t>
                  </w:r>
                </w:p>
              </w:tc>
              <w:tc>
                <w:tcPr>
                  <w:tcW w:w="1343" w:type="pct"/>
                  <w:vAlign w:val="center"/>
                </w:tcPr>
                <w:p w14:paraId="45F79A0C">
                  <w:pPr>
                    <w:spacing w:line="500" w:lineRule="exact"/>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危险物质</w:t>
                  </w:r>
                </w:p>
              </w:tc>
              <w:tc>
                <w:tcPr>
                  <w:tcW w:w="1840" w:type="pct"/>
                  <w:vAlign w:val="center"/>
                </w:tcPr>
                <w:p w14:paraId="46DD913B">
                  <w:pPr>
                    <w:spacing w:line="500" w:lineRule="exact"/>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风险源分布</w:t>
                  </w:r>
                </w:p>
              </w:tc>
              <w:tc>
                <w:tcPr>
                  <w:tcW w:w="1065" w:type="pct"/>
                  <w:vAlign w:val="center"/>
                </w:tcPr>
                <w:p w14:paraId="3D195A3A">
                  <w:pPr>
                    <w:spacing w:line="500" w:lineRule="exact"/>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可能影响途径</w:t>
                  </w:r>
                </w:p>
              </w:tc>
            </w:tr>
            <w:tr w14:paraId="68706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14:paraId="7AB8E9BC">
                  <w:pPr>
                    <w:spacing w:line="5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1343" w:type="pct"/>
                  <w:vAlign w:val="center"/>
                </w:tcPr>
                <w:p w14:paraId="22EBD805">
                  <w:pPr>
                    <w:spacing w:line="500" w:lineRule="exact"/>
                    <w:jc w:val="center"/>
                  </w:pPr>
                  <w:r>
                    <w:rPr>
                      <w:rFonts w:hint="eastAsia"/>
                    </w:rPr>
                    <w:t>汽油</w:t>
                  </w:r>
                </w:p>
              </w:tc>
              <w:tc>
                <w:tcPr>
                  <w:tcW w:w="1840" w:type="pct"/>
                  <w:vAlign w:val="center"/>
                </w:tcPr>
                <w:p w14:paraId="4CCB0212">
                  <w:pPr>
                    <w:spacing w:line="500" w:lineRule="exact"/>
                    <w:jc w:val="center"/>
                  </w:pPr>
                  <w:r>
                    <w:rPr>
                      <w:rFonts w:hint="eastAsia"/>
                    </w:rPr>
                    <w:t>油罐区</w:t>
                  </w:r>
                </w:p>
              </w:tc>
              <w:tc>
                <w:tcPr>
                  <w:tcW w:w="1065" w:type="pct"/>
                  <w:vAlign w:val="center"/>
                </w:tcPr>
                <w:p w14:paraId="231B469B">
                  <w:pPr>
                    <w:spacing w:line="5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泄露、火灾</w:t>
                  </w:r>
                </w:p>
              </w:tc>
            </w:tr>
            <w:tr w14:paraId="1054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50" w:type="pct"/>
                  <w:vAlign w:val="center"/>
                </w:tcPr>
                <w:p w14:paraId="3B66A9B5">
                  <w:pPr>
                    <w:spacing w:line="5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1343" w:type="pct"/>
                  <w:vAlign w:val="center"/>
                </w:tcPr>
                <w:p w14:paraId="6C89541A">
                  <w:pPr>
                    <w:spacing w:line="500" w:lineRule="exact"/>
                    <w:jc w:val="center"/>
                  </w:pPr>
                  <w:r>
                    <w:rPr>
                      <w:rFonts w:hint="eastAsia"/>
                    </w:rPr>
                    <w:t>柴油</w:t>
                  </w:r>
                </w:p>
              </w:tc>
              <w:tc>
                <w:tcPr>
                  <w:tcW w:w="1840" w:type="pct"/>
                  <w:vAlign w:val="center"/>
                </w:tcPr>
                <w:p w14:paraId="6B6C50FE">
                  <w:pPr>
                    <w:spacing w:line="500" w:lineRule="exact"/>
                    <w:jc w:val="center"/>
                  </w:pPr>
                  <w:r>
                    <w:rPr>
                      <w:rFonts w:hint="eastAsia"/>
                    </w:rPr>
                    <w:t>油罐区</w:t>
                  </w:r>
                </w:p>
              </w:tc>
              <w:tc>
                <w:tcPr>
                  <w:tcW w:w="1065" w:type="pct"/>
                  <w:vAlign w:val="center"/>
                </w:tcPr>
                <w:p w14:paraId="356C21AD">
                  <w:pPr>
                    <w:spacing w:line="5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泄露、火灾</w:t>
                  </w:r>
                </w:p>
              </w:tc>
            </w:tr>
          </w:tbl>
          <w:p w14:paraId="1D239CC9">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（3）环境风险事故情形及影响途径</w:t>
            </w:r>
          </w:p>
          <w:p w14:paraId="7A429B1D">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根据本项目涉及的危险物质，本项目存在的环境风险事故情形及影响途径为：</w:t>
            </w:r>
          </w:p>
          <w:p w14:paraId="6845AE67">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①油罐区、输油管道、加油机因操作失误或设备故障等原因发生汽油、柴油泄露或渗漏，对地表水、地下水以及周边土壤造成污染。</w:t>
            </w:r>
          </w:p>
          <w:p w14:paraId="5440A3D2">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②站区发生油品、亮光蜡泄露或对明火管理不严、操作失误等原因，引发火灾、爆炸事故，产生的 SO</w:t>
            </w:r>
            <w:r>
              <w:rPr>
                <w:rFonts w:hint="eastAsia" w:ascii="宋体" w:hAnsi="宋体" w:cs="宋体"/>
                <w:color w:val="000000" w:themeColor="text1"/>
                <w:sz w:val="24"/>
                <w:vertAlign w:val="subscript"/>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、CO</w:t>
            </w:r>
            <w:r>
              <w:rPr>
                <w:rFonts w:hint="eastAsia" w:ascii="宋体" w:hAnsi="宋体" w:cs="宋体"/>
                <w:color w:val="000000" w:themeColor="text1"/>
                <w:sz w:val="24"/>
                <w:vertAlign w:val="subscript"/>
                <w14:textFill>
                  <w14:solidFill>
                    <w14:schemeClr w14:val="tx1"/>
                  </w14:solidFill>
                </w14:textFill>
              </w:rPr>
              <w:t xml:space="preserve">2 </w:t>
            </w:r>
            <w:r>
              <w:rPr>
                <w:rFonts w:hint="eastAsia" w:ascii="宋体" w:hAnsi="宋体" w:cs="宋体"/>
                <w:color w:val="000000" w:themeColor="text1"/>
                <w:sz w:val="24"/>
                <w14:textFill>
                  <w14:solidFill>
                    <w14:schemeClr w14:val="tx1"/>
                  </w14:solidFill>
                </w14:textFill>
              </w:rPr>
              <w:t>和烟尘等有毒有害烟气对周围环境的影响。</w:t>
            </w:r>
          </w:p>
          <w:p w14:paraId="4ED99989">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③扑救火灾时产生的废含油消防沙、伴随泄漏物料以及污染雨水沿地面漫流，可能会对地表水、地下水产生污染。</w:t>
            </w:r>
          </w:p>
          <w:p w14:paraId="0CE40C57">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④沉淀池、隔油池、化粪池污水以及废暂存间危险废物等区域发生渗漏或泄露，对地表水、地下水以及周边土壤造成污染。</w:t>
            </w:r>
          </w:p>
          <w:p w14:paraId="23BA2AD7">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⑤油气回收装置发生故障或操作失误等原因，造成站区挥发性油气大量排放，站区油气超标，对周边大气造成污染。</w:t>
            </w:r>
          </w:p>
          <w:p w14:paraId="380A4DA7">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（4）环境风险防范措施</w:t>
            </w:r>
          </w:p>
          <w:p w14:paraId="7E51C772">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由于环境风险具有突发性和短暂性及危害较大等特点，必须采取相应有效预防措施加以防范，加强控制和管理，杜绝、减轻和避免环境风险，在项目运营过程中采取以下风险防范措施：</w:t>
            </w:r>
          </w:p>
          <w:p w14:paraId="225D6111">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1）火灾风险防范</w:t>
            </w:r>
          </w:p>
          <w:p w14:paraId="73619E5E">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①加油站站房及罩棚立柱上设置有“严禁烟火”、“停车熄火”、“限速行驶”等安全警示标识，油站内各爆炸危险区域设有安全警示标识，配电房内设有警示标识。</w:t>
            </w:r>
          </w:p>
          <w:p w14:paraId="03056A26">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②项目严格遵守《汽车加油加气站设计与施工规范》（GB50156-2012）中的相关规定，配备相应的消防设备。</w:t>
            </w:r>
          </w:p>
          <w:p w14:paraId="01C5D9CC">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③罩棚采用非燃烧材料制作，站内地面建设为不发生火花的地面。</w:t>
            </w:r>
          </w:p>
          <w:p w14:paraId="1E411E1D">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2）土壤及地下水风险防范措施</w:t>
            </w:r>
          </w:p>
          <w:p w14:paraId="432CEF16">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①油罐为地埋式，采用双层卧式储油罐；</w:t>
            </w:r>
          </w:p>
          <w:p w14:paraId="2DDCE5CD">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②油罐安装具有高液位报警功能的液位监测系统，液位监测系统具备渗漏检测功能，其渗漏检测分辨率不大于 0.8L/h；</w:t>
            </w:r>
          </w:p>
          <w:p w14:paraId="0E68B5E7">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③油罐的各接合管均设在油罐的顶部，油罐进行防雷、防静电设置；油罐均采用独立的通气管，通气管高出地面 4m，通气管管安装阻火器。</w:t>
            </w:r>
          </w:p>
          <w:p w14:paraId="62171CE2">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④站内输油管线采用热塑性双层复合管道，除必须露出地面的以外，均采用埋地敷设；</w:t>
            </w:r>
          </w:p>
          <w:p w14:paraId="2BBBEC42">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⑤油罐人孔操作井底部为 80mm 厚的 C15 防水混凝土垫层，防水水泥砂浆抹缝，满足防渗漏要求；</w:t>
            </w:r>
          </w:p>
          <w:p w14:paraId="636377DE">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⑥卸油口内壁及地面采用 1：2 防水水泥砂浆抹面做成防渗层，满足防渗漏要求；</w:t>
            </w:r>
          </w:p>
          <w:p w14:paraId="79FA5BF5">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⑦加油机下方采取配套的防渗底座，管道穿过井壁使用专用密封装置，确保操作井密封；</w:t>
            </w:r>
          </w:p>
          <w:p w14:paraId="14A6BDD1">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⑧油罐区、加油管线、加油机底槽、沉淀池、隔油池、水封井、危险废物暂存间等区域进行重点防渗，满足等效黏土层 Mb≥6.0m，且 Kb≤10</w:t>
            </w:r>
            <w:r>
              <w:rPr>
                <w:rFonts w:hint="eastAsia" w:ascii="宋体" w:hAnsi="宋体" w:cs="宋体"/>
                <w:color w:val="000000" w:themeColor="text1"/>
                <w:sz w:val="24"/>
                <w:vertAlign w:val="superscript"/>
                <w14:textFill>
                  <w14:solidFill>
                    <w14:schemeClr w14:val="tx1"/>
                  </w14:solidFill>
                </w14:textFill>
              </w:rPr>
              <w:t>-7</w:t>
            </w:r>
            <w:r>
              <w:rPr>
                <w:rFonts w:hint="eastAsia" w:ascii="宋体" w:hAnsi="宋体" w:cs="宋体"/>
                <w:color w:val="000000" w:themeColor="text1"/>
                <w:sz w:val="24"/>
                <w14:textFill>
                  <w14:solidFill>
                    <w14:schemeClr w14:val="tx1"/>
                  </w14:solidFill>
                </w14:textFill>
              </w:rPr>
              <w:t>cm/s 技术要求；</w:t>
            </w:r>
          </w:p>
          <w:p w14:paraId="5BCCBF7C">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⑨定期对化粪池、沉淀池、隔油池以及水封井，进行检查和清理，防治污水在化粪池、沉淀池、隔油池或水封井中堵塞、於积，发生泄露或渗漏；</w:t>
            </w:r>
          </w:p>
          <w:p w14:paraId="58DAD99A">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⑩加强日常储存及作业管理，定期进行测试和油品泄露监测，在发生泄露事故时采取紧急预案。如发生渗漏，应在大于污染区外适当的地方挖开隔离带进行防控，将污染区内土质全部替换等。</w:t>
            </w:r>
          </w:p>
          <w:p w14:paraId="5EDAD5D1">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3）地表水环境风险防范措施</w:t>
            </w:r>
          </w:p>
          <w:p w14:paraId="0C4989D9">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①加油区设置环形截留沟，环保沟按照一定坡度进行设计。事故状态下，站区泄露的油品、消防洗消废水经地面散流至环形截留沟进行拦截，进入隔油池进行收集、处置；</w:t>
            </w:r>
          </w:p>
          <w:p w14:paraId="7C39F1EA">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②雨水排水管道应设置切换阀，对初期雨水有效收集，并保证事故状态下能够有效切断泄漏液体和污水进入外环境或者雨水系统；</w:t>
            </w:r>
          </w:p>
          <w:p w14:paraId="5602A507">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③及时处置隔油池中收集的事故废水、废液，保证达标排放或妥善处置，处理达标的废水可排入市政污水管网，无法处理达标的废水须收集委托有资质单位进行处置。</w:t>
            </w:r>
          </w:p>
          <w:p w14:paraId="3E81E3AC">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4）大气环境风险防范措施</w:t>
            </w:r>
          </w:p>
          <w:p w14:paraId="18080711">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①项目储油罐密闭储存，油罐周围、油罐顶部、油罐与罐基础之间、罐与罐之间全部回填干净的沙子或细土，油罐周围的细沙厚度不小于 0.3m，油罐顶部覆土厚度不小于 0.5m；</w:t>
            </w:r>
          </w:p>
          <w:p w14:paraId="0703D8E4">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②油罐车卸油采用密闭卸油方式，油品统一设置密闭卸油点，集中布置，便于集中管理，卸油接口装设快速接头及密封盖；</w:t>
            </w:r>
          </w:p>
          <w:p w14:paraId="39A461C5">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③站内工艺管道采用埋地设置，埋深大于 0.4m。敷设在混凝土场地或道路下面的管道，管顶低于混凝土表面 0.7m。管道四周回填大于 100 mm 厚中性沙子或细土；</w:t>
            </w:r>
          </w:p>
          <w:p w14:paraId="72478C38">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④加油机按照规范布置在罩棚下、敞开空间，避免有害气体的聚积；</w:t>
            </w:r>
          </w:p>
          <w:p w14:paraId="3DDB2F63">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⑤加油枪采用自封式加油枪，汽油加油枪的流量不大于 50L/min；</w:t>
            </w:r>
          </w:p>
          <w:p w14:paraId="1CB5CA4D">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⑥汽油罐通气管公称直径为 DN50，管口高出地面 4m，除设阻火器外，汽油通气管管口还设有机械呼吸阀；</w:t>
            </w:r>
          </w:p>
          <w:p w14:paraId="051E9D94">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⑦加油机面板处自带静电释放装置；</w:t>
            </w:r>
          </w:p>
          <w:p w14:paraId="028FF3B0">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⑧加油站必须为作业人员配置防静电工作服装、鞋、帽；</w:t>
            </w:r>
          </w:p>
          <w:p w14:paraId="67844DE6">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⑨定期对油气回收系统装置进行检查和维护，规范加油人员、卸油人员标准化操作，减少油气不正常排放。现场工作发现站区油气浓度异常时，及时停止作业并对加油站设备进行排查，直至问题发现并解决为止。同时建设单位应定期委托有资质单位对油气回收系统进行检测，及时发现问题。</w:t>
            </w:r>
          </w:p>
          <w:p w14:paraId="59AD5BC7">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5）突发环境事件应急预案编制要求</w:t>
            </w:r>
          </w:p>
          <w:p w14:paraId="6AA6CF5C">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根据《企事业单位突发环境事件应急预案备案管理办法（试行）》（环发〔2015〕4 号）要求，通过对事故的环境风险评价，建设单位在投产前应制定详细的防止环境污染事故发生应急预案、消除事故隐患的措施及应急处理办法。建设单位应根据环境污染事故应急预案编制技术指南要求编制应急预案，并邀请专家评审，审查合格后实施运行，并报送生态环境主管部门进行备案。</w:t>
            </w:r>
          </w:p>
          <w:p w14:paraId="1C6DF61C">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（5）风险结论</w:t>
            </w:r>
          </w:p>
          <w:p w14:paraId="4187430C">
            <w:pPr>
              <w:spacing w:line="50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可能发生事故的类型主要有：储罐溢出、泄漏事故，加油机火灾、爆炸伴生/次生污染事故，其中以储罐溢出、泄露事故对环境的影响最为严重。项目在储罐区建有观察井，只要做好日常检测和定期维护保养，就可及时发现泄露问题。在采取相应的预防措施，并加强管理后，预计本项目发生各类事故的概率很小，上述风险事故隐患可降至可接受水平。</w:t>
            </w:r>
          </w:p>
          <w:p w14:paraId="7D240A02">
            <w:pPr>
              <w:spacing w:line="500" w:lineRule="atLeast"/>
              <w:ind w:firstLine="480" w:firstLineChars="20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本次评价建议，建设单位应尽快编制突发环境风险事件应急预案，并组织单位所有员工进行学习，充分掌握应尽职责。定期安排有关人员进行培训与演练，一旦发生事故，应立即启动应急预案，尽可能的降低事故造成的危害程度。</w:t>
            </w:r>
          </w:p>
          <w:p w14:paraId="6AA0E915">
            <w:pPr>
              <w:spacing w:line="500" w:lineRule="atLeast"/>
              <w:ind w:firstLine="482" w:firstLineChars="200"/>
              <w:rPr>
                <w:rFonts w:eastAsia="Times New Roman"/>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七</w:t>
            </w:r>
            <w:r>
              <w:rPr>
                <w:rFonts w:hint="eastAsia" w:ascii="宋体" w:hAnsi="宋体" w:cs="宋体"/>
                <w:b/>
                <w:bCs/>
                <w:color w:val="000000" w:themeColor="text1"/>
                <w:sz w:val="24"/>
                <w14:textFill>
                  <w14:solidFill>
                    <w14:schemeClr w14:val="tx1"/>
                  </w14:solidFill>
                </w14:textFill>
              </w:rPr>
              <w:t>、生态环境</w:t>
            </w:r>
          </w:p>
          <w:p w14:paraId="3A1ABC4C">
            <w:pPr>
              <w:spacing w:line="500" w:lineRule="atLeast"/>
              <w:ind w:firstLine="48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本项目位于固镇县建成区内，用地范围内无生态环境保护目标。</w:t>
            </w:r>
          </w:p>
          <w:p w14:paraId="2EB67824">
            <w:pPr>
              <w:snapToGrid w:val="0"/>
              <w:spacing w:line="500" w:lineRule="atLeas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八、</w:t>
            </w:r>
            <w:r>
              <w:rPr>
                <w:b/>
                <w:color w:val="000000" w:themeColor="text1"/>
                <w:sz w:val="24"/>
                <w14:textFill>
                  <w14:solidFill>
                    <w14:schemeClr w14:val="tx1"/>
                  </w14:solidFill>
                </w14:textFill>
              </w:rPr>
              <w:t>环保投资</w:t>
            </w:r>
          </w:p>
          <w:p w14:paraId="292BD053">
            <w:pPr>
              <w:spacing w:line="500" w:lineRule="atLeas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本项目总投资</w:t>
            </w:r>
            <w:r>
              <w:rPr>
                <w:rFonts w:hint="eastAsia"/>
                <w:bCs/>
                <w:color w:val="000000" w:themeColor="text1"/>
                <w:sz w:val="24"/>
                <w14:textFill>
                  <w14:solidFill>
                    <w14:schemeClr w14:val="tx1"/>
                  </w14:solidFill>
                </w14:textFill>
              </w:rPr>
              <w:t>194.5万</w:t>
            </w:r>
            <w:r>
              <w:rPr>
                <w:bCs/>
                <w:color w:val="000000" w:themeColor="text1"/>
                <w:sz w:val="24"/>
                <w14:textFill>
                  <w14:solidFill>
                    <w14:schemeClr w14:val="tx1"/>
                  </w14:solidFill>
                </w14:textFill>
              </w:rPr>
              <w:t>元</w:t>
            </w:r>
            <w:r>
              <w:rPr>
                <w:color w:val="000000" w:themeColor="text1"/>
                <w:sz w:val="24"/>
                <w14:textFill>
                  <w14:solidFill>
                    <w14:schemeClr w14:val="tx1"/>
                  </w14:solidFill>
                </w14:textFill>
              </w:rPr>
              <w:t>，预计环保投资</w:t>
            </w:r>
            <w:r>
              <w:rPr>
                <w:rFonts w:hint="eastAsia"/>
                <w:color w:val="000000" w:themeColor="text1"/>
                <w:sz w:val="24"/>
                <w14:textFill>
                  <w14:solidFill>
                    <w14:schemeClr w14:val="tx1"/>
                  </w14:solidFill>
                </w14:textFill>
              </w:rPr>
              <w:t>40</w:t>
            </w:r>
            <w:r>
              <w:rPr>
                <w:color w:val="000000" w:themeColor="text1"/>
                <w:sz w:val="24"/>
                <w14:textFill>
                  <w14:solidFill>
                    <w14:schemeClr w14:val="tx1"/>
                  </w14:solidFill>
                </w14:textFill>
              </w:rPr>
              <w:t>万元，占总投资的</w:t>
            </w:r>
            <w:r>
              <w:rPr>
                <w:rFonts w:hint="eastAsia"/>
                <w:color w:val="000000" w:themeColor="text1"/>
                <w:sz w:val="24"/>
                <w14:textFill>
                  <w14:solidFill>
                    <w14:schemeClr w14:val="tx1"/>
                  </w14:solidFill>
                </w14:textFill>
              </w:rPr>
              <w:t>20.57</w:t>
            </w:r>
            <w:r>
              <w:rPr>
                <w:color w:val="000000" w:themeColor="text1"/>
                <w:sz w:val="24"/>
                <w14:textFill>
                  <w14:solidFill>
                    <w14:schemeClr w14:val="tx1"/>
                  </w14:solidFill>
                </w14:textFill>
              </w:rPr>
              <w:t>%。</w:t>
            </w:r>
          </w:p>
          <w:p w14:paraId="10E3D26D">
            <w:pPr>
              <w:spacing w:line="500" w:lineRule="atLeast"/>
              <w:ind w:firstLine="482" w:firstLineChars="200"/>
              <w:jc w:val="center"/>
              <w:rPr>
                <w:b/>
                <w:bCs/>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19</w:t>
            </w:r>
            <w:r>
              <w:rPr>
                <w:b/>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环保投资估算及</w:t>
            </w:r>
            <w:r>
              <w:rPr>
                <w:rFonts w:hint="eastAsia"/>
                <w:b/>
                <w:bCs/>
                <w:color w:val="000000" w:themeColor="text1"/>
                <w:sz w:val="24"/>
                <w14:textFill>
                  <w14:solidFill>
                    <w14:schemeClr w14:val="tx1"/>
                  </w14:solidFill>
                </w14:textFill>
              </w:rPr>
              <w:t>“三同时”验收一览表</w:t>
            </w:r>
          </w:p>
          <w:tbl>
            <w:tblPr>
              <w:tblStyle w:val="27"/>
              <w:tblpPr w:leftFromText="180" w:rightFromText="180" w:vertAnchor="text" w:horzAnchor="margin" w:tblpY="114"/>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01"/>
              <w:gridCol w:w="959"/>
              <w:gridCol w:w="2881"/>
              <w:gridCol w:w="2575"/>
              <w:gridCol w:w="639"/>
              <w:gridCol w:w="584"/>
            </w:tblGrid>
            <w:tr w14:paraId="1F20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27" w:type="pct"/>
                  <w:vAlign w:val="center"/>
                </w:tcPr>
                <w:p w14:paraId="0F0C6403">
                  <w:pPr>
                    <w:ind w:left="-195" w:leftChars="-93" w:right="-162" w:rightChars="-77"/>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类</w:t>
                  </w:r>
                </w:p>
                <w:p w14:paraId="69657458">
                  <w:pPr>
                    <w:ind w:left="-195" w:leftChars="-93" w:right="-162" w:rightChars="-77"/>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别</w:t>
                  </w:r>
                </w:p>
              </w:tc>
              <w:tc>
                <w:tcPr>
                  <w:tcW w:w="695" w:type="pct"/>
                  <w:vAlign w:val="center"/>
                </w:tcPr>
                <w:p w14:paraId="742D491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污染源</w:t>
                  </w:r>
                </w:p>
              </w:tc>
              <w:tc>
                <w:tcPr>
                  <w:tcW w:w="510" w:type="pct"/>
                  <w:vAlign w:val="center"/>
                </w:tcPr>
                <w:p w14:paraId="085980CD">
                  <w:pPr>
                    <w:ind w:left="-172" w:leftChars="-82" w:right="-199" w:rightChars="-95"/>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1538" w:type="pct"/>
                  <w:vAlign w:val="center"/>
                </w:tcPr>
                <w:p w14:paraId="6CAEE7C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主要措施说明</w:t>
                  </w:r>
                </w:p>
              </w:tc>
              <w:tc>
                <w:tcPr>
                  <w:tcW w:w="1374" w:type="pct"/>
                  <w:vAlign w:val="center"/>
                </w:tcPr>
                <w:p w14:paraId="0CFDA2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预期效果</w:t>
                  </w:r>
                </w:p>
              </w:tc>
              <w:tc>
                <w:tcPr>
                  <w:tcW w:w="341" w:type="pct"/>
                  <w:vAlign w:val="center"/>
                </w:tcPr>
                <w:p w14:paraId="79440BF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w:t>
                  </w:r>
                </w:p>
                <w:p w14:paraId="428AE3BC">
                  <w:pPr>
                    <w:ind w:left="-250" w:leftChars="-119" w:right="-340" w:rightChars="-16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（万元）</w:t>
                  </w:r>
                </w:p>
              </w:tc>
              <w:tc>
                <w:tcPr>
                  <w:tcW w:w="311" w:type="pct"/>
                  <w:vAlign w:val="center"/>
                </w:tcPr>
                <w:p w14:paraId="654F6C5A">
                  <w:pPr>
                    <w:tabs>
                      <w:tab w:val="left" w:pos="304"/>
                    </w:tabs>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完成</w:t>
                  </w:r>
                </w:p>
                <w:p w14:paraId="32FC965B">
                  <w:pPr>
                    <w:ind w:left="-120" w:leftChars="-57" w:right="-61" w:rightChars="-29"/>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时间</w:t>
                  </w:r>
                </w:p>
              </w:tc>
            </w:tr>
            <w:tr w14:paraId="5C53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7" w:hRule="atLeast"/>
              </w:trPr>
              <w:tc>
                <w:tcPr>
                  <w:tcW w:w="227" w:type="pct"/>
                  <w:vMerge w:val="restart"/>
                  <w:vAlign w:val="center"/>
                </w:tcPr>
                <w:p w14:paraId="4F90D7DD">
                  <w:pPr>
                    <w:ind w:left="-172" w:leftChars="-82" w:right="-199" w:rightChars="-95"/>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w:t>
                  </w:r>
                </w:p>
                <w:p w14:paraId="02B61A9F">
                  <w:pPr>
                    <w:ind w:left="-172" w:leftChars="-82" w:right="-199" w:rightChars="-95"/>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气</w:t>
                  </w:r>
                </w:p>
              </w:tc>
              <w:tc>
                <w:tcPr>
                  <w:tcW w:w="695" w:type="pct"/>
                  <w:vAlign w:val="center"/>
                </w:tcPr>
                <w:p w14:paraId="1F27F75E">
                  <w:pPr>
                    <w:ind w:left="-172" w:leftChars="-82" w:right="-199" w:rightChars="-95"/>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站区</w:t>
                  </w:r>
                </w:p>
                <w:p w14:paraId="5B498E11">
                  <w:pPr>
                    <w:ind w:left="-172" w:leftChars="-82" w:right="-199" w:rightChars="-95"/>
                    <w:jc w:val="center"/>
                    <w:rPr>
                      <w:color w:val="000000" w:themeColor="text1"/>
                      <w:szCs w:val="21"/>
                      <w14:textFill>
                        <w14:solidFill>
                          <w14:schemeClr w14:val="tx1"/>
                        </w14:solidFill>
                      </w14:textFill>
                    </w:rPr>
                  </w:pPr>
                </w:p>
              </w:tc>
              <w:tc>
                <w:tcPr>
                  <w:tcW w:w="510" w:type="pct"/>
                  <w:vAlign w:val="center"/>
                </w:tcPr>
                <w:p w14:paraId="2FDC068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非甲烷</w:t>
                  </w:r>
                </w:p>
                <w:p w14:paraId="26F26505">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总烃</w:t>
                  </w:r>
                </w:p>
              </w:tc>
              <w:tc>
                <w:tcPr>
                  <w:tcW w:w="1538" w:type="pct"/>
                  <w:vAlign w:val="center"/>
                </w:tcPr>
                <w:p w14:paraId="3C1A48B5">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卸油（油罐大呼吸）产生的非甲烷总烃由密闭管道输送至油罐车内带走处理；油罐小呼吸（日常储油）及加油作业产生的非甲烷总烃经油气回收系统处理，处理后经4m高DA001放气管以无组织形式外排至大气中</w:t>
                  </w:r>
                </w:p>
              </w:tc>
              <w:tc>
                <w:tcPr>
                  <w:tcW w:w="1374" w:type="pct"/>
                  <w:vMerge w:val="restart"/>
                  <w:vAlign w:val="center"/>
                </w:tcPr>
                <w:p w14:paraId="57642411">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满足《加油站大气污染物排放标准》（GB20952-2020）中的排放限值的要求</w:t>
                  </w:r>
                </w:p>
              </w:tc>
              <w:tc>
                <w:tcPr>
                  <w:tcW w:w="341" w:type="pct"/>
                  <w:vMerge w:val="restart"/>
                  <w:vAlign w:val="center"/>
                </w:tcPr>
                <w:p w14:paraId="37C871A0">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13</w:t>
                  </w:r>
                </w:p>
                <w:p w14:paraId="1FBBCB9D">
                  <w:pPr>
                    <w:jc w:val="center"/>
                    <w:rPr>
                      <w:bCs/>
                      <w:color w:val="000000" w:themeColor="text1"/>
                      <w:szCs w:val="21"/>
                      <w14:textFill>
                        <w14:solidFill>
                          <w14:schemeClr w14:val="tx1"/>
                        </w14:solidFill>
                      </w14:textFill>
                    </w:rPr>
                  </w:pPr>
                </w:p>
              </w:tc>
              <w:tc>
                <w:tcPr>
                  <w:tcW w:w="311" w:type="pct"/>
                  <w:vMerge w:val="restart"/>
                  <w:vAlign w:val="center"/>
                </w:tcPr>
                <w:p w14:paraId="027EFA44">
                  <w:pPr>
                    <w:adjustRightInd w:val="0"/>
                    <w:ind w:left="-105" w:leftChars="-50" w:right="-105" w:rightChars="-5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与建设项目同时设计，同时施工，同时投入使用</w:t>
                  </w:r>
                </w:p>
              </w:tc>
            </w:tr>
            <w:tr w14:paraId="3EFD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27" w:type="pct"/>
                  <w:vMerge w:val="restart"/>
                  <w:vAlign w:val="center"/>
                </w:tcPr>
                <w:p w14:paraId="10394EA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695" w:type="pct"/>
                  <w:vAlign w:val="center"/>
                </w:tcPr>
                <w:p w14:paraId="018AAC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w:t>
                  </w:r>
                </w:p>
                <w:p w14:paraId="3FFC99A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w:t>
                  </w:r>
                </w:p>
              </w:tc>
              <w:tc>
                <w:tcPr>
                  <w:tcW w:w="510" w:type="pct"/>
                  <w:vAlign w:val="center"/>
                </w:tcPr>
                <w:p w14:paraId="589EC0C8">
                  <w:pPr>
                    <w:ind w:left="-105" w:leftChars="-50" w:right="-105" w:rightChars="-5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COD</w:t>
                  </w:r>
                </w:p>
                <w:p w14:paraId="5D56914C">
                  <w:pPr>
                    <w:ind w:left="-105" w:leftChars="-50" w:right="-105" w:rightChars="-5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SS</w:t>
                  </w:r>
                </w:p>
                <w:p w14:paraId="5D10E5E0">
                  <w:pPr>
                    <w:ind w:left="-105" w:leftChars="-50" w:right="-105" w:rightChars="-5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NH</w:t>
                  </w:r>
                  <w:r>
                    <w:rPr>
                      <w:snapToGrid w:val="0"/>
                      <w:color w:val="000000" w:themeColor="text1"/>
                      <w:kern w:val="0"/>
                      <w:szCs w:val="21"/>
                      <w:vertAlign w:val="subscript"/>
                      <w14:textFill>
                        <w14:solidFill>
                          <w14:schemeClr w14:val="tx1"/>
                        </w14:solidFill>
                      </w14:textFill>
                    </w:rPr>
                    <w:t>3</w:t>
                  </w:r>
                  <w:r>
                    <w:rPr>
                      <w:snapToGrid w:val="0"/>
                      <w:color w:val="000000" w:themeColor="text1"/>
                      <w:kern w:val="0"/>
                      <w:szCs w:val="21"/>
                      <w14:textFill>
                        <w14:solidFill>
                          <w14:schemeClr w14:val="tx1"/>
                        </w14:solidFill>
                      </w14:textFill>
                    </w:rPr>
                    <w:t>-N</w:t>
                  </w:r>
                </w:p>
              </w:tc>
              <w:tc>
                <w:tcPr>
                  <w:tcW w:w="1538" w:type="pct"/>
                  <w:vAlign w:val="center"/>
                </w:tcPr>
                <w:p w14:paraId="6C4FB756">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化粪池</w:t>
                  </w:r>
                </w:p>
              </w:tc>
              <w:tc>
                <w:tcPr>
                  <w:tcW w:w="1374" w:type="pct"/>
                  <w:vMerge w:val="restart"/>
                  <w:vAlign w:val="center"/>
                </w:tcPr>
                <w:p w14:paraId="49394C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达到</w:t>
                  </w:r>
                  <w:r>
                    <w:rPr>
                      <w:rFonts w:hint="eastAsia"/>
                      <w:color w:val="000000" w:themeColor="text1"/>
                      <w:szCs w:val="21"/>
                      <w14:textFill>
                        <w14:solidFill>
                          <w14:schemeClr w14:val="tx1"/>
                        </w14:solidFill>
                      </w14:textFill>
                    </w:rPr>
                    <w:t>固镇县污水处理厂</w:t>
                  </w:r>
                  <w:r>
                    <w:rPr>
                      <w:color w:val="000000" w:themeColor="text1"/>
                      <w:szCs w:val="21"/>
                      <w14:textFill>
                        <w14:solidFill>
                          <w14:schemeClr w14:val="tx1"/>
                        </w14:solidFill>
                      </w14:textFill>
                    </w:rPr>
                    <w:t>接管</w:t>
                  </w:r>
                  <w:r>
                    <w:rPr>
                      <w:rFonts w:hint="eastAsia"/>
                      <w:color w:val="000000" w:themeColor="text1"/>
                      <w:szCs w:val="21"/>
                      <w14:textFill>
                        <w14:solidFill>
                          <w14:schemeClr w14:val="tx1"/>
                        </w14:solidFill>
                      </w14:textFill>
                    </w:rPr>
                    <w:t>限值</w:t>
                  </w:r>
                </w:p>
              </w:tc>
              <w:tc>
                <w:tcPr>
                  <w:tcW w:w="341" w:type="pct"/>
                  <w:vMerge w:val="restart"/>
                  <w:vAlign w:val="center"/>
                </w:tcPr>
                <w:p w14:paraId="36458B7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311" w:type="pct"/>
                  <w:vMerge w:val="restart"/>
                </w:tcPr>
                <w:p w14:paraId="2504AA14">
                  <w:pPr>
                    <w:jc w:val="center"/>
                    <w:rPr>
                      <w:color w:val="000000" w:themeColor="text1"/>
                      <w:szCs w:val="21"/>
                      <w14:textFill>
                        <w14:solidFill>
                          <w14:schemeClr w14:val="tx1"/>
                        </w14:solidFill>
                      </w14:textFill>
                    </w:rPr>
                  </w:pPr>
                </w:p>
              </w:tc>
            </w:tr>
            <w:tr w14:paraId="6CB6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Merge w:val="continue"/>
                  <w:vAlign w:val="center"/>
                </w:tcPr>
                <w:p w14:paraId="1EC4940E">
                  <w:pPr>
                    <w:jc w:val="center"/>
                    <w:rPr>
                      <w:color w:val="000000" w:themeColor="text1"/>
                      <w:szCs w:val="21"/>
                      <w14:textFill>
                        <w14:solidFill>
                          <w14:schemeClr w14:val="tx1"/>
                        </w14:solidFill>
                      </w14:textFill>
                    </w:rPr>
                  </w:pPr>
                </w:p>
              </w:tc>
              <w:tc>
                <w:tcPr>
                  <w:tcW w:w="695" w:type="pct"/>
                  <w:vAlign w:val="center"/>
                </w:tcPr>
                <w:p w14:paraId="7670B18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地面冲洗水</w:t>
                  </w:r>
                </w:p>
              </w:tc>
              <w:tc>
                <w:tcPr>
                  <w:tcW w:w="510" w:type="pct"/>
                  <w:vAlign w:val="center"/>
                </w:tcPr>
                <w:p w14:paraId="5C577D14">
                  <w:pPr>
                    <w:ind w:left="-105" w:leftChars="-50" w:right="-105" w:rightChars="-5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COD</w:t>
                  </w:r>
                </w:p>
                <w:p w14:paraId="23665DFB">
                  <w:pPr>
                    <w:ind w:left="-105" w:leftChars="-50" w:right="-105" w:rightChars="-5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SS</w:t>
                  </w:r>
                </w:p>
                <w:p w14:paraId="2930275F">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石油类</w:t>
                  </w:r>
                </w:p>
              </w:tc>
              <w:tc>
                <w:tcPr>
                  <w:tcW w:w="1538" w:type="pct"/>
                  <w:vAlign w:val="center"/>
                </w:tcPr>
                <w:p w14:paraId="3763426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隔油池</w:t>
                  </w:r>
                </w:p>
              </w:tc>
              <w:tc>
                <w:tcPr>
                  <w:tcW w:w="1374" w:type="pct"/>
                  <w:vMerge w:val="continue"/>
                  <w:vAlign w:val="center"/>
                </w:tcPr>
                <w:p w14:paraId="75F7298E">
                  <w:pPr>
                    <w:jc w:val="center"/>
                    <w:rPr>
                      <w:color w:val="000000" w:themeColor="text1"/>
                      <w:szCs w:val="21"/>
                      <w14:textFill>
                        <w14:solidFill>
                          <w14:schemeClr w14:val="tx1"/>
                        </w14:solidFill>
                      </w14:textFill>
                    </w:rPr>
                  </w:pPr>
                </w:p>
              </w:tc>
              <w:tc>
                <w:tcPr>
                  <w:tcW w:w="341" w:type="pct"/>
                  <w:vMerge w:val="continue"/>
                  <w:vAlign w:val="center"/>
                </w:tcPr>
                <w:p w14:paraId="26021902">
                  <w:pPr>
                    <w:jc w:val="center"/>
                    <w:rPr>
                      <w:color w:val="000000" w:themeColor="text1"/>
                      <w:szCs w:val="21"/>
                      <w14:textFill>
                        <w14:solidFill>
                          <w14:schemeClr w14:val="tx1"/>
                        </w14:solidFill>
                      </w14:textFill>
                    </w:rPr>
                  </w:pPr>
                </w:p>
              </w:tc>
              <w:tc>
                <w:tcPr>
                  <w:tcW w:w="311" w:type="pct"/>
                  <w:vMerge w:val="continue"/>
                </w:tcPr>
                <w:p w14:paraId="39863546">
                  <w:pPr>
                    <w:jc w:val="center"/>
                    <w:rPr>
                      <w:color w:val="000000" w:themeColor="text1"/>
                      <w:szCs w:val="21"/>
                      <w14:textFill>
                        <w14:solidFill>
                          <w14:schemeClr w14:val="tx1"/>
                        </w14:solidFill>
                      </w14:textFill>
                    </w:rPr>
                  </w:pPr>
                </w:p>
              </w:tc>
            </w:tr>
            <w:tr w14:paraId="40D1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Align w:val="center"/>
                </w:tcPr>
                <w:p w14:paraId="31479F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695" w:type="pct"/>
                  <w:vAlign w:val="center"/>
                </w:tcPr>
                <w:p w14:paraId="23CE5C7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w:t>
                  </w:r>
                </w:p>
                <w:p w14:paraId="3EBE7BF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510" w:type="pct"/>
                  <w:vAlign w:val="center"/>
                </w:tcPr>
                <w:p w14:paraId="2CA60BFE">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噪声</w:t>
                  </w:r>
                </w:p>
              </w:tc>
              <w:tc>
                <w:tcPr>
                  <w:tcW w:w="1538" w:type="pct"/>
                  <w:vAlign w:val="center"/>
                </w:tcPr>
                <w:p w14:paraId="7926ECA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建筑隔声，设置基础减振、机座加隔振垫(圈)或设减振器。</w:t>
                  </w:r>
                </w:p>
              </w:tc>
              <w:tc>
                <w:tcPr>
                  <w:tcW w:w="1374" w:type="pct"/>
                  <w:vAlign w:val="center"/>
                </w:tcPr>
                <w:p w14:paraId="6550E92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边界噪声符合《工业企业厂界环境噪声排放标准》（GB12348—2008）标准中</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类</w:t>
                  </w:r>
                  <w:r>
                    <w:rPr>
                      <w:rFonts w:hint="eastAsia"/>
                      <w:color w:val="000000" w:themeColor="text1"/>
                      <w:szCs w:val="21"/>
                      <w14:textFill>
                        <w14:solidFill>
                          <w14:schemeClr w14:val="tx1"/>
                        </w14:solidFill>
                      </w14:textFill>
                    </w:rPr>
                    <w:t>、4类</w:t>
                  </w:r>
                  <w:r>
                    <w:rPr>
                      <w:color w:val="000000" w:themeColor="text1"/>
                      <w:szCs w:val="21"/>
                      <w14:textFill>
                        <w14:solidFill>
                          <w14:schemeClr w14:val="tx1"/>
                        </w14:solidFill>
                      </w14:textFill>
                    </w:rPr>
                    <w:t>标准要求</w:t>
                  </w:r>
                </w:p>
              </w:tc>
              <w:tc>
                <w:tcPr>
                  <w:tcW w:w="341" w:type="pct"/>
                  <w:vAlign w:val="center"/>
                </w:tcPr>
                <w:p w14:paraId="6C0C6E9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311" w:type="pct"/>
                  <w:vMerge w:val="continue"/>
                </w:tcPr>
                <w:p w14:paraId="33FB0A91">
                  <w:pPr>
                    <w:jc w:val="center"/>
                    <w:rPr>
                      <w:color w:val="000000" w:themeColor="text1"/>
                      <w:szCs w:val="21"/>
                      <w14:textFill>
                        <w14:solidFill>
                          <w14:schemeClr w14:val="tx1"/>
                        </w14:solidFill>
                      </w14:textFill>
                    </w:rPr>
                  </w:pPr>
                </w:p>
              </w:tc>
            </w:tr>
            <w:tr w14:paraId="370A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27" w:type="pct"/>
                  <w:vMerge w:val="restart"/>
                  <w:vAlign w:val="center"/>
                </w:tcPr>
                <w:p w14:paraId="365BA9A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695" w:type="pct"/>
                  <w:vAlign w:val="center"/>
                </w:tcPr>
                <w:p w14:paraId="75887AB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办公</w:t>
                  </w:r>
                </w:p>
                <w:p w14:paraId="0FD8421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w:t>
                  </w:r>
                </w:p>
              </w:tc>
              <w:tc>
                <w:tcPr>
                  <w:tcW w:w="510" w:type="pct"/>
                  <w:vAlign w:val="center"/>
                </w:tcPr>
                <w:p w14:paraId="766BC850">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生活</w:t>
                  </w:r>
                </w:p>
                <w:p w14:paraId="1FF0971B">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垃圾</w:t>
                  </w:r>
                </w:p>
              </w:tc>
              <w:tc>
                <w:tcPr>
                  <w:tcW w:w="1538" w:type="pct"/>
                  <w:vAlign w:val="center"/>
                </w:tcPr>
                <w:p w14:paraId="6BE1ABF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设置生活垃圾桶</w:t>
                  </w:r>
                </w:p>
              </w:tc>
              <w:tc>
                <w:tcPr>
                  <w:tcW w:w="1374" w:type="pct"/>
                  <w:vAlign w:val="center"/>
                </w:tcPr>
                <w:p w14:paraId="4B8F15AC">
                  <w:pPr>
                    <w:jc w:val="center"/>
                    <w:rPr>
                      <w:color w:val="000000" w:themeColor="text1"/>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一般固废达到《安徽省实施&lt;中华人民共和国固体废物污染环境防治法&gt;办法》规定；</w:t>
                  </w:r>
                </w:p>
              </w:tc>
              <w:tc>
                <w:tcPr>
                  <w:tcW w:w="341" w:type="pct"/>
                  <w:vAlign w:val="center"/>
                </w:tcPr>
                <w:p w14:paraId="4B3F33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311" w:type="pct"/>
                  <w:vMerge w:val="continue"/>
                </w:tcPr>
                <w:p w14:paraId="52A8F69F">
                  <w:pPr>
                    <w:jc w:val="center"/>
                    <w:rPr>
                      <w:color w:val="000000" w:themeColor="text1"/>
                      <w:szCs w:val="21"/>
                      <w14:textFill>
                        <w14:solidFill>
                          <w14:schemeClr w14:val="tx1"/>
                        </w14:solidFill>
                      </w14:textFill>
                    </w:rPr>
                  </w:pPr>
                </w:p>
              </w:tc>
            </w:tr>
            <w:tr w14:paraId="6F5B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27" w:type="pct"/>
                  <w:vMerge w:val="continue"/>
                  <w:vAlign w:val="center"/>
                </w:tcPr>
                <w:p w14:paraId="1601B4EA">
                  <w:pPr>
                    <w:jc w:val="center"/>
                    <w:rPr>
                      <w:color w:val="000000" w:themeColor="text1"/>
                      <w:szCs w:val="21"/>
                      <w14:textFill>
                        <w14:solidFill>
                          <w14:schemeClr w14:val="tx1"/>
                        </w14:solidFill>
                      </w14:textFill>
                    </w:rPr>
                  </w:pPr>
                </w:p>
              </w:tc>
              <w:tc>
                <w:tcPr>
                  <w:tcW w:w="695" w:type="pct"/>
                  <w:vAlign w:val="center"/>
                </w:tcPr>
                <w:p w14:paraId="5A863C90">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生产</w:t>
                  </w:r>
                </w:p>
                <w:p w14:paraId="6ACE4C0F">
                  <w:pPr>
                    <w:jc w:val="center"/>
                    <w:rPr>
                      <w:color w:val="000000" w:themeColor="text1"/>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车间</w:t>
                  </w:r>
                </w:p>
              </w:tc>
              <w:tc>
                <w:tcPr>
                  <w:tcW w:w="510" w:type="pct"/>
                  <w:vAlign w:val="center"/>
                </w:tcPr>
                <w:p w14:paraId="0748BCEF">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危险</w:t>
                  </w:r>
                </w:p>
                <w:p w14:paraId="0C84DC71">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废物</w:t>
                  </w:r>
                </w:p>
              </w:tc>
              <w:tc>
                <w:tcPr>
                  <w:tcW w:w="1538" w:type="pct"/>
                  <w:vAlign w:val="center"/>
                </w:tcPr>
                <w:p w14:paraId="600996B1">
                  <w:pPr>
                    <w:ind w:left="-105" w:leftChars="-50" w:right="-105" w:rightChars="-5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危废暂存箱20m</w:t>
                  </w:r>
                  <w:r>
                    <w:rPr>
                      <w:rFonts w:hint="eastAsia"/>
                      <w:snapToGrid w:val="0"/>
                      <w:color w:val="000000" w:themeColor="text1"/>
                      <w:kern w:val="0"/>
                      <w:szCs w:val="21"/>
                      <w:vertAlign w:val="superscript"/>
                      <w14:textFill>
                        <w14:solidFill>
                          <w14:schemeClr w14:val="tx1"/>
                        </w14:solidFill>
                      </w14:textFill>
                    </w:rPr>
                    <w:t>2</w:t>
                  </w:r>
                </w:p>
              </w:tc>
              <w:tc>
                <w:tcPr>
                  <w:tcW w:w="1374" w:type="pct"/>
                  <w:vAlign w:val="center"/>
                </w:tcPr>
                <w:p w14:paraId="6AE6F49E">
                  <w:pPr>
                    <w:jc w:val="center"/>
                    <w:rPr>
                      <w:color w:val="000000" w:themeColor="text1"/>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危险废物达到《危险废物贮存污染控制标准》</w:t>
                  </w:r>
                  <w:r>
                    <w:rPr>
                      <w:snapToGrid w:val="0"/>
                      <w:color w:val="000000" w:themeColor="text1"/>
                      <w:kern w:val="0"/>
                      <w:szCs w:val="21"/>
                      <w14:textFill>
                        <w14:solidFill>
                          <w14:schemeClr w14:val="tx1"/>
                        </w14:solidFill>
                      </w14:textFill>
                    </w:rPr>
                    <w:t>(GB18597-20</w:t>
                  </w:r>
                  <w:r>
                    <w:rPr>
                      <w:rFonts w:hint="eastAsia"/>
                      <w:snapToGrid w:val="0"/>
                      <w:color w:val="000000" w:themeColor="text1"/>
                      <w:kern w:val="0"/>
                      <w:szCs w:val="21"/>
                      <w14:textFill>
                        <w14:solidFill>
                          <w14:schemeClr w14:val="tx1"/>
                        </w14:solidFill>
                      </w14:textFill>
                    </w:rPr>
                    <w:t>23</w:t>
                  </w:r>
                  <w:r>
                    <w:rPr>
                      <w:snapToGrid w:val="0"/>
                      <w:color w:val="000000" w:themeColor="text1"/>
                      <w:kern w:val="0"/>
                      <w:szCs w:val="21"/>
                      <w14:textFill>
                        <w14:solidFill>
                          <w14:schemeClr w14:val="tx1"/>
                        </w14:solidFill>
                      </w14:textFill>
                    </w:rPr>
                    <w:t>)</w:t>
                  </w:r>
                </w:p>
              </w:tc>
              <w:tc>
                <w:tcPr>
                  <w:tcW w:w="341" w:type="pct"/>
                  <w:vAlign w:val="center"/>
                </w:tcPr>
                <w:p w14:paraId="394335F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311" w:type="pct"/>
                  <w:vMerge w:val="continue"/>
                </w:tcPr>
                <w:p w14:paraId="6279A27D">
                  <w:pPr>
                    <w:jc w:val="center"/>
                    <w:rPr>
                      <w:color w:val="000000" w:themeColor="text1"/>
                      <w:szCs w:val="21"/>
                      <w14:textFill>
                        <w14:solidFill>
                          <w14:schemeClr w14:val="tx1"/>
                        </w14:solidFill>
                      </w14:textFill>
                    </w:rPr>
                  </w:pPr>
                </w:p>
              </w:tc>
            </w:tr>
            <w:tr w14:paraId="419D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34" w:type="pct"/>
                  <w:gridSpan w:val="3"/>
                  <w:vAlign w:val="center"/>
                </w:tcPr>
                <w:p w14:paraId="21B95C92">
                  <w:pPr>
                    <w:ind w:left="-105" w:leftChars="-50" w:right="-105" w:rightChars="-50"/>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地下水、土壤</w:t>
                  </w:r>
                </w:p>
              </w:tc>
              <w:tc>
                <w:tcPr>
                  <w:tcW w:w="1538" w:type="pct"/>
                  <w:vAlign w:val="center"/>
                </w:tcPr>
                <w:p w14:paraId="5F2114BE">
                  <w:pPr>
                    <w:ind w:left="-105" w:leftChars="-50" w:right="-105" w:rightChars="-50"/>
                    <w:jc w:val="center"/>
                    <w:rPr>
                      <w:snapToGrid w:val="0"/>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分区防渗</w:t>
                  </w:r>
                  <w:r>
                    <w:rPr>
                      <w:rFonts w:hint="eastAsia"/>
                      <w:color w:val="000000" w:themeColor="text1"/>
                      <w:szCs w:val="21"/>
                      <w14:textFill>
                        <w14:solidFill>
                          <w14:schemeClr w14:val="tx1"/>
                        </w14:solidFill>
                      </w14:textFill>
                    </w:rPr>
                    <w:t>；危废暂存间、油罐区、加油岛等进行重点防渗；</w:t>
                  </w:r>
                  <w:r>
                    <w:rPr>
                      <w:rFonts w:hint="eastAsia"/>
                      <w:snapToGrid w:val="0"/>
                      <w:color w:val="000000" w:themeColor="text1"/>
                      <w:kern w:val="0"/>
                      <w:szCs w:val="21"/>
                      <w14:textFill>
                        <w14:solidFill>
                          <w14:schemeClr w14:val="tx1"/>
                        </w14:solidFill>
                      </w14:textFill>
                    </w:rPr>
                    <w:t>站房</w:t>
                  </w:r>
                  <w:r>
                    <w:rPr>
                      <w:rFonts w:hint="eastAsia"/>
                      <w:color w:val="000000" w:themeColor="text1"/>
                      <w:szCs w:val="21"/>
                      <w14:textFill>
                        <w14:solidFill>
                          <w14:schemeClr w14:val="tx1"/>
                        </w14:solidFill>
                      </w14:textFill>
                    </w:rPr>
                    <w:t>厂区道路等简单防渗</w:t>
                  </w:r>
                </w:p>
              </w:tc>
              <w:tc>
                <w:tcPr>
                  <w:tcW w:w="1374" w:type="pct"/>
                  <w:vAlign w:val="center"/>
                </w:tcPr>
                <w:p w14:paraId="1325B6B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不污染地下水、土壤</w:t>
                  </w:r>
                </w:p>
              </w:tc>
              <w:tc>
                <w:tcPr>
                  <w:tcW w:w="341" w:type="pct"/>
                  <w:vAlign w:val="center"/>
                </w:tcPr>
                <w:p w14:paraId="28DF16F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311" w:type="pct"/>
                  <w:vMerge w:val="continue"/>
                </w:tcPr>
                <w:p w14:paraId="1181F4EE">
                  <w:pPr>
                    <w:jc w:val="center"/>
                    <w:rPr>
                      <w:color w:val="000000" w:themeColor="text1"/>
                      <w:szCs w:val="21"/>
                      <w14:textFill>
                        <w14:solidFill>
                          <w14:schemeClr w14:val="tx1"/>
                        </w14:solidFill>
                      </w14:textFill>
                    </w:rPr>
                  </w:pPr>
                </w:p>
              </w:tc>
            </w:tr>
            <w:tr w14:paraId="3731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34" w:type="pct"/>
                  <w:gridSpan w:val="3"/>
                  <w:vAlign w:val="center"/>
                </w:tcPr>
                <w:p w14:paraId="64DCEFF2">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环境风险</w:t>
                  </w:r>
                </w:p>
              </w:tc>
              <w:tc>
                <w:tcPr>
                  <w:tcW w:w="1538" w:type="pct"/>
                  <w:vAlign w:val="center"/>
                </w:tcPr>
                <w:p w14:paraId="0AEDFED8">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配备各类灭火器、灭火物质、可燃性气体报警器等应急装备器材</w:t>
                  </w:r>
                </w:p>
              </w:tc>
              <w:tc>
                <w:tcPr>
                  <w:tcW w:w="1374" w:type="pct"/>
                  <w:vAlign w:val="center"/>
                </w:tcPr>
                <w:p w14:paraId="6756557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控制环境风险水平</w:t>
                  </w:r>
                </w:p>
              </w:tc>
              <w:tc>
                <w:tcPr>
                  <w:tcW w:w="341" w:type="pct"/>
                  <w:vAlign w:val="center"/>
                </w:tcPr>
                <w:p w14:paraId="7619D4D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11" w:type="pct"/>
                  <w:vMerge w:val="continue"/>
                </w:tcPr>
                <w:p w14:paraId="58079D7D">
                  <w:pPr>
                    <w:jc w:val="center"/>
                    <w:rPr>
                      <w:color w:val="000000" w:themeColor="text1"/>
                      <w:szCs w:val="21"/>
                      <w14:textFill>
                        <w14:solidFill>
                          <w14:schemeClr w14:val="tx1"/>
                        </w14:solidFill>
                      </w14:textFill>
                    </w:rPr>
                  </w:pPr>
                </w:p>
              </w:tc>
            </w:tr>
            <w:tr w14:paraId="0723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47" w:type="pct"/>
                  <w:gridSpan w:val="5"/>
                  <w:tcBorders>
                    <w:bottom w:val="single" w:color="auto" w:sz="4" w:space="0"/>
                  </w:tcBorders>
                  <w:vAlign w:val="center"/>
                </w:tcPr>
                <w:p w14:paraId="07B8B61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341" w:type="pct"/>
                  <w:tcBorders>
                    <w:bottom w:val="single" w:color="auto" w:sz="4" w:space="0"/>
                  </w:tcBorders>
                  <w:vAlign w:val="center"/>
                </w:tcPr>
                <w:p w14:paraId="542E782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311" w:type="pct"/>
                  <w:vMerge w:val="continue"/>
                  <w:tcBorders>
                    <w:bottom w:val="single" w:color="auto" w:sz="4" w:space="0"/>
                  </w:tcBorders>
                </w:tcPr>
                <w:p w14:paraId="15C379C9">
                  <w:pPr>
                    <w:jc w:val="center"/>
                    <w:rPr>
                      <w:color w:val="000000" w:themeColor="text1"/>
                      <w:szCs w:val="21"/>
                      <w14:textFill>
                        <w14:solidFill>
                          <w14:schemeClr w14:val="tx1"/>
                        </w14:solidFill>
                      </w14:textFill>
                    </w:rPr>
                  </w:pPr>
                </w:p>
              </w:tc>
            </w:tr>
            <w:tr w14:paraId="670F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7"/>
                  <w:tcBorders>
                    <w:left w:val="nil"/>
                    <w:bottom w:val="nil"/>
                    <w:right w:val="nil"/>
                  </w:tcBorders>
                  <w:vAlign w:val="center"/>
                </w:tcPr>
                <w:p w14:paraId="02B4A44C">
                  <w:pPr>
                    <w:rPr>
                      <w:color w:val="000000" w:themeColor="text1"/>
                      <w:szCs w:val="21"/>
                      <w14:textFill>
                        <w14:solidFill>
                          <w14:schemeClr w14:val="tx1"/>
                        </w14:solidFill>
                      </w14:textFill>
                    </w:rPr>
                  </w:pPr>
                </w:p>
              </w:tc>
            </w:tr>
          </w:tbl>
          <w:p w14:paraId="5C9999E5">
            <w:pPr>
              <w:spacing w:line="500" w:lineRule="atLeast"/>
              <w:rPr>
                <w:rFonts w:ascii="宋体" w:hAnsi="宋体" w:cs="宋体"/>
                <w:bCs/>
                <w:color w:val="000000" w:themeColor="text1"/>
                <w:spacing w:val="-10"/>
                <w:szCs w:val="21"/>
                <w14:textFill>
                  <w14:solidFill>
                    <w14:schemeClr w14:val="tx1"/>
                  </w14:solidFill>
                </w14:textFill>
              </w:rPr>
            </w:pPr>
          </w:p>
          <w:p w14:paraId="0BB1BADD">
            <w:pPr>
              <w:spacing w:line="500" w:lineRule="atLeast"/>
              <w:rPr>
                <w:rFonts w:ascii="宋体" w:hAnsi="宋体" w:cs="宋体"/>
                <w:bCs/>
                <w:color w:val="000000" w:themeColor="text1"/>
                <w:spacing w:val="-10"/>
                <w:szCs w:val="21"/>
                <w14:textFill>
                  <w14:solidFill>
                    <w14:schemeClr w14:val="tx1"/>
                  </w14:solidFill>
                </w14:textFill>
              </w:rPr>
            </w:pPr>
          </w:p>
          <w:p w14:paraId="3C5A6D81">
            <w:pPr>
              <w:spacing w:line="500" w:lineRule="atLeast"/>
              <w:rPr>
                <w:rFonts w:ascii="宋体" w:hAnsi="宋体" w:cs="宋体"/>
                <w:bCs/>
                <w:color w:val="000000" w:themeColor="text1"/>
                <w:spacing w:val="-10"/>
                <w:szCs w:val="21"/>
                <w14:textFill>
                  <w14:solidFill>
                    <w14:schemeClr w14:val="tx1"/>
                  </w14:solidFill>
                </w14:textFill>
              </w:rPr>
            </w:pPr>
          </w:p>
          <w:p w14:paraId="7427B0B2">
            <w:pPr>
              <w:spacing w:line="500" w:lineRule="atLeast"/>
              <w:rPr>
                <w:rFonts w:ascii="宋体" w:hAnsi="宋体" w:cs="宋体"/>
                <w:bCs/>
                <w:color w:val="000000" w:themeColor="text1"/>
                <w:spacing w:val="-10"/>
                <w:szCs w:val="21"/>
                <w14:textFill>
                  <w14:solidFill>
                    <w14:schemeClr w14:val="tx1"/>
                  </w14:solidFill>
                </w14:textFill>
              </w:rPr>
            </w:pPr>
          </w:p>
          <w:p w14:paraId="31B29DC4">
            <w:pPr>
              <w:spacing w:line="500" w:lineRule="atLeast"/>
              <w:rPr>
                <w:rFonts w:ascii="宋体" w:hAnsi="宋体" w:cs="宋体"/>
                <w:bCs/>
                <w:color w:val="000000" w:themeColor="text1"/>
                <w:spacing w:val="-10"/>
                <w:szCs w:val="21"/>
                <w14:textFill>
                  <w14:solidFill>
                    <w14:schemeClr w14:val="tx1"/>
                  </w14:solidFill>
                </w14:textFill>
              </w:rPr>
            </w:pPr>
          </w:p>
          <w:p w14:paraId="2C5B40D8">
            <w:pPr>
              <w:spacing w:line="500" w:lineRule="atLeast"/>
              <w:rPr>
                <w:rFonts w:ascii="宋体" w:hAnsi="宋体" w:cs="宋体"/>
                <w:bCs/>
                <w:color w:val="000000" w:themeColor="text1"/>
                <w:spacing w:val="-10"/>
                <w:szCs w:val="21"/>
                <w14:textFill>
                  <w14:solidFill>
                    <w14:schemeClr w14:val="tx1"/>
                  </w14:solidFill>
                </w14:textFill>
              </w:rPr>
            </w:pPr>
          </w:p>
          <w:p w14:paraId="43D373BD">
            <w:pPr>
              <w:spacing w:line="500" w:lineRule="atLeast"/>
              <w:rPr>
                <w:rFonts w:ascii="宋体" w:hAnsi="宋体" w:cs="宋体"/>
                <w:bCs/>
                <w:color w:val="000000" w:themeColor="text1"/>
                <w:spacing w:val="-10"/>
                <w:szCs w:val="21"/>
                <w14:textFill>
                  <w14:solidFill>
                    <w14:schemeClr w14:val="tx1"/>
                  </w14:solidFill>
                </w14:textFill>
              </w:rPr>
            </w:pPr>
          </w:p>
          <w:p w14:paraId="220BE843">
            <w:pPr>
              <w:spacing w:line="500" w:lineRule="atLeast"/>
              <w:rPr>
                <w:rFonts w:ascii="宋体" w:hAnsi="宋体" w:cs="宋体"/>
                <w:bCs/>
                <w:color w:val="000000" w:themeColor="text1"/>
                <w:spacing w:val="-10"/>
                <w:szCs w:val="21"/>
                <w14:textFill>
                  <w14:solidFill>
                    <w14:schemeClr w14:val="tx1"/>
                  </w14:solidFill>
                </w14:textFill>
              </w:rPr>
            </w:pPr>
          </w:p>
          <w:p w14:paraId="3DDA1A92">
            <w:pPr>
              <w:spacing w:line="500" w:lineRule="atLeast"/>
              <w:rPr>
                <w:rFonts w:ascii="宋体" w:hAnsi="宋体" w:cs="宋体"/>
                <w:bCs/>
                <w:color w:val="000000" w:themeColor="text1"/>
                <w:spacing w:val="-10"/>
                <w:szCs w:val="21"/>
                <w14:textFill>
                  <w14:solidFill>
                    <w14:schemeClr w14:val="tx1"/>
                  </w14:solidFill>
                </w14:textFill>
              </w:rPr>
            </w:pPr>
          </w:p>
          <w:p w14:paraId="733A30C6">
            <w:pPr>
              <w:spacing w:line="500" w:lineRule="atLeast"/>
              <w:rPr>
                <w:rFonts w:ascii="宋体" w:hAnsi="宋体" w:cs="宋体"/>
                <w:bCs/>
                <w:color w:val="000000" w:themeColor="text1"/>
                <w:spacing w:val="-10"/>
                <w:szCs w:val="21"/>
                <w14:textFill>
                  <w14:solidFill>
                    <w14:schemeClr w14:val="tx1"/>
                  </w14:solidFill>
                </w14:textFill>
              </w:rPr>
            </w:pPr>
          </w:p>
          <w:p w14:paraId="1A6DFEB0">
            <w:pPr>
              <w:spacing w:line="500" w:lineRule="atLeast"/>
              <w:rPr>
                <w:rFonts w:ascii="宋体" w:hAnsi="宋体" w:cs="宋体"/>
                <w:bCs/>
                <w:color w:val="000000" w:themeColor="text1"/>
                <w:spacing w:val="-10"/>
                <w:szCs w:val="21"/>
                <w14:textFill>
                  <w14:solidFill>
                    <w14:schemeClr w14:val="tx1"/>
                  </w14:solidFill>
                </w14:textFill>
              </w:rPr>
            </w:pPr>
          </w:p>
          <w:p w14:paraId="08D06901">
            <w:pPr>
              <w:spacing w:line="500" w:lineRule="atLeast"/>
              <w:rPr>
                <w:rFonts w:ascii="宋体" w:hAnsi="宋体" w:cs="宋体"/>
                <w:bCs/>
                <w:color w:val="000000" w:themeColor="text1"/>
                <w:spacing w:val="-10"/>
                <w:szCs w:val="21"/>
                <w14:textFill>
                  <w14:solidFill>
                    <w14:schemeClr w14:val="tx1"/>
                  </w14:solidFill>
                </w14:textFill>
              </w:rPr>
            </w:pPr>
          </w:p>
          <w:p w14:paraId="3E58EE48">
            <w:pPr>
              <w:spacing w:line="500" w:lineRule="atLeast"/>
              <w:rPr>
                <w:rFonts w:ascii="宋体" w:hAnsi="宋体" w:cs="宋体"/>
                <w:bCs/>
                <w:color w:val="000000" w:themeColor="text1"/>
                <w:spacing w:val="-10"/>
                <w:szCs w:val="21"/>
                <w14:textFill>
                  <w14:solidFill>
                    <w14:schemeClr w14:val="tx1"/>
                  </w14:solidFill>
                </w14:textFill>
              </w:rPr>
            </w:pPr>
          </w:p>
          <w:p w14:paraId="3CB1159F">
            <w:pPr>
              <w:pStyle w:val="2"/>
              <w:rPr>
                <w:rFonts w:ascii="宋体" w:hAnsi="宋体" w:cs="宋体"/>
                <w:bCs/>
                <w:color w:val="000000" w:themeColor="text1"/>
                <w:spacing w:val="-10"/>
                <w:szCs w:val="21"/>
                <w14:textFill>
                  <w14:solidFill>
                    <w14:schemeClr w14:val="tx1"/>
                  </w14:solidFill>
                </w14:textFill>
              </w:rPr>
            </w:pPr>
          </w:p>
          <w:p w14:paraId="66A19851">
            <w:pPr>
              <w:pStyle w:val="2"/>
              <w:rPr>
                <w:rFonts w:ascii="宋体" w:hAnsi="宋体" w:cs="宋体"/>
                <w:bCs/>
                <w:color w:val="000000" w:themeColor="text1"/>
                <w:spacing w:val="-10"/>
                <w:szCs w:val="21"/>
                <w14:textFill>
                  <w14:solidFill>
                    <w14:schemeClr w14:val="tx1"/>
                  </w14:solidFill>
                </w14:textFill>
              </w:rPr>
            </w:pPr>
          </w:p>
          <w:p w14:paraId="1EAC781A">
            <w:pPr>
              <w:pStyle w:val="2"/>
              <w:rPr>
                <w:rFonts w:ascii="宋体" w:hAnsi="宋体" w:cs="宋体"/>
                <w:bCs/>
                <w:color w:val="000000" w:themeColor="text1"/>
                <w:spacing w:val="-10"/>
                <w:szCs w:val="21"/>
                <w14:textFill>
                  <w14:solidFill>
                    <w14:schemeClr w14:val="tx1"/>
                  </w14:solidFill>
                </w14:textFill>
              </w:rPr>
            </w:pPr>
          </w:p>
          <w:p w14:paraId="3ED0384E">
            <w:pPr>
              <w:pStyle w:val="2"/>
              <w:rPr>
                <w:rFonts w:ascii="宋体" w:hAnsi="宋体" w:cs="宋体"/>
                <w:bCs/>
                <w:color w:val="000000" w:themeColor="text1"/>
                <w:spacing w:val="-10"/>
                <w:szCs w:val="21"/>
                <w14:textFill>
                  <w14:solidFill>
                    <w14:schemeClr w14:val="tx1"/>
                  </w14:solidFill>
                </w14:textFill>
              </w:rPr>
            </w:pPr>
          </w:p>
          <w:p w14:paraId="0A76C180">
            <w:pPr>
              <w:pStyle w:val="2"/>
              <w:rPr>
                <w:rFonts w:ascii="宋体" w:hAnsi="宋体" w:cs="宋体"/>
                <w:bCs/>
                <w:color w:val="000000" w:themeColor="text1"/>
                <w:spacing w:val="-10"/>
                <w:szCs w:val="21"/>
                <w14:textFill>
                  <w14:solidFill>
                    <w14:schemeClr w14:val="tx1"/>
                  </w14:solidFill>
                </w14:textFill>
              </w:rPr>
            </w:pPr>
          </w:p>
          <w:p w14:paraId="2CB92A31">
            <w:pPr>
              <w:pStyle w:val="2"/>
              <w:rPr>
                <w:rFonts w:ascii="宋体" w:hAnsi="宋体" w:cs="宋体"/>
                <w:bCs/>
                <w:color w:val="000000" w:themeColor="text1"/>
                <w:spacing w:val="-10"/>
                <w:szCs w:val="21"/>
                <w14:textFill>
                  <w14:solidFill>
                    <w14:schemeClr w14:val="tx1"/>
                  </w14:solidFill>
                </w14:textFill>
              </w:rPr>
            </w:pPr>
          </w:p>
          <w:p w14:paraId="0A52554F">
            <w:pPr>
              <w:pStyle w:val="2"/>
              <w:rPr>
                <w:rFonts w:ascii="宋体" w:hAnsi="宋体" w:cs="宋体"/>
                <w:bCs/>
                <w:color w:val="000000" w:themeColor="text1"/>
                <w:spacing w:val="-10"/>
                <w:szCs w:val="21"/>
                <w14:textFill>
                  <w14:solidFill>
                    <w14:schemeClr w14:val="tx1"/>
                  </w14:solidFill>
                </w14:textFill>
              </w:rPr>
            </w:pPr>
          </w:p>
          <w:p w14:paraId="46254437">
            <w:pPr>
              <w:pStyle w:val="2"/>
              <w:rPr>
                <w:rFonts w:ascii="宋体" w:hAnsi="宋体" w:cs="宋体"/>
                <w:bCs/>
                <w:color w:val="000000" w:themeColor="text1"/>
                <w:spacing w:val="-10"/>
                <w:szCs w:val="21"/>
                <w14:textFill>
                  <w14:solidFill>
                    <w14:schemeClr w14:val="tx1"/>
                  </w14:solidFill>
                </w14:textFill>
              </w:rPr>
            </w:pPr>
          </w:p>
          <w:p w14:paraId="0B217379">
            <w:pPr>
              <w:pStyle w:val="2"/>
              <w:rPr>
                <w:rFonts w:ascii="宋体" w:hAnsi="宋体" w:cs="宋体"/>
                <w:bCs/>
                <w:color w:val="000000" w:themeColor="text1"/>
                <w:spacing w:val="-10"/>
                <w:szCs w:val="21"/>
                <w14:textFill>
                  <w14:solidFill>
                    <w14:schemeClr w14:val="tx1"/>
                  </w14:solidFill>
                </w14:textFill>
              </w:rPr>
            </w:pPr>
          </w:p>
          <w:p w14:paraId="1ED0D948">
            <w:pPr>
              <w:pStyle w:val="2"/>
              <w:rPr>
                <w:rFonts w:ascii="宋体" w:hAnsi="宋体" w:cs="宋体"/>
                <w:bCs/>
                <w:color w:val="000000" w:themeColor="text1"/>
                <w:spacing w:val="-10"/>
                <w:szCs w:val="21"/>
                <w14:textFill>
                  <w14:solidFill>
                    <w14:schemeClr w14:val="tx1"/>
                  </w14:solidFill>
                </w14:textFill>
              </w:rPr>
            </w:pPr>
          </w:p>
          <w:p w14:paraId="74BA0C5B">
            <w:pPr>
              <w:spacing w:line="500" w:lineRule="atLeast"/>
              <w:rPr>
                <w:rFonts w:ascii="宋体" w:hAnsi="宋体" w:cs="宋体"/>
                <w:bCs/>
                <w:color w:val="000000" w:themeColor="text1"/>
                <w:spacing w:val="-10"/>
                <w:szCs w:val="21"/>
                <w14:textFill>
                  <w14:solidFill>
                    <w14:schemeClr w14:val="tx1"/>
                  </w14:solidFill>
                </w14:textFill>
              </w:rPr>
            </w:pPr>
          </w:p>
        </w:tc>
      </w:tr>
    </w:tbl>
    <w:p w14:paraId="5B55F0FD">
      <w:pPr>
        <w:adjustRightInd w:val="0"/>
        <w:snapToGrid w:val="0"/>
        <w:spacing w:line="360" w:lineRule="auto"/>
        <w:rPr>
          <w:rFonts w:ascii="宋体" w:cs="宋体"/>
          <w:b/>
          <w:color w:val="000000" w:themeColor="text1"/>
          <w:kern w:val="0"/>
          <w:sz w:val="28"/>
          <w:szCs w:val="28"/>
          <w14:textFill>
            <w14:solidFill>
              <w14:schemeClr w14:val="tx1"/>
            </w14:solidFill>
          </w14:textFill>
        </w:rPr>
        <w:sectPr>
          <w:headerReference r:id="rId5" w:type="default"/>
          <w:footerReference r:id="rId6" w:type="default"/>
          <w:pgSz w:w="11907" w:h="16840"/>
          <w:pgMar w:top="1440" w:right="1080" w:bottom="1440" w:left="1080" w:header="851" w:footer="851" w:gutter="0"/>
          <w:cols w:space="720" w:num="1"/>
          <w:docGrid w:linePitch="312" w:charSpace="0"/>
        </w:sectPr>
      </w:pPr>
    </w:p>
    <w:p w14:paraId="0B0AF0AE">
      <w:pPr>
        <w:widowControl/>
        <w:ind w:left="-424" w:leftChars="-202" w:right="-510" w:rightChars="-243"/>
        <w:jc w:val="center"/>
        <w:outlineLvl w:val="0"/>
        <w:rPr>
          <w:rFonts w:ascii="黑体" w:hAnsi="黑体" w:eastAsia="黑体"/>
          <w:snapToGrid w:val="0"/>
          <w:color w:val="000000" w:themeColor="text1"/>
          <w:kern w:val="0"/>
          <w:sz w:val="30"/>
          <w:szCs w:val="30"/>
          <w14:textFill>
            <w14:solidFill>
              <w14:schemeClr w14:val="tx1"/>
            </w14:solidFill>
          </w14:textFill>
        </w:rPr>
      </w:pPr>
      <w:r>
        <w:rPr>
          <w:rFonts w:hint="eastAsia" w:ascii="黑体" w:hAnsi="黑体" w:eastAsia="黑体"/>
          <w:snapToGrid w:val="0"/>
          <w:color w:val="000000" w:themeColor="text1"/>
          <w:kern w:val="0"/>
          <w:sz w:val="30"/>
          <w:szCs w:val="30"/>
          <w14:textFill>
            <w14:solidFill>
              <w14:schemeClr w14:val="tx1"/>
            </w14:solidFill>
          </w14:textFill>
        </w:rPr>
        <w:t>五、</w:t>
      </w:r>
      <w:bookmarkStart w:id="4" w:name="_Hlk54167917"/>
      <w:r>
        <w:rPr>
          <w:rFonts w:hint="eastAsia" w:ascii="黑体" w:hAnsi="黑体" w:eastAsia="黑体"/>
          <w:snapToGrid w:val="0"/>
          <w:color w:val="000000" w:themeColor="text1"/>
          <w:kern w:val="0"/>
          <w:sz w:val="30"/>
          <w:szCs w:val="30"/>
          <w14:textFill>
            <w14:solidFill>
              <w14:schemeClr w14:val="tx1"/>
            </w14:solidFill>
          </w14:textFill>
        </w:rPr>
        <w:t>环境保护措施监督检查清单</w:t>
      </w:r>
      <w:bookmarkEnd w:id="4"/>
    </w:p>
    <w:tbl>
      <w:tblPr>
        <w:tblStyle w:val="27"/>
        <w:tblW w:w="97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651"/>
        <w:gridCol w:w="890"/>
        <w:gridCol w:w="4071"/>
        <w:gridCol w:w="2130"/>
      </w:tblGrid>
      <w:tr w14:paraId="1A188E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3" w:type="dxa"/>
            <w:tcBorders>
              <w:tl2br w:val="single" w:color="auto" w:sz="4" w:space="0"/>
            </w:tcBorders>
          </w:tcPr>
          <w:p w14:paraId="3DC003BA">
            <w:pPr>
              <w:adjustRightInd w:val="0"/>
              <w:snapToGrid w:val="0"/>
              <w:ind w:left="73" w:leftChars="35" w:right="-250" w:rightChars="-119" w:firstLine="283" w:firstLineChars="135"/>
              <w:rPr>
                <w:color w:val="000000" w:themeColor="text1"/>
                <w:szCs w:val="21"/>
                <w14:textFill>
                  <w14:solidFill>
                    <w14:schemeClr w14:val="tx1"/>
                  </w14:solidFill>
                </w14:textFill>
              </w:rPr>
            </w:pPr>
            <w:r>
              <w:rPr>
                <w:color w:val="000000" w:themeColor="text1"/>
                <w:szCs w:val="21"/>
                <w14:textFill>
                  <w14:solidFill>
                    <w14:schemeClr w14:val="tx1"/>
                  </w14:solidFill>
                </w14:textFill>
              </w:rPr>
              <w:t>内容</w:t>
            </w:r>
          </w:p>
          <w:p w14:paraId="0A5BB91C">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要素</w:t>
            </w:r>
          </w:p>
        </w:tc>
        <w:tc>
          <w:tcPr>
            <w:tcW w:w="1651" w:type="dxa"/>
            <w:vAlign w:val="center"/>
          </w:tcPr>
          <w:p w14:paraId="7BD92609">
            <w:pPr>
              <w:adjustRightInd w:val="0"/>
              <w:snapToGrid w:val="0"/>
              <w:ind w:left="-17" w:leftChars="-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排放口(编号、名称)/污染源</w:t>
            </w:r>
          </w:p>
        </w:tc>
        <w:tc>
          <w:tcPr>
            <w:tcW w:w="890" w:type="dxa"/>
            <w:vAlign w:val="center"/>
          </w:tcPr>
          <w:p w14:paraId="54951051">
            <w:pPr>
              <w:adjustRightInd w:val="0"/>
              <w:snapToGrid w:val="0"/>
              <w:ind w:left="-106" w:leftChars="-51" w:right="-107" w:rightChars="-51" w:hang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污染物项目</w:t>
            </w:r>
          </w:p>
        </w:tc>
        <w:tc>
          <w:tcPr>
            <w:tcW w:w="4071" w:type="dxa"/>
            <w:vAlign w:val="center"/>
          </w:tcPr>
          <w:p w14:paraId="759FE6B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环境保护措施</w:t>
            </w:r>
          </w:p>
        </w:tc>
        <w:tc>
          <w:tcPr>
            <w:tcW w:w="2130" w:type="dxa"/>
            <w:vAlign w:val="center"/>
          </w:tcPr>
          <w:p w14:paraId="1263CF6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14:paraId="4E3FE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0" w:hRule="atLeast"/>
          <w:jc w:val="center"/>
        </w:trPr>
        <w:tc>
          <w:tcPr>
            <w:tcW w:w="1033" w:type="dxa"/>
            <w:vMerge w:val="restart"/>
            <w:vAlign w:val="center"/>
          </w:tcPr>
          <w:p w14:paraId="3B15A29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w:t>
            </w:r>
          </w:p>
          <w:p w14:paraId="480C1C7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tc>
        <w:tc>
          <w:tcPr>
            <w:tcW w:w="1651" w:type="dxa"/>
            <w:vAlign w:val="center"/>
          </w:tcPr>
          <w:p w14:paraId="13AC698E">
            <w:pPr>
              <w:ind w:left="-172" w:leftChars="-82" w:right="-199" w:rightChars="-95"/>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站区</w:t>
            </w:r>
          </w:p>
          <w:p w14:paraId="585A3723">
            <w:pPr>
              <w:ind w:left="-172" w:leftChars="-82" w:right="-199" w:rightChars="-95"/>
              <w:jc w:val="center"/>
              <w:rPr>
                <w:color w:val="000000" w:themeColor="text1"/>
                <w:szCs w:val="21"/>
                <w14:textFill>
                  <w14:solidFill>
                    <w14:schemeClr w14:val="tx1"/>
                  </w14:solidFill>
                </w14:textFill>
              </w:rPr>
            </w:pPr>
          </w:p>
        </w:tc>
        <w:tc>
          <w:tcPr>
            <w:tcW w:w="890" w:type="dxa"/>
            <w:vAlign w:val="center"/>
          </w:tcPr>
          <w:p w14:paraId="18022FA8">
            <w:pPr>
              <w:ind w:left="-172" w:leftChars="-82" w:right="-199" w:rightChars="-95"/>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w:t>
            </w:r>
          </w:p>
          <w:p w14:paraId="26EAEFC3">
            <w:pPr>
              <w:ind w:left="-172" w:leftChars="-82" w:right="-199" w:rightChars="-95"/>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总烃</w:t>
            </w:r>
          </w:p>
        </w:tc>
        <w:tc>
          <w:tcPr>
            <w:tcW w:w="4071" w:type="dxa"/>
            <w:vAlign w:val="center"/>
          </w:tcPr>
          <w:p w14:paraId="1DFCDA5E">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卸油（油罐大呼吸）产生的非甲烷总烃由密闭管道输送至油罐车内带走处理；油罐小呼吸及加油作业产生的非甲烷总烃经油气回收系统处理，处理后经4m高DA001放气管以无组织形式外排至大气中</w:t>
            </w:r>
          </w:p>
        </w:tc>
        <w:tc>
          <w:tcPr>
            <w:tcW w:w="2130" w:type="dxa"/>
            <w:vMerge w:val="restart"/>
            <w:vAlign w:val="center"/>
          </w:tcPr>
          <w:p w14:paraId="0852096A">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满足《加油站大气污染物排放标准》（GB20952-2020）中的排放限值的要求</w:t>
            </w:r>
          </w:p>
        </w:tc>
      </w:tr>
      <w:tr w14:paraId="48A9ED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33" w:type="dxa"/>
            <w:vMerge w:val="restart"/>
            <w:vAlign w:val="center"/>
          </w:tcPr>
          <w:p w14:paraId="03F4596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w:t>
            </w:r>
          </w:p>
          <w:p w14:paraId="5015CB0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水环境</w:t>
            </w:r>
          </w:p>
        </w:tc>
        <w:tc>
          <w:tcPr>
            <w:tcW w:w="1651" w:type="dxa"/>
            <w:vAlign w:val="center"/>
          </w:tcPr>
          <w:p w14:paraId="6F1AE83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w:t>
            </w:r>
          </w:p>
          <w:p w14:paraId="764B7EE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w:t>
            </w:r>
          </w:p>
        </w:tc>
        <w:tc>
          <w:tcPr>
            <w:tcW w:w="890" w:type="dxa"/>
            <w:vAlign w:val="center"/>
          </w:tcPr>
          <w:p w14:paraId="4950B7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p w14:paraId="389A3B3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p w14:paraId="0FDDE281">
            <w:pPr>
              <w:ind w:left="-107" w:leftChars="-51" w:right="-107" w:rightChars="-5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p w14:paraId="4E473392">
            <w:pPr>
              <w:ind w:left="-107" w:leftChars="-51" w:right="-107" w:rightChars="-51"/>
              <w:jc w:val="both"/>
              <w:rPr>
                <w:color w:val="000000" w:themeColor="text1"/>
                <w:szCs w:val="21"/>
                <w14:textFill>
                  <w14:solidFill>
                    <w14:schemeClr w14:val="tx1"/>
                  </w14:solidFill>
                </w14:textFill>
              </w:rPr>
            </w:pPr>
          </w:p>
        </w:tc>
        <w:tc>
          <w:tcPr>
            <w:tcW w:w="4071" w:type="dxa"/>
            <w:vAlign w:val="center"/>
          </w:tcPr>
          <w:p w14:paraId="1C925789">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化粪池</w:t>
            </w:r>
          </w:p>
        </w:tc>
        <w:tc>
          <w:tcPr>
            <w:tcW w:w="2130" w:type="dxa"/>
            <w:vMerge w:val="restart"/>
            <w:vAlign w:val="center"/>
          </w:tcPr>
          <w:p w14:paraId="3534E10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达到</w:t>
            </w:r>
            <w:r>
              <w:rPr>
                <w:rFonts w:hint="eastAsia"/>
                <w:color w:val="000000" w:themeColor="text1"/>
                <w:szCs w:val="21"/>
                <w14:textFill>
                  <w14:solidFill>
                    <w14:schemeClr w14:val="tx1"/>
                  </w14:solidFill>
                </w14:textFill>
              </w:rPr>
              <w:t>固镇县</w:t>
            </w:r>
            <w:r>
              <w:rPr>
                <w:color w:val="000000" w:themeColor="text1"/>
                <w:szCs w:val="21"/>
                <w14:textFill>
                  <w14:solidFill>
                    <w14:schemeClr w14:val="tx1"/>
                  </w14:solidFill>
                </w14:textFill>
              </w:rPr>
              <w:t>污水处理厂接管标准</w:t>
            </w:r>
          </w:p>
        </w:tc>
      </w:tr>
      <w:tr w14:paraId="1EB85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033" w:type="dxa"/>
            <w:vMerge w:val="continue"/>
            <w:vAlign w:val="center"/>
          </w:tcPr>
          <w:p w14:paraId="3A19D798">
            <w:pPr>
              <w:adjustRightInd w:val="0"/>
              <w:snapToGrid w:val="0"/>
              <w:jc w:val="center"/>
              <w:rPr>
                <w:color w:val="000000" w:themeColor="text1"/>
                <w:szCs w:val="21"/>
                <w14:textFill>
                  <w14:solidFill>
                    <w14:schemeClr w14:val="tx1"/>
                  </w14:solidFill>
                </w14:textFill>
              </w:rPr>
            </w:pPr>
          </w:p>
        </w:tc>
        <w:tc>
          <w:tcPr>
            <w:tcW w:w="1651" w:type="dxa"/>
            <w:vAlign w:val="center"/>
          </w:tcPr>
          <w:p w14:paraId="0C70C00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地面冲洗水</w:t>
            </w:r>
          </w:p>
        </w:tc>
        <w:tc>
          <w:tcPr>
            <w:tcW w:w="890" w:type="dxa"/>
            <w:vAlign w:val="center"/>
          </w:tcPr>
          <w:p w14:paraId="5C83B64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p w14:paraId="43F433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p w14:paraId="0A763AA5">
            <w:pPr>
              <w:ind w:left="-107" w:leftChars="-51" w:right="-107" w:rightChars="-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石油类</w:t>
            </w:r>
          </w:p>
        </w:tc>
        <w:tc>
          <w:tcPr>
            <w:tcW w:w="4071" w:type="dxa"/>
            <w:vAlign w:val="center"/>
          </w:tcPr>
          <w:p w14:paraId="74B4767F">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隔油池</w:t>
            </w:r>
          </w:p>
        </w:tc>
        <w:tc>
          <w:tcPr>
            <w:tcW w:w="2130" w:type="dxa"/>
            <w:vMerge w:val="continue"/>
            <w:vAlign w:val="center"/>
          </w:tcPr>
          <w:p w14:paraId="4A32ECEF">
            <w:pPr>
              <w:jc w:val="center"/>
              <w:rPr>
                <w:color w:val="000000" w:themeColor="text1"/>
                <w:szCs w:val="21"/>
                <w14:textFill>
                  <w14:solidFill>
                    <w14:schemeClr w14:val="tx1"/>
                  </w14:solidFill>
                </w14:textFill>
              </w:rPr>
            </w:pPr>
          </w:p>
        </w:tc>
      </w:tr>
      <w:tr w14:paraId="52AA74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1033" w:type="dxa"/>
            <w:vAlign w:val="center"/>
          </w:tcPr>
          <w:p w14:paraId="21F9E86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651" w:type="dxa"/>
            <w:vAlign w:val="center"/>
          </w:tcPr>
          <w:p w14:paraId="0B56AF0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w:t>
            </w:r>
          </w:p>
          <w:p w14:paraId="1785B56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890" w:type="dxa"/>
            <w:vAlign w:val="center"/>
          </w:tcPr>
          <w:p w14:paraId="7F8CEE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4071" w:type="dxa"/>
            <w:vAlign w:val="center"/>
          </w:tcPr>
          <w:p w14:paraId="5CAD873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建筑隔声，设置基础减振、机座加隔振垫(圈)或设减振器。</w:t>
            </w:r>
          </w:p>
        </w:tc>
        <w:tc>
          <w:tcPr>
            <w:tcW w:w="2130" w:type="dxa"/>
            <w:vAlign w:val="center"/>
          </w:tcPr>
          <w:p w14:paraId="082A1D1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边界噪声符合《工业企业厂界环境噪声排放标准》（GB12348—2008）标准中</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类</w:t>
            </w:r>
            <w:r>
              <w:rPr>
                <w:rFonts w:hint="eastAsia"/>
                <w:color w:val="000000" w:themeColor="text1"/>
                <w:szCs w:val="21"/>
                <w14:textFill>
                  <w14:solidFill>
                    <w14:schemeClr w14:val="tx1"/>
                  </w14:solidFill>
                </w14:textFill>
              </w:rPr>
              <w:t>、4类</w:t>
            </w:r>
            <w:r>
              <w:rPr>
                <w:color w:val="000000" w:themeColor="text1"/>
                <w:szCs w:val="21"/>
                <w14:textFill>
                  <w14:solidFill>
                    <w14:schemeClr w14:val="tx1"/>
                  </w14:solidFill>
                </w14:textFill>
              </w:rPr>
              <w:t>标准要求</w:t>
            </w:r>
          </w:p>
        </w:tc>
      </w:tr>
      <w:tr w14:paraId="2A52F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033" w:type="dxa"/>
            <w:vAlign w:val="center"/>
          </w:tcPr>
          <w:p w14:paraId="7031789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w:t>
            </w:r>
          </w:p>
          <w:p w14:paraId="34EB5EF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辐射</w:t>
            </w:r>
          </w:p>
        </w:tc>
        <w:tc>
          <w:tcPr>
            <w:tcW w:w="1651" w:type="dxa"/>
            <w:vAlign w:val="center"/>
          </w:tcPr>
          <w:p w14:paraId="44A61E9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90" w:type="dxa"/>
            <w:vAlign w:val="center"/>
          </w:tcPr>
          <w:p w14:paraId="33F054E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071" w:type="dxa"/>
            <w:vAlign w:val="center"/>
          </w:tcPr>
          <w:p w14:paraId="25F712A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130" w:type="dxa"/>
            <w:vAlign w:val="center"/>
          </w:tcPr>
          <w:p w14:paraId="1292F1C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1CE1FD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1033" w:type="dxa"/>
            <w:vAlign w:val="center"/>
          </w:tcPr>
          <w:p w14:paraId="4D16C91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w:t>
            </w:r>
          </w:p>
          <w:p w14:paraId="7E2D297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废物</w:t>
            </w:r>
          </w:p>
        </w:tc>
        <w:tc>
          <w:tcPr>
            <w:tcW w:w="8742" w:type="dxa"/>
            <w:gridSpan w:val="4"/>
            <w:vAlign w:val="center"/>
          </w:tcPr>
          <w:p w14:paraId="259D4161">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项目产生的各类固体废物均分类收集，危险废物暂存于危废暂存间，生活垃圾贮存于厂内垃圾桶，由环卫部门定期清运。各类废弃物不的混放。</w:t>
            </w:r>
          </w:p>
        </w:tc>
      </w:tr>
      <w:tr w14:paraId="063CC4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033" w:type="dxa"/>
            <w:vAlign w:val="center"/>
          </w:tcPr>
          <w:p w14:paraId="24B6D61D">
            <w:pPr>
              <w:adjustRightInd w:val="0"/>
              <w:snapToGrid w:val="0"/>
              <w:ind w:left="-118" w:leftChars="-56" w:right="-57" w:rightChars="-27"/>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土壤及地下水污染防治措施</w:t>
            </w:r>
          </w:p>
        </w:tc>
        <w:tc>
          <w:tcPr>
            <w:tcW w:w="8742" w:type="dxa"/>
            <w:gridSpan w:val="4"/>
            <w:vAlign w:val="center"/>
          </w:tcPr>
          <w:p w14:paraId="1540D4F4">
            <w:pPr>
              <w:adjustRightInd w:val="0"/>
              <w:snapToGrid w:val="0"/>
              <w:rPr>
                <w:color w:val="000000" w:themeColor="text1"/>
                <w:szCs w:val="21"/>
                <w14:textFill>
                  <w14:solidFill>
                    <w14:schemeClr w14:val="tx1"/>
                  </w14:solidFill>
                </w14:textFill>
              </w:rPr>
            </w:pPr>
          </w:p>
          <w:p w14:paraId="733653E1">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采用双层储油罐和双层输油管道；分区防渗，油罐区和输油管道、加油机底槽、危废暂存间、沉淀池、隔油池、水封井等区域均采取重点防渗；站内设置一个地下水监测井</w:t>
            </w:r>
          </w:p>
        </w:tc>
      </w:tr>
      <w:tr w14:paraId="6853C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033" w:type="dxa"/>
            <w:vAlign w:val="center"/>
          </w:tcPr>
          <w:p w14:paraId="6442435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8742" w:type="dxa"/>
            <w:gridSpan w:val="4"/>
            <w:vAlign w:val="center"/>
          </w:tcPr>
          <w:p w14:paraId="5D1E23E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r>
      <w:tr w14:paraId="52688D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033" w:type="dxa"/>
            <w:vAlign w:val="center"/>
          </w:tcPr>
          <w:p w14:paraId="6FFA194A">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环境风险防范措施</w:t>
            </w:r>
          </w:p>
        </w:tc>
        <w:tc>
          <w:tcPr>
            <w:tcW w:w="8742" w:type="dxa"/>
            <w:gridSpan w:val="4"/>
            <w:vAlign w:val="center"/>
          </w:tcPr>
          <w:p w14:paraId="68A922CB">
            <w:pPr>
              <w:rPr>
                <w:color w:val="000000" w:themeColor="text1"/>
                <w:szCs w:val="21"/>
                <w14:textFill>
                  <w14:solidFill>
                    <w14:schemeClr w14:val="tx1"/>
                  </w14:solidFill>
                </w14:textFill>
              </w:rPr>
            </w:pPr>
          </w:p>
          <w:p w14:paraId="3BA8A9C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根据设计规范合理进行总平面布局；设计采用双层罐和双层输油管道、渗漏监测系统；按标准配备灭火器、消防沙池、灭火毯等消防器材；储油罐安装电子液位仪（具备泄露和渗漏报警功能），卸油防溢阀，加油机安装紧急切断系统，站区安装视频监控系统，加油区设有环保沟和雨水切换阀，制定突发环境事件应急预案并定期组织演练和培训</w:t>
            </w:r>
          </w:p>
          <w:p w14:paraId="5085FD93">
            <w:pPr>
              <w:jc w:val="center"/>
              <w:rPr>
                <w:bCs/>
                <w:color w:val="000000" w:themeColor="text1"/>
                <w:szCs w:val="21"/>
                <w14:textFill>
                  <w14:solidFill>
                    <w14:schemeClr w14:val="tx1"/>
                  </w14:solidFill>
                </w14:textFill>
              </w:rPr>
            </w:pPr>
          </w:p>
          <w:p w14:paraId="3F5DD8C7">
            <w:pPr>
              <w:jc w:val="center"/>
              <w:rPr>
                <w:bCs/>
                <w:color w:val="000000" w:themeColor="text1"/>
                <w:szCs w:val="21"/>
                <w14:textFill>
                  <w14:solidFill>
                    <w14:schemeClr w14:val="tx1"/>
                  </w14:solidFill>
                </w14:textFill>
              </w:rPr>
            </w:pPr>
          </w:p>
          <w:p w14:paraId="0E52251C">
            <w:pPr>
              <w:jc w:val="center"/>
              <w:rPr>
                <w:bCs/>
                <w:color w:val="000000" w:themeColor="text1"/>
                <w:szCs w:val="21"/>
                <w14:textFill>
                  <w14:solidFill>
                    <w14:schemeClr w14:val="tx1"/>
                  </w14:solidFill>
                </w14:textFill>
              </w:rPr>
            </w:pPr>
          </w:p>
          <w:p w14:paraId="00665C59">
            <w:pPr>
              <w:jc w:val="center"/>
              <w:rPr>
                <w:bCs/>
                <w:color w:val="000000" w:themeColor="text1"/>
                <w:szCs w:val="21"/>
                <w14:textFill>
                  <w14:solidFill>
                    <w14:schemeClr w14:val="tx1"/>
                  </w14:solidFill>
                </w14:textFill>
              </w:rPr>
            </w:pPr>
          </w:p>
          <w:p w14:paraId="71F16625">
            <w:pPr>
              <w:jc w:val="center"/>
              <w:rPr>
                <w:bCs/>
                <w:color w:val="000000" w:themeColor="text1"/>
                <w:szCs w:val="21"/>
                <w14:textFill>
                  <w14:solidFill>
                    <w14:schemeClr w14:val="tx1"/>
                  </w14:solidFill>
                </w14:textFill>
              </w:rPr>
            </w:pPr>
          </w:p>
          <w:p w14:paraId="54E892E7">
            <w:pPr>
              <w:jc w:val="center"/>
              <w:rPr>
                <w:bCs/>
                <w:color w:val="000000" w:themeColor="text1"/>
                <w:szCs w:val="21"/>
                <w14:textFill>
                  <w14:solidFill>
                    <w14:schemeClr w14:val="tx1"/>
                  </w14:solidFill>
                </w14:textFill>
              </w:rPr>
            </w:pPr>
          </w:p>
          <w:p w14:paraId="79587AB6">
            <w:pPr>
              <w:rPr>
                <w:color w:val="000000" w:themeColor="text1"/>
                <w:szCs w:val="21"/>
                <w14:textFill>
                  <w14:solidFill>
                    <w14:schemeClr w14:val="tx1"/>
                  </w14:solidFill>
                </w14:textFill>
              </w:rPr>
            </w:pPr>
          </w:p>
        </w:tc>
      </w:tr>
      <w:tr w14:paraId="79FD3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1" w:hRule="atLeast"/>
          <w:jc w:val="center"/>
        </w:trPr>
        <w:tc>
          <w:tcPr>
            <w:tcW w:w="1033" w:type="dxa"/>
            <w:vAlign w:val="center"/>
          </w:tcPr>
          <w:p w14:paraId="1001C67A">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其他环境管理要求</w:t>
            </w:r>
          </w:p>
        </w:tc>
        <w:tc>
          <w:tcPr>
            <w:tcW w:w="8742" w:type="dxa"/>
            <w:gridSpan w:val="4"/>
            <w:vAlign w:val="center"/>
          </w:tcPr>
          <w:p w14:paraId="2F27E155">
            <w:pPr>
              <w:ind w:firstLine="420" w:firstLineChars="200"/>
              <w:rPr>
                <w:color w:val="000000" w:themeColor="text1"/>
                <w14:textFill>
                  <w14:solidFill>
                    <w14:schemeClr w14:val="tx1"/>
                  </w14:solidFill>
                </w14:textFill>
              </w:rPr>
            </w:pPr>
          </w:p>
          <w:p w14:paraId="27FC3766">
            <w:pPr>
              <w:ind w:firstLine="420" w:firstLineChars="200"/>
              <w:rPr>
                <w:color w:val="000000" w:themeColor="text1"/>
                <w14:textFill>
                  <w14:solidFill>
                    <w14:schemeClr w14:val="tx1"/>
                  </w14:solidFill>
                </w14:textFill>
              </w:rPr>
            </w:pPr>
          </w:p>
          <w:p w14:paraId="11E5FC6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中华人民共和国环境保护法》明确指出，我国环境保护的任务是保证在社会主义现代化建设中，合理利用自然资源，防止环境污染和生态破坏，为人民创造清洁适宜的生活和劳动环境，保护人民健康，促进经济发展因此，本建设单位设立环境管理机构，负责项目运营期的环境管理工作，其主要的职责与功能如下：</w:t>
            </w:r>
          </w:p>
          <w:p w14:paraId="3F10C5AC">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（1）在项目建成投入试运营之前，按《排污许可证申请与核发技术规范 储油库、加油站》（HJ1118-2020）申请填报简化管理的排污许可证，在申领到了排污许可证之后才开展试运行，并落实排污许可证中载明的相关要求。</w:t>
            </w:r>
          </w:p>
          <w:p w14:paraId="017C318D">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（2）在运营期，项目环境管理部门负责检查汽油油气回收系统设备的运行情况，确保其有效运行，如有故障应及时维修。</w:t>
            </w:r>
          </w:p>
          <w:p w14:paraId="1485AE70">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（3）加强清洁生产管理，站内地面均实行硬化，加强项目原辅生产材料、固废和危废的管理工作，特别是危废库等场所的防渗处理，防止雨季淋溶水污染附近地表和地下水体。</w:t>
            </w:r>
          </w:p>
          <w:p w14:paraId="6781CBB6">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（4）结合自行监测方案，委托具有资质的监测单位对本项目运营期的环境污染物排放达标情况进行自行监测。</w:t>
            </w:r>
          </w:p>
          <w:p w14:paraId="79710654">
            <w:pPr>
              <w:pStyle w:val="12"/>
              <w:rPr>
                <w:color w:val="000000" w:themeColor="text1"/>
                <w14:textFill>
                  <w14:solidFill>
                    <w14:schemeClr w14:val="tx1"/>
                  </w14:solidFill>
                </w14:textFill>
              </w:rPr>
            </w:pPr>
          </w:p>
          <w:p w14:paraId="000CBAC2">
            <w:pPr>
              <w:rPr>
                <w:color w:val="000000" w:themeColor="text1"/>
                <w14:textFill>
                  <w14:solidFill>
                    <w14:schemeClr w14:val="tx1"/>
                  </w14:solidFill>
                </w14:textFill>
              </w:rPr>
            </w:pPr>
          </w:p>
          <w:p w14:paraId="036549DF">
            <w:pPr>
              <w:rPr>
                <w:color w:val="000000" w:themeColor="text1"/>
                <w14:textFill>
                  <w14:solidFill>
                    <w14:schemeClr w14:val="tx1"/>
                  </w14:solidFill>
                </w14:textFill>
              </w:rPr>
            </w:pPr>
          </w:p>
          <w:p w14:paraId="5FCF95A0">
            <w:pPr>
              <w:rPr>
                <w:color w:val="000000" w:themeColor="text1"/>
                <w14:textFill>
                  <w14:solidFill>
                    <w14:schemeClr w14:val="tx1"/>
                  </w14:solidFill>
                </w14:textFill>
              </w:rPr>
            </w:pPr>
          </w:p>
          <w:p w14:paraId="39AC09AA">
            <w:pPr>
              <w:rPr>
                <w:color w:val="000000" w:themeColor="text1"/>
                <w14:textFill>
                  <w14:solidFill>
                    <w14:schemeClr w14:val="tx1"/>
                  </w14:solidFill>
                </w14:textFill>
              </w:rPr>
            </w:pPr>
          </w:p>
          <w:p w14:paraId="17FB8DA9">
            <w:pPr>
              <w:rPr>
                <w:color w:val="000000" w:themeColor="text1"/>
                <w14:textFill>
                  <w14:solidFill>
                    <w14:schemeClr w14:val="tx1"/>
                  </w14:solidFill>
                </w14:textFill>
              </w:rPr>
            </w:pPr>
          </w:p>
          <w:p w14:paraId="28764A23">
            <w:pPr>
              <w:rPr>
                <w:color w:val="000000" w:themeColor="text1"/>
                <w14:textFill>
                  <w14:solidFill>
                    <w14:schemeClr w14:val="tx1"/>
                  </w14:solidFill>
                </w14:textFill>
              </w:rPr>
            </w:pPr>
          </w:p>
          <w:p w14:paraId="5D06EDF7">
            <w:pPr>
              <w:rPr>
                <w:color w:val="000000" w:themeColor="text1"/>
                <w14:textFill>
                  <w14:solidFill>
                    <w14:schemeClr w14:val="tx1"/>
                  </w14:solidFill>
                </w14:textFill>
              </w:rPr>
            </w:pPr>
          </w:p>
          <w:p w14:paraId="6DE400FB">
            <w:pPr>
              <w:rPr>
                <w:color w:val="000000" w:themeColor="text1"/>
                <w14:textFill>
                  <w14:solidFill>
                    <w14:schemeClr w14:val="tx1"/>
                  </w14:solidFill>
                </w14:textFill>
              </w:rPr>
            </w:pPr>
          </w:p>
          <w:p w14:paraId="5F069EBC">
            <w:pPr>
              <w:rPr>
                <w:color w:val="000000" w:themeColor="text1"/>
                <w14:textFill>
                  <w14:solidFill>
                    <w14:schemeClr w14:val="tx1"/>
                  </w14:solidFill>
                </w14:textFill>
              </w:rPr>
            </w:pPr>
          </w:p>
          <w:p w14:paraId="1C046E63">
            <w:pPr>
              <w:rPr>
                <w:color w:val="000000" w:themeColor="text1"/>
                <w14:textFill>
                  <w14:solidFill>
                    <w14:schemeClr w14:val="tx1"/>
                  </w14:solidFill>
                </w14:textFill>
              </w:rPr>
            </w:pPr>
          </w:p>
          <w:p w14:paraId="710B8881">
            <w:pPr>
              <w:rPr>
                <w:color w:val="000000" w:themeColor="text1"/>
                <w14:textFill>
                  <w14:solidFill>
                    <w14:schemeClr w14:val="tx1"/>
                  </w14:solidFill>
                </w14:textFill>
              </w:rPr>
            </w:pPr>
          </w:p>
          <w:p w14:paraId="6280B413">
            <w:pPr>
              <w:rPr>
                <w:color w:val="000000" w:themeColor="text1"/>
                <w14:textFill>
                  <w14:solidFill>
                    <w14:schemeClr w14:val="tx1"/>
                  </w14:solidFill>
                </w14:textFill>
              </w:rPr>
            </w:pPr>
          </w:p>
          <w:p w14:paraId="7E891670">
            <w:pPr>
              <w:rPr>
                <w:color w:val="000000" w:themeColor="text1"/>
                <w14:textFill>
                  <w14:solidFill>
                    <w14:schemeClr w14:val="tx1"/>
                  </w14:solidFill>
                </w14:textFill>
              </w:rPr>
            </w:pPr>
          </w:p>
          <w:p w14:paraId="6C2EC936">
            <w:pPr>
              <w:rPr>
                <w:color w:val="000000" w:themeColor="text1"/>
                <w14:textFill>
                  <w14:solidFill>
                    <w14:schemeClr w14:val="tx1"/>
                  </w14:solidFill>
                </w14:textFill>
              </w:rPr>
            </w:pPr>
          </w:p>
          <w:p w14:paraId="59EA06A4">
            <w:pPr>
              <w:rPr>
                <w:color w:val="000000" w:themeColor="text1"/>
                <w14:textFill>
                  <w14:solidFill>
                    <w14:schemeClr w14:val="tx1"/>
                  </w14:solidFill>
                </w14:textFill>
              </w:rPr>
            </w:pPr>
          </w:p>
          <w:p w14:paraId="020D9C52">
            <w:pPr>
              <w:rPr>
                <w:color w:val="000000" w:themeColor="text1"/>
                <w14:textFill>
                  <w14:solidFill>
                    <w14:schemeClr w14:val="tx1"/>
                  </w14:solidFill>
                </w14:textFill>
              </w:rPr>
            </w:pPr>
          </w:p>
          <w:p w14:paraId="5F32A7FD">
            <w:pPr>
              <w:rPr>
                <w:color w:val="000000" w:themeColor="text1"/>
                <w14:textFill>
                  <w14:solidFill>
                    <w14:schemeClr w14:val="tx1"/>
                  </w14:solidFill>
                </w14:textFill>
              </w:rPr>
            </w:pPr>
          </w:p>
          <w:p w14:paraId="35638994">
            <w:pPr>
              <w:rPr>
                <w:color w:val="000000" w:themeColor="text1"/>
                <w14:textFill>
                  <w14:solidFill>
                    <w14:schemeClr w14:val="tx1"/>
                  </w14:solidFill>
                </w14:textFill>
              </w:rPr>
            </w:pPr>
          </w:p>
          <w:p w14:paraId="46A1B620">
            <w:pPr>
              <w:rPr>
                <w:color w:val="000000" w:themeColor="text1"/>
                <w14:textFill>
                  <w14:solidFill>
                    <w14:schemeClr w14:val="tx1"/>
                  </w14:solidFill>
                </w14:textFill>
              </w:rPr>
            </w:pPr>
          </w:p>
          <w:p w14:paraId="44D4CEC7">
            <w:pPr>
              <w:rPr>
                <w:color w:val="000000" w:themeColor="text1"/>
                <w14:textFill>
                  <w14:solidFill>
                    <w14:schemeClr w14:val="tx1"/>
                  </w14:solidFill>
                </w14:textFill>
              </w:rPr>
            </w:pPr>
          </w:p>
          <w:p w14:paraId="330D8A60">
            <w:pPr>
              <w:rPr>
                <w:color w:val="000000" w:themeColor="text1"/>
                <w14:textFill>
                  <w14:solidFill>
                    <w14:schemeClr w14:val="tx1"/>
                  </w14:solidFill>
                </w14:textFill>
              </w:rPr>
            </w:pPr>
          </w:p>
          <w:p w14:paraId="298255CD">
            <w:pPr>
              <w:rPr>
                <w:color w:val="000000" w:themeColor="text1"/>
                <w14:textFill>
                  <w14:solidFill>
                    <w14:schemeClr w14:val="tx1"/>
                  </w14:solidFill>
                </w14:textFill>
              </w:rPr>
            </w:pPr>
          </w:p>
          <w:p w14:paraId="0822538C">
            <w:pPr>
              <w:rPr>
                <w:color w:val="000000" w:themeColor="text1"/>
                <w14:textFill>
                  <w14:solidFill>
                    <w14:schemeClr w14:val="tx1"/>
                  </w14:solidFill>
                </w14:textFill>
              </w:rPr>
            </w:pPr>
          </w:p>
          <w:p w14:paraId="27EBCC92">
            <w:pPr>
              <w:rPr>
                <w:color w:val="000000" w:themeColor="text1"/>
                <w14:textFill>
                  <w14:solidFill>
                    <w14:schemeClr w14:val="tx1"/>
                  </w14:solidFill>
                </w14:textFill>
              </w:rPr>
            </w:pPr>
          </w:p>
          <w:p w14:paraId="1C13C50C">
            <w:pPr>
              <w:rPr>
                <w:color w:val="000000" w:themeColor="text1"/>
                <w14:textFill>
                  <w14:solidFill>
                    <w14:schemeClr w14:val="tx1"/>
                  </w14:solidFill>
                </w14:textFill>
              </w:rPr>
            </w:pPr>
          </w:p>
          <w:p w14:paraId="3D7B2631">
            <w:pPr>
              <w:rPr>
                <w:color w:val="000000" w:themeColor="text1"/>
                <w14:textFill>
                  <w14:solidFill>
                    <w14:schemeClr w14:val="tx1"/>
                  </w14:solidFill>
                </w14:textFill>
              </w:rPr>
            </w:pPr>
          </w:p>
          <w:p w14:paraId="3874EE8F">
            <w:pPr>
              <w:rPr>
                <w:color w:val="000000" w:themeColor="text1"/>
                <w14:textFill>
                  <w14:solidFill>
                    <w14:schemeClr w14:val="tx1"/>
                  </w14:solidFill>
                </w14:textFill>
              </w:rPr>
            </w:pPr>
          </w:p>
          <w:p w14:paraId="78F0A5BC">
            <w:pPr>
              <w:rPr>
                <w:color w:val="000000" w:themeColor="text1"/>
                <w14:textFill>
                  <w14:solidFill>
                    <w14:schemeClr w14:val="tx1"/>
                  </w14:solidFill>
                </w14:textFill>
              </w:rPr>
            </w:pPr>
          </w:p>
          <w:p w14:paraId="43130992">
            <w:pPr>
              <w:rPr>
                <w:color w:val="000000" w:themeColor="text1"/>
                <w14:textFill>
                  <w14:solidFill>
                    <w14:schemeClr w14:val="tx1"/>
                  </w14:solidFill>
                </w14:textFill>
              </w:rPr>
            </w:pPr>
          </w:p>
          <w:p w14:paraId="4C62EBA6">
            <w:pPr>
              <w:rPr>
                <w:color w:val="000000" w:themeColor="text1"/>
                <w14:textFill>
                  <w14:solidFill>
                    <w14:schemeClr w14:val="tx1"/>
                  </w14:solidFill>
                </w14:textFill>
              </w:rPr>
            </w:pPr>
          </w:p>
          <w:p w14:paraId="09F70F55">
            <w:pPr>
              <w:rPr>
                <w:color w:val="000000" w:themeColor="text1"/>
                <w14:textFill>
                  <w14:solidFill>
                    <w14:schemeClr w14:val="tx1"/>
                  </w14:solidFill>
                </w14:textFill>
              </w:rPr>
            </w:pPr>
          </w:p>
          <w:p w14:paraId="6613E30E">
            <w:pPr>
              <w:rPr>
                <w:color w:val="000000" w:themeColor="text1"/>
                <w14:textFill>
                  <w14:solidFill>
                    <w14:schemeClr w14:val="tx1"/>
                  </w14:solidFill>
                </w14:textFill>
              </w:rPr>
            </w:pPr>
          </w:p>
          <w:p w14:paraId="23FA6C40">
            <w:pPr>
              <w:rPr>
                <w:color w:val="000000" w:themeColor="text1"/>
                <w14:textFill>
                  <w14:solidFill>
                    <w14:schemeClr w14:val="tx1"/>
                  </w14:solidFill>
                </w14:textFill>
              </w:rPr>
            </w:pPr>
          </w:p>
          <w:p w14:paraId="591796C2">
            <w:pPr>
              <w:rPr>
                <w:color w:val="000000" w:themeColor="text1"/>
                <w14:textFill>
                  <w14:solidFill>
                    <w14:schemeClr w14:val="tx1"/>
                  </w14:solidFill>
                </w14:textFill>
              </w:rPr>
            </w:pPr>
          </w:p>
          <w:p w14:paraId="78FF8390">
            <w:pPr>
              <w:rPr>
                <w:color w:val="000000" w:themeColor="text1"/>
                <w14:textFill>
                  <w14:solidFill>
                    <w14:schemeClr w14:val="tx1"/>
                  </w14:solidFill>
                </w14:textFill>
              </w:rPr>
            </w:pPr>
          </w:p>
          <w:p w14:paraId="7D672B83">
            <w:pPr>
              <w:rPr>
                <w:color w:val="000000" w:themeColor="text1"/>
                <w14:textFill>
                  <w14:solidFill>
                    <w14:schemeClr w14:val="tx1"/>
                  </w14:solidFill>
                </w14:textFill>
              </w:rPr>
            </w:pPr>
          </w:p>
        </w:tc>
      </w:tr>
    </w:tbl>
    <w:p w14:paraId="02750B77">
      <w:pPr>
        <w:widowControl/>
        <w:ind w:left="-424" w:leftChars="-202" w:right="-510" w:rightChars="-243"/>
        <w:jc w:val="center"/>
        <w:outlineLvl w:val="0"/>
        <w:rPr>
          <w:rFonts w:ascii="黑体" w:hAnsi="黑体" w:eastAsia="黑体"/>
          <w:snapToGrid w:val="0"/>
          <w:color w:val="000000" w:themeColor="text1"/>
          <w:kern w:val="0"/>
          <w:sz w:val="30"/>
          <w:szCs w:val="30"/>
          <w14:textFill>
            <w14:solidFill>
              <w14:schemeClr w14:val="tx1"/>
            </w14:solidFill>
          </w14:textFill>
        </w:rPr>
      </w:pPr>
      <w:r>
        <w:rPr>
          <w:rFonts w:ascii="宋体" w:hAnsi="宋体"/>
          <w:snapToGrid w:val="0"/>
          <w:color w:val="000000" w:themeColor="text1"/>
          <w:kern w:val="0"/>
          <w:sz w:val="24"/>
          <w:szCs w:val="20"/>
          <w14:textFill>
            <w14:solidFill>
              <w14:schemeClr w14:val="tx1"/>
            </w14:solidFill>
          </w14:textFill>
        </w:rPr>
        <w:br w:type="page"/>
      </w:r>
      <w:r>
        <w:rPr>
          <w:rFonts w:hint="eastAsia" w:ascii="黑体" w:hAnsi="黑体" w:eastAsia="黑体"/>
          <w:snapToGrid w:val="0"/>
          <w:color w:val="000000" w:themeColor="text1"/>
          <w:kern w:val="0"/>
          <w:sz w:val="30"/>
          <w:szCs w:val="30"/>
          <w14:textFill>
            <w14:solidFill>
              <w14:schemeClr w14:val="tx1"/>
            </w14:solidFill>
          </w14:textFill>
        </w:rPr>
        <w:t>六、结论</w:t>
      </w:r>
    </w:p>
    <w:tbl>
      <w:tblPr>
        <w:tblStyle w:val="27"/>
        <w:tblW w:w="97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75"/>
      </w:tblGrid>
      <w:tr w14:paraId="08268B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4" w:hRule="atLeast"/>
          <w:jc w:val="center"/>
        </w:trPr>
        <w:tc>
          <w:tcPr>
            <w:tcW w:w="8865" w:type="dxa"/>
            <w:vAlign w:val="center"/>
          </w:tcPr>
          <w:p w14:paraId="5F457F03">
            <w:pPr>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项目符合国家及地方产业政策，选址符合城市土地利用规划要求。项目实施后在采用各项污染防治措施的前提条件下，各项污染物能够做到达标排放；污染物排放量符合总量控制要求；本项目的实施不会降低区域环境空气质量、水环境质量及声环境质量标准；落实风险防范及应急措施后风险水平在可接受范围内。该项目在建设过程中，应严格执行环保设施与主体工程同时设计、同时施工、同时投产的“三同时”制度。从环保角度出发，该项目的建设是可行的。</w:t>
            </w:r>
          </w:p>
        </w:tc>
      </w:tr>
    </w:tbl>
    <w:p w14:paraId="49BFD6AC">
      <w:pPr>
        <w:rPr>
          <w:rFonts w:ascii="宋体"/>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p w14:paraId="5F9B6AE9">
      <w:pPr>
        <w:widowControl/>
        <w:adjustRightInd w:val="0"/>
        <w:snapToGrid w:val="0"/>
        <w:spacing w:line="648" w:lineRule="auto"/>
        <w:jc w:val="left"/>
        <w:outlineLvl w:val="0"/>
        <w:rPr>
          <w:rFonts w:ascii="黑体" w:hAnsi="黑体" w:eastAsia="黑体"/>
          <w:snapToGrid w:val="0"/>
          <w:color w:val="000000" w:themeColor="text1"/>
          <w:kern w:val="0"/>
          <w:sz w:val="32"/>
          <w:szCs w:val="32"/>
          <w14:textFill>
            <w14:solidFill>
              <w14:schemeClr w14:val="tx1"/>
            </w14:solidFill>
          </w14:textFill>
        </w:rPr>
      </w:pPr>
      <w:r>
        <w:rPr>
          <w:rFonts w:hint="eastAsia" w:ascii="黑体" w:hAnsi="黑体" w:eastAsia="黑体"/>
          <w:snapToGrid w:val="0"/>
          <w:color w:val="000000" w:themeColor="text1"/>
          <w:kern w:val="0"/>
          <w:sz w:val="32"/>
          <w:szCs w:val="32"/>
          <w14:textFill>
            <w14:solidFill>
              <w14:schemeClr w14:val="tx1"/>
            </w14:solidFill>
          </w14:textFill>
        </w:rPr>
        <w:t>附表</w:t>
      </w:r>
    </w:p>
    <w:p w14:paraId="68615218">
      <w:pPr>
        <w:widowControl/>
        <w:adjustRightInd w:val="0"/>
        <w:snapToGrid w:val="0"/>
        <w:spacing w:line="552" w:lineRule="auto"/>
        <w:jc w:val="center"/>
        <w:outlineLvl w:val="0"/>
        <w:rPr>
          <w:rFonts w:ascii="宋体" w:hAnsi="宋体"/>
          <w:snapToGrid w:val="0"/>
          <w:color w:val="000000" w:themeColor="text1"/>
          <w:kern w:val="0"/>
          <w:sz w:val="38"/>
          <w:szCs w:val="38"/>
          <w14:textFill>
            <w14:solidFill>
              <w14:schemeClr w14:val="tx1"/>
            </w14:solidFill>
          </w14:textFill>
        </w:rPr>
      </w:pPr>
      <w:r>
        <w:rPr>
          <w:rFonts w:hint="eastAsia" w:ascii="宋体" w:hAnsi="宋体"/>
          <w:snapToGrid w:val="0"/>
          <w:color w:val="000000" w:themeColor="text1"/>
          <w:kern w:val="0"/>
          <w:sz w:val="38"/>
          <w:szCs w:val="38"/>
          <w14:textFill>
            <w14:solidFill>
              <w14:schemeClr w14:val="tx1"/>
            </w14:solidFill>
          </w14:textFill>
        </w:rPr>
        <w:t>建设项目污染物排放量汇总表</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33"/>
        <w:gridCol w:w="712"/>
        <w:gridCol w:w="1221"/>
        <w:gridCol w:w="941"/>
        <w:gridCol w:w="725"/>
        <w:gridCol w:w="1152"/>
        <w:gridCol w:w="2212"/>
        <w:gridCol w:w="1213"/>
        <w:gridCol w:w="2212"/>
        <w:gridCol w:w="2411"/>
      </w:tblGrid>
      <w:tr w14:paraId="03818B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tcBorders>
              <w:tl2br w:val="single" w:color="auto" w:sz="4" w:space="0"/>
            </w:tcBorders>
            <w:tcMar>
              <w:left w:w="28" w:type="dxa"/>
              <w:right w:w="28" w:type="dxa"/>
            </w:tcMar>
            <w:vAlign w:val="center"/>
          </w:tcPr>
          <w:p w14:paraId="789760AC">
            <w:pPr>
              <w:adjustRightInd w:val="0"/>
              <w:snapToGrid w:val="0"/>
              <w:jc w:val="right"/>
              <w:rPr>
                <w:rFonts w:eastAsia="黑体"/>
                <w:snapToGrid w:val="0"/>
                <w:color w:val="000000" w:themeColor="text1"/>
                <w:spacing w:val="-6"/>
                <w:kern w:val="21"/>
                <w:szCs w:val="21"/>
                <w14:textFill>
                  <w14:solidFill>
                    <w14:schemeClr w14:val="tx1"/>
                  </w14:solidFill>
                </w14:textFill>
              </w:rPr>
            </w:pPr>
            <w:r>
              <w:rPr>
                <w:rFonts w:eastAsia="黑体"/>
                <w:snapToGrid w:val="0"/>
                <w:color w:val="000000" w:themeColor="text1"/>
                <w:spacing w:val="-6"/>
                <w:kern w:val="21"/>
                <w:szCs w:val="21"/>
                <w14:textFill>
                  <w14:solidFill>
                    <w14:schemeClr w14:val="tx1"/>
                  </w14:solidFill>
                </w14:textFill>
              </w:rPr>
              <w:t>项目</w:t>
            </w:r>
          </w:p>
          <w:p w14:paraId="62648D49">
            <w:pPr>
              <w:adjustRightInd w:val="0"/>
              <w:snapToGrid w:val="0"/>
              <w:jc w:val="left"/>
              <w:rPr>
                <w:rFonts w:eastAsia="黑体"/>
                <w:snapToGrid w:val="0"/>
                <w:color w:val="000000" w:themeColor="text1"/>
                <w:spacing w:val="-6"/>
                <w:kern w:val="21"/>
                <w:szCs w:val="21"/>
                <w14:textFill>
                  <w14:solidFill>
                    <w14:schemeClr w14:val="tx1"/>
                  </w14:solidFill>
                </w14:textFill>
              </w:rPr>
            </w:pPr>
            <w:r>
              <w:rPr>
                <w:rFonts w:eastAsia="黑体"/>
                <w:snapToGrid w:val="0"/>
                <w:color w:val="000000" w:themeColor="text1"/>
                <w:spacing w:val="-6"/>
                <w:kern w:val="21"/>
                <w:szCs w:val="21"/>
                <w14:textFill>
                  <w14:solidFill>
                    <w14:schemeClr w14:val="tx1"/>
                  </w14:solidFill>
                </w14:textFill>
              </w:rPr>
              <w:t>分类</w:t>
            </w:r>
          </w:p>
        </w:tc>
        <w:tc>
          <w:tcPr>
            <w:tcW w:w="698" w:type="pct"/>
            <w:gridSpan w:val="2"/>
            <w:tcMar>
              <w:left w:w="28" w:type="dxa"/>
              <w:right w:w="28" w:type="dxa"/>
            </w:tcMar>
            <w:vAlign w:val="center"/>
          </w:tcPr>
          <w:p w14:paraId="468D0B73">
            <w:pPr>
              <w:adjustRightInd w:val="0"/>
              <w:snapToGrid w:val="0"/>
              <w:jc w:val="center"/>
              <w:rPr>
                <w:rFonts w:eastAsia="黑体"/>
                <w:snapToGrid w:val="0"/>
                <w:color w:val="000000" w:themeColor="text1"/>
                <w:spacing w:val="-6"/>
                <w:kern w:val="21"/>
                <w:szCs w:val="21"/>
                <w14:textFill>
                  <w14:solidFill>
                    <w14:schemeClr w14:val="tx1"/>
                  </w14:solidFill>
                </w14:textFill>
              </w:rPr>
            </w:pPr>
            <w:r>
              <w:rPr>
                <w:rFonts w:eastAsia="黑体"/>
                <w:snapToGrid w:val="0"/>
                <w:color w:val="000000" w:themeColor="text1"/>
                <w:spacing w:val="-6"/>
                <w:kern w:val="21"/>
                <w:szCs w:val="21"/>
                <w14:textFill>
                  <w14:solidFill>
                    <w14:schemeClr w14:val="tx1"/>
                  </w14:solidFill>
                </w14:textFill>
              </w:rPr>
              <w:t>污染物名称</w:t>
            </w:r>
          </w:p>
        </w:tc>
        <w:tc>
          <w:tcPr>
            <w:tcW w:w="340" w:type="pct"/>
            <w:tcMar>
              <w:left w:w="28" w:type="dxa"/>
              <w:right w:w="28" w:type="dxa"/>
            </w:tcMar>
            <w:vAlign w:val="center"/>
          </w:tcPr>
          <w:p w14:paraId="2BFD2421">
            <w:pPr>
              <w:adjustRightInd w:val="0"/>
              <w:snapToGrid w:val="0"/>
              <w:jc w:val="center"/>
              <w:rPr>
                <w:rFonts w:eastAsia="黑体"/>
                <w:snapToGrid w:val="0"/>
                <w:color w:val="000000" w:themeColor="text1"/>
                <w:spacing w:val="-6"/>
                <w:kern w:val="21"/>
                <w:szCs w:val="21"/>
                <w14:textFill>
                  <w14:solidFill>
                    <w14:schemeClr w14:val="tx1"/>
                  </w14:solidFill>
                </w14:textFill>
              </w:rPr>
            </w:pPr>
            <w:r>
              <w:rPr>
                <w:rFonts w:eastAsia="黑体"/>
                <w:snapToGrid w:val="0"/>
                <w:color w:val="000000" w:themeColor="text1"/>
                <w:spacing w:val="-6"/>
                <w:kern w:val="21"/>
                <w:szCs w:val="21"/>
                <w14:textFill>
                  <w14:solidFill>
                    <w14:schemeClr w14:val="tx1"/>
                  </w14:solidFill>
                </w14:textFill>
              </w:rPr>
              <w:t>现有工程排放量（固体废物产生量）</w:t>
            </w:r>
            <w:r>
              <w:rPr>
                <w:rFonts w:eastAsia="黑体"/>
                <w:snapToGrid w:val="0"/>
                <w:color w:val="000000" w:themeColor="text1"/>
                <w:spacing w:val="-6"/>
                <w:kern w:val="21"/>
                <w:szCs w:val="21"/>
                <w14:textFill>
                  <w14:solidFill>
                    <w14:schemeClr w14:val="tx1"/>
                  </w14:solidFill>
                </w14:textFill>
              </w:rPr>
              <w:fldChar w:fldCharType="begin"/>
            </w:r>
            <w:r>
              <w:rPr>
                <w:rFonts w:eastAsia="黑体"/>
                <w:snapToGrid w:val="0"/>
                <w:color w:val="000000" w:themeColor="text1"/>
                <w:spacing w:val="-6"/>
                <w:kern w:val="21"/>
                <w:szCs w:val="21"/>
                <w14:textFill>
                  <w14:solidFill>
                    <w14:schemeClr w14:val="tx1"/>
                  </w14:solidFill>
                </w14:textFill>
              </w:rPr>
              <w:instrText xml:space="preserve"> = 1 \* GB3 \* MERGEFORMAT </w:instrText>
            </w:r>
            <w:r>
              <w:rPr>
                <w:rFonts w:eastAsia="黑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①</w:t>
            </w:r>
            <w:r>
              <w:rPr>
                <w:rFonts w:eastAsia="黑体"/>
                <w:snapToGrid w:val="0"/>
                <w:color w:val="000000" w:themeColor="text1"/>
                <w:spacing w:val="-6"/>
                <w:kern w:val="21"/>
                <w:szCs w:val="21"/>
                <w14:textFill>
                  <w14:solidFill>
                    <w14:schemeClr w14:val="tx1"/>
                  </w14:solidFill>
                </w14:textFill>
              </w:rPr>
              <w:fldChar w:fldCharType="end"/>
            </w:r>
          </w:p>
        </w:tc>
        <w:tc>
          <w:tcPr>
            <w:tcW w:w="262" w:type="pct"/>
            <w:tcMar>
              <w:left w:w="28" w:type="dxa"/>
              <w:right w:w="28" w:type="dxa"/>
            </w:tcMar>
            <w:vAlign w:val="center"/>
          </w:tcPr>
          <w:p w14:paraId="295FC84D">
            <w:pPr>
              <w:adjustRightInd w:val="0"/>
              <w:snapToGrid w:val="0"/>
              <w:jc w:val="center"/>
              <w:rPr>
                <w:rFonts w:eastAsia="黑体"/>
                <w:snapToGrid w:val="0"/>
                <w:color w:val="000000" w:themeColor="text1"/>
                <w:spacing w:val="-6"/>
                <w:kern w:val="21"/>
                <w:szCs w:val="21"/>
                <w14:textFill>
                  <w14:solidFill>
                    <w14:schemeClr w14:val="tx1"/>
                  </w14:solidFill>
                </w14:textFill>
              </w:rPr>
            </w:pPr>
            <w:r>
              <w:rPr>
                <w:rFonts w:eastAsia="黑体"/>
                <w:snapToGrid w:val="0"/>
                <w:color w:val="000000" w:themeColor="text1"/>
                <w:spacing w:val="-6"/>
                <w:kern w:val="21"/>
                <w:szCs w:val="21"/>
                <w14:textFill>
                  <w14:solidFill>
                    <w14:schemeClr w14:val="tx1"/>
                  </w14:solidFill>
                </w14:textFill>
              </w:rPr>
              <w:t>现有工程许可排放量</w:t>
            </w:r>
          </w:p>
          <w:p w14:paraId="5A94024B">
            <w:pPr>
              <w:adjustRightInd w:val="0"/>
              <w:snapToGrid w:val="0"/>
              <w:spacing w:line="259" w:lineRule="auto"/>
              <w:jc w:val="center"/>
              <w:rPr>
                <w:rFonts w:eastAsia="黑体"/>
                <w:snapToGrid w:val="0"/>
                <w:color w:val="000000" w:themeColor="text1"/>
                <w:spacing w:val="-6"/>
                <w:kern w:val="21"/>
                <w:szCs w:val="21"/>
                <w14:textFill>
                  <w14:solidFill>
                    <w14:schemeClr w14:val="tx1"/>
                  </w14:solidFill>
                </w14:textFill>
              </w:rPr>
            </w:pPr>
            <w:r>
              <w:rPr>
                <w:rFonts w:eastAsia="黑体"/>
                <w:snapToGrid w:val="0"/>
                <w:color w:val="000000" w:themeColor="text1"/>
                <w:spacing w:val="-6"/>
                <w:kern w:val="21"/>
                <w:szCs w:val="21"/>
                <w14:textFill>
                  <w14:solidFill>
                    <w14:schemeClr w14:val="tx1"/>
                  </w14:solidFill>
                </w14:textFill>
              </w:rPr>
              <w:fldChar w:fldCharType="begin"/>
            </w:r>
            <w:r>
              <w:rPr>
                <w:rFonts w:eastAsia="黑体"/>
                <w:snapToGrid w:val="0"/>
                <w:color w:val="000000" w:themeColor="text1"/>
                <w:spacing w:val="-6"/>
                <w:kern w:val="21"/>
                <w:szCs w:val="21"/>
                <w14:textFill>
                  <w14:solidFill>
                    <w14:schemeClr w14:val="tx1"/>
                  </w14:solidFill>
                </w14:textFill>
              </w:rPr>
              <w:instrText xml:space="preserve"> = 2 \* GB3 \* MERGEFORMAT </w:instrText>
            </w:r>
            <w:r>
              <w:rPr>
                <w:rFonts w:eastAsia="黑体"/>
                <w:snapToGrid w:val="0"/>
                <w:color w:val="000000" w:themeColor="text1"/>
                <w:spacing w:val="-6"/>
                <w:kern w:val="21"/>
                <w:szCs w:val="21"/>
                <w14:textFill>
                  <w14:solidFill>
                    <w14:schemeClr w14:val="tx1"/>
                  </w14:solidFill>
                </w14:textFill>
              </w:rPr>
              <w:fldChar w:fldCharType="separate"/>
            </w:r>
            <w:r>
              <w:rPr>
                <w:rFonts w:hint="eastAsia" w:ascii="宋体" w:hAnsi="宋体" w:cs="宋体"/>
                <w:snapToGrid w:val="0"/>
                <w:color w:val="000000" w:themeColor="text1"/>
                <w:spacing w:val="-6"/>
                <w:kern w:val="21"/>
                <w:szCs w:val="21"/>
                <w14:textFill>
                  <w14:solidFill>
                    <w14:schemeClr w14:val="tx1"/>
                  </w14:solidFill>
                </w14:textFill>
              </w:rPr>
              <w:t>②</w:t>
            </w:r>
            <w:r>
              <w:rPr>
                <w:rFonts w:eastAsia="黑体"/>
                <w:snapToGrid w:val="0"/>
                <w:color w:val="000000" w:themeColor="text1"/>
                <w:spacing w:val="-6"/>
                <w:kern w:val="21"/>
                <w:szCs w:val="21"/>
                <w14:textFill>
                  <w14:solidFill>
                    <w14:schemeClr w14:val="tx1"/>
                  </w14:solidFill>
                </w14:textFill>
              </w:rPr>
              <w:fldChar w:fldCharType="end"/>
            </w:r>
          </w:p>
        </w:tc>
        <w:tc>
          <w:tcPr>
            <w:tcW w:w="416" w:type="pct"/>
            <w:tcMar>
              <w:left w:w="28" w:type="dxa"/>
              <w:right w:w="28" w:type="dxa"/>
            </w:tcMar>
            <w:vAlign w:val="center"/>
          </w:tcPr>
          <w:p w14:paraId="7B28ECA8">
            <w:pPr>
              <w:adjustRightInd w:val="0"/>
              <w:snapToGrid w:val="0"/>
              <w:jc w:val="center"/>
              <w:rPr>
                <w:rFonts w:eastAsia="黑体"/>
                <w:snapToGrid w:val="0"/>
                <w:color w:val="000000" w:themeColor="text1"/>
                <w:spacing w:val="-6"/>
                <w:kern w:val="21"/>
                <w:szCs w:val="21"/>
                <w14:textFill>
                  <w14:solidFill>
                    <w14:schemeClr w14:val="tx1"/>
                  </w14:solidFill>
                </w14:textFill>
              </w:rPr>
            </w:pPr>
            <w:r>
              <w:rPr>
                <w:rFonts w:eastAsia="黑体"/>
                <w:snapToGrid w:val="0"/>
                <w:color w:val="000000" w:themeColor="text1"/>
                <w:spacing w:val="-6"/>
                <w:kern w:val="21"/>
                <w:szCs w:val="21"/>
                <w14:textFill>
                  <w14:solidFill>
                    <w14:schemeClr w14:val="tx1"/>
                  </w14:solidFill>
                </w14:textFill>
              </w:rPr>
              <w:t>在建工程排放量（固体废物产生量）</w:t>
            </w:r>
            <w:r>
              <w:rPr>
                <w:rFonts w:eastAsia="黑体"/>
                <w:snapToGrid w:val="0"/>
                <w:color w:val="000000" w:themeColor="text1"/>
                <w:spacing w:val="-6"/>
                <w:kern w:val="21"/>
                <w:szCs w:val="21"/>
                <w14:textFill>
                  <w14:solidFill>
                    <w14:schemeClr w14:val="tx1"/>
                  </w14:solidFill>
                </w14:textFill>
              </w:rPr>
              <w:fldChar w:fldCharType="begin"/>
            </w:r>
            <w:r>
              <w:rPr>
                <w:rFonts w:eastAsia="黑体"/>
                <w:snapToGrid w:val="0"/>
                <w:color w:val="000000" w:themeColor="text1"/>
                <w:spacing w:val="-6"/>
                <w:kern w:val="21"/>
                <w:szCs w:val="21"/>
                <w14:textFill>
                  <w14:solidFill>
                    <w14:schemeClr w14:val="tx1"/>
                  </w14:solidFill>
                </w14:textFill>
              </w:rPr>
              <w:instrText xml:space="preserve"> = 3 \* GB3 \* MERGEFORMAT </w:instrText>
            </w:r>
            <w:r>
              <w:rPr>
                <w:rFonts w:eastAsia="黑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③</w:t>
            </w:r>
            <w:r>
              <w:rPr>
                <w:rFonts w:eastAsia="黑体"/>
                <w:snapToGrid w:val="0"/>
                <w:color w:val="000000" w:themeColor="text1"/>
                <w:spacing w:val="-6"/>
                <w:kern w:val="21"/>
                <w:szCs w:val="21"/>
                <w14:textFill>
                  <w14:solidFill>
                    <w14:schemeClr w14:val="tx1"/>
                  </w14:solidFill>
                </w14:textFill>
              </w:rPr>
              <w:fldChar w:fldCharType="end"/>
            </w:r>
          </w:p>
        </w:tc>
        <w:tc>
          <w:tcPr>
            <w:tcW w:w="799" w:type="pct"/>
            <w:tcMar>
              <w:left w:w="28" w:type="dxa"/>
              <w:right w:w="28" w:type="dxa"/>
            </w:tcMar>
            <w:vAlign w:val="center"/>
          </w:tcPr>
          <w:p w14:paraId="6C0BDB12">
            <w:pPr>
              <w:adjustRightInd w:val="0"/>
              <w:snapToGrid w:val="0"/>
              <w:jc w:val="center"/>
              <w:rPr>
                <w:rFonts w:eastAsia="黑体"/>
                <w:snapToGrid w:val="0"/>
                <w:color w:val="000000" w:themeColor="text1"/>
                <w:spacing w:val="-6"/>
                <w:kern w:val="21"/>
                <w:szCs w:val="21"/>
                <w14:textFill>
                  <w14:solidFill>
                    <w14:schemeClr w14:val="tx1"/>
                  </w14:solidFill>
                </w14:textFill>
              </w:rPr>
            </w:pPr>
            <w:r>
              <w:rPr>
                <w:rFonts w:eastAsia="黑体"/>
                <w:snapToGrid w:val="0"/>
                <w:color w:val="000000" w:themeColor="text1"/>
                <w:spacing w:val="-6"/>
                <w:kern w:val="21"/>
                <w:szCs w:val="21"/>
                <w14:textFill>
                  <w14:solidFill>
                    <w14:schemeClr w14:val="tx1"/>
                  </w14:solidFill>
                </w14:textFill>
              </w:rPr>
              <w:t>本项目排放量（固体废物产生量）</w:t>
            </w:r>
            <w:r>
              <w:rPr>
                <w:rFonts w:eastAsia="黑体"/>
                <w:snapToGrid w:val="0"/>
                <w:color w:val="000000" w:themeColor="text1"/>
                <w:spacing w:val="-6"/>
                <w:kern w:val="21"/>
                <w:szCs w:val="21"/>
                <w14:textFill>
                  <w14:solidFill>
                    <w14:schemeClr w14:val="tx1"/>
                  </w14:solidFill>
                </w14:textFill>
              </w:rPr>
              <w:fldChar w:fldCharType="begin"/>
            </w:r>
            <w:r>
              <w:rPr>
                <w:rFonts w:eastAsia="黑体"/>
                <w:snapToGrid w:val="0"/>
                <w:color w:val="000000" w:themeColor="text1"/>
                <w:spacing w:val="-6"/>
                <w:kern w:val="21"/>
                <w:szCs w:val="21"/>
                <w14:textFill>
                  <w14:solidFill>
                    <w14:schemeClr w14:val="tx1"/>
                  </w14:solidFill>
                </w14:textFill>
              </w:rPr>
              <w:instrText xml:space="preserve"> = 4 \* GB3 \* MERGEFORMAT </w:instrText>
            </w:r>
            <w:r>
              <w:rPr>
                <w:rFonts w:eastAsia="黑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④</w:t>
            </w:r>
            <w:r>
              <w:rPr>
                <w:rFonts w:eastAsia="黑体"/>
                <w:snapToGrid w:val="0"/>
                <w:color w:val="000000" w:themeColor="text1"/>
                <w:spacing w:val="-6"/>
                <w:kern w:val="21"/>
                <w:szCs w:val="21"/>
                <w14:textFill>
                  <w14:solidFill>
                    <w14:schemeClr w14:val="tx1"/>
                  </w14:solidFill>
                </w14:textFill>
              </w:rPr>
              <w:fldChar w:fldCharType="end"/>
            </w:r>
          </w:p>
        </w:tc>
        <w:tc>
          <w:tcPr>
            <w:tcW w:w="438" w:type="pct"/>
            <w:tcMar>
              <w:left w:w="28" w:type="dxa"/>
              <w:right w:w="28" w:type="dxa"/>
            </w:tcMar>
            <w:vAlign w:val="center"/>
          </w:tcPr>
          <w:p w14:paraId="1DE02D10">
            <w:pPr>
              <w:adjustRightInd w:val="0"/>
              <w:snapToGrid w:val="0"/>
              <w:jc w:val="center"/>
              <w:rPr>
                <w:rFonts w:eastAsia="黑体"/>
                <w:snapToGrid w:val="0"/>
                <w:color w:val="000000" w:themeColor="text1"/>
                <w:spacing w:val="-16"/>
                <w:kern w:val="21"/>
                <w:szCs w:val="21"/>
                <w14:textFill>
                  <w14:solidFill>
                    <w14:schemeClr w14:val="tx1"/>
                  </w14:solidFill>
                </w14:textFill>
              </w:rPr>
            </w:pPr>
            <w:r>
              <w:rPr>
                <w:rFonts w:eastAsia="黑体"/>
                <w:snapToGrid w:val="0"/>
                <w:color w:val="000000" w:themeColor="text1"/>
                <w:spacing w:val="-16"/>
                <w:kern w:val="21"/>
                <w:szCs w:val="21"/>
                <w14:textFill>
                  <w14:solidFill>
                    <w14:schemeClr w14:val="tx1"/>
                  </w14:solidFill>
                </w14:textFill>
              </w:rPr>
              <w:t>以新带老削减量（新建项目不填）</w:t>
            </w:r>
            <w:r>
              <w:rPr>
                <w:rFonts w:eastAsia="黑体"/>
                <w:snapToGrid w:val="0"/>
                <w:color w:val="000000" w:themeColor="text1"/>
                <w:spacing w:val="-16"/>
                <w:kern w:val="21"/>
                <w:szCs w:val="21"/>
                <w14:textFill>
                  <w14:solidFill>
                    <w14:schemeClr w14:val="tx1"/>
                  </w14:solidFill>
                </w14:textFill>
              </w:rPr>
              <w:fldChar w:fldCharType="begin"/>
            </w:r>
            <w:r>
              <w:rPr>
                <w:rFonts w:eastAsia="黑体"/>
                <w:snapToGrid w:val="0"/>
                <w:color w:val="000000" w:themeColor="text1"/>
                <w:spacing w:val="-16"/>
                <w:kern w:val="21"/>
                <w:szCs w:val="21"/>
                <w14:textFill>
                  <w14:solidFill>
                    <w14:schemeClr w14:val="tx1"/>
                  </w14:solidFill>
                </w14:textFill>
              </w:rPr>
              <w:instrText xml:space="preserve"> = 5 \* GB3 \* MERGEFORMAT </w:instrText>
            </w:r>
            <w:r>
              <w:rPr>
                <w:rFonts w:eastAsia="黑体"/>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⑤</w:t>
            </w:r>
            <w:r>
              <w:rPr>
                <w:rFonts w:eastAsia="黑体"/>
                <w:snapToGrid w:val="0"/>
                <w:color w:val="000000" w:themeColor="text1"/>
                <w:spacing w:val="-16"/>
                <w:kern w:val="21"/>
                <w:szCs w:val="21"/>
                <w14:textFill>
                  <w14:solidFill>
                    <w14:schemeClr w14:val="tx1"/>
                  </w14:solidFill>
                </w14:textFill>
              </w:rPr>
              <w:fldChar w:fldCharType="end"/>
            </w:r>
          </w:p>
        </w:tc>
        <w:tc>
          <w:tcPr>
            <w:tcW w:w="799" w:type="pct"/>
            <w:tcMar>
              <w:left w:w="28" w:type="dxa"/>
              <w:right w:w="28" w:type="dxa"/>
            </w:tcMar>
            <w:vAlign w:val="center"/>
          </w:tcPr>
          <w:p w14:paraId="3C2D8B77">
            <w:pPr>
              <w:adjustRightInd w:val="0"/>
              <w:snapToGrid w:val="0"/>
              <w:jc w:val="center"/>
              <w:rPr>
                <w:rFonts w:eastAsia="黑体"/>
                <w:snapToGrid w:val="0"/>
                <w:color w:val="000000" w:themeColor="text1"/>
                <w:spacing w:val="-16"/>
                <w:kern w:val="21"/>
                <w:szCs w:val="21"/>
                <w14:textFill>
                  <w14:solidFill>
                    <w14:schemeClr w14:val="tx1"/>
                  </w14:solidFill>
                </w14:textFill>
              </w:rPr>
            </w:pPr>
            <w:r>
              <w:rPr>
                <w:rFonts w:eastAsia="黑体"/>
                <w:snapToGrid w:val="0"/>
                <w:color w:val="000000" w:themeColor="text1"/>
                <w:spacing w:val="-16"/>
                <w:kern w:val="21"/>
                <w:szCs w:val="21"/>
                <w14:textFill>
                  <w14:solidFill>
                    <w14:schemeClr w14:val="tx1"/>
                  </w14:solidFill>
                </w14:textFill>
              </w:rPr>
              <w:t>本项目建成后全厂排放量（固体废物产生量）</w:t>
            </w:r>
            <w:r>
              <w:rPr>
                <w:rFonts w:eastAsia="黑体"/>
                <w:snapToGrid w:val="0"/>
                <w:color w:val="000000" w:themeColor="text1"/>
                <w:spacing w:val="-16"/>
                <w:kern w:val="21"/>
                <w:szCs w:val="21"/>
                <w14:textFill>
                  <w14:solidFill>
                    <w14:schemeClr w14:val="tx1"/>
                  </w14:solidFill>
                </w14:textFill>
              </w:rPr>
              <w:fldChar w:fldCharType="begin"/>
            </w:r>
            <w:r>
              <w:rPr>
                <w:rFonts w:eastAsia="黑体"/>
                <w:snapToGrid w:val="0"/>
                <w:color w:val="000000" w:themeColor="text1"/>
                <w:spacing w:val="-16"/>
                <w:kern w:val="21"/>
                <w:szCs w:val="21"/>
                <w14:textFill>
                  <w14:solidFill>
                    <w14:schemeClr w14:val="tx1"/>
                  </w14:solidFill>
                </w14:textFill>
              </w:rPr>
              <w:instrText xml:space="preserve"> = 6 \* GB3 \* MERGEFORMAT </w:instrText>
            </w:r>
            <w:r>
              <w:rPr>
                <w:rFonts w:eastAsia="黑体"/>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⑥</w:t>
            </w:r>
            <w:r>
              <w:rPr>
                <w:rFonts w:eastAsia="黑体"/>
                <w:snapToGrid w:val="0"/>
                <w:color w:val="000000" w:themeColor="text1"/>
                <w:spacing w:val="-16"/>
                <w:kern w:val="21"/>
                <w:szCs w:val="21"/>
                <w14:textFill>
                  <w14:solidFill>
                    <w14:schemeClr w14:val="tx1"/>
                  </w14:solidFill>
                </w14:textFill>
              </w:rPr>
              <w:fldChar w:fldCharType="end"/>
            </w:r>
          </w:p>
        </w:tc>
        <w:tc>
          <w:tcPr>
            <w:tcW w:w="871" w:type="pct"/>
            <w:tcMar>
              <w:left w:w="28" w:type="dxa"/>
              <w:right w:w="28" w:type="dxa"/>
            </w:tcMar>
            <w:vAlign w:val="center"/>
          </w:tcPr>
          <w:p w14:paraId="3A4C271A">
            <w:pPr>
              <w:adjustRightInd w:val="0"/>
              <w:snapToGrid w:val="0"/>
              <w:jc w:val="center"/>
              <w:rPr>
                <w:rFonts w:eastAsia="黑体"/>
                <w:snapToGrid w:val="0"/>
                <w:color w:val="000000" w:themeColor="text1"/>
                <w:spacing w:val="-6"/>
                <w:kern w:val="21"/>
                <w:szCs w:val="21"/>
                <w14:textFill>
                  <w14:solidFill>
                    <w14:schemeClr w14:val="tx1"/>
                  </w14:solidFill>
                </w14:textFill>
              </w:rPr>
            </w:pPr>
            <w:r>
              <w:rPr>
                <w:rFonts w:eastAsia="黑体"/>
                <w:snapToGrid w:val="0"/>
                <w:color w:val="000000" w:themeColor="text1"/>
                <w:spacing w:val="-6"/>
                <w:kern w:val="21"/>
                <w:szCs w:val="21"/>
                <w14:textFill>
                  <w14:solidFill>
                    <w14:schemeClr w14:val="tx1"/>
                  </w14:solidFill>
                </w14:textFill>
              </w:rPr>
              <w:t>变化量</w:t>
            </w:r>
          </w:p>
          <w:p w14:paraId="1684E63E">
            <w:pPr>
              <w:adjustRightInd w:val="0"/>
              <w:snapToGrid w:val="0"/>
              <w:jc w:val="center"/>
              <w:rPr>
                <w:rFonts w:eastAsia="黑体"/>
                <w:snapToGrid w:val="0"/>
                <w:color w:val="000000" w:themeColor="text1"/>
                <w:spacing w:val="-6"/>
                <w:kern w:val="21"/>
                <w:szCs w:val="21"/>
                <w14:textFill>
                  <w14:solidFill>
                    <w14:schemeClr w14:val="tx1"/>
                  </w14:solidFill>
                </w14:textFill>
              </w:rPr>
            </w:pPr>
            <w:r>
              <w:rPr>
                <w:rFonts w:eastAsia="黑体"/>
                <w:snapToGrid w:val="0"/>
                <w:color w:val="000000" w:themeColor="text1"/>
                <w:spacing w:val="-6"/>
                <w:kern w:val="21"/>
                <w:szCs w:val="21"/>
                <w14:textFill>
                  <w14:solidFill>
                    <w14:schemeClr w14:val="tx1"/>
                  </w14:solidFill>
                </w14:textFill>
              </w:rPr>
              <w:fldChar w:fldCharType="begin"/>
            </w:r>
            <w:r>
              <w:rPr>
                <w:rFonts w:eastAsia="黑体"/>
                <w:snapToGrid w:val="0"/>
                <w:color w:val="000000" w:themeColor="text1"/>
                <w:spacing w:val="-6"/>
                <w:kern w:val="21"/>
                <w:szCs w:val="21"/>
                <w14:textFill>
                  <w14:solidFill>
                    <w14:schemeClr w14:val="tx1"/>
                  </w14:solidFill>
                </w14:textFill>
              </w:rPr>
              <w:instrText xml:space="preserve"> = 7 \* GB3 \* MERGEFORMAT </w:instrText>
            </w:r>
            <w:r>
              <w:rPr>
                <w:rFonts w:eastAsia="黑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⑦</w:t>
            </w:r>
            <w:r>
              <w:rPr>
                <w:rFonts w:eastAsia="黑体"/>
                <w:snapToGrid w:val="0"/>
                <w:color w:val="000000" w:themeColor="text1"/>
                <w:spacing w:val="-6"/>
                <w:kern w:val="21"/>
                <w:szCs w:val="21"/>
                <w14:textFill>
                  <w14:solidFill>
                    <w14:schemeClr w14:val="tx1"/>
                  </w14:solidFill>
                </w14:textFill>
              </w:rPr>
              <w:fldChar w:fldCharType="end"/>
            </w:r>
          </w:p>
        </w:tc>
      </w:tr>
      <w:tr w14:paraId="3089A3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373" w:type="pct"/>
            <w:vMerge w:val="restart"/>
            <w:vAlign w:val="center"/>
          </w:tcPr>
          <w:p w14:paraId="1BC50F19">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废气</w:t>
            </w:r>
          </w:p>
        </w:tc>
        <w:tc>
          <w:tcPr>
            <w:tcW w:w="698" w:type="pct"/>
            <w:gridSpan w:val="2"/>
            <w:vAlign w:val="center"/>
          </w:tcPr>
          <w:p w14:paraId="71E0EC1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340" w:type="pct"/>
            <w:vAlign w:val="center"/>
          </w:tcPr>
          <w:p w14:paraId="5CCD855E">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262" w:type="pct"/>
            <w:vAlign w:val="center"/>
          </w:tcPr>
          <w:p w14:paraId="538259B7">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416" w:type="pct"/>
            <w:vAlign w:val="center"/>
          </w:tcPr>
          <w:p w14:paraId="4AB890E7">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799" w:type="pct"/>
            <w:vAlign w:val="center"/>
          </w:tcPr>
          <w:p w14:paraId="259BDC7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0.6434t/a</w:t>
            </w:r>
          </w:p>
        </w:tc>
        <w:tc>
          <w:tcPr>
            <w:tcW w:w="438" w:type="pct"/>
            <w:vAlign w:val="center"/>
          </w:tcPr>
          <w:p w14:paraId="67648B74">
            <w:pPr>
              <w:jc w:val="center"/>
              <w:rPr>
                <w:color w:val="000000" w:themeColor="text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2212" w:type="dxa"/>
            <w:vAlign w:val="center"/>
          </w:tcPr>
          <w:p w14:paraId="1746C80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0.6434t/a</w:t>
            </w:r>
          </w:p>
        </w:tc>
        <w:tc>
          <w:tcPr>
            <w:tcW w:w="2411" w:type="dxa"/>
            <w:vAlign w:val="center"/>
          </w:tcPr>
          <w:p w14:paraId="11742A5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+0.6434t/a</w:t>
            </w:r>
          </w:p>
        </w:tc>
      </w:tr>
      <w:tr w14:paraId="68F7C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73" w:type="pct"/>
            <w:vMerge w:val="restart"/>
            <w:vAlign w:val="center"/>
          </w:tcPr>
          <w:p w14:paraId="2B627DC9">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废水</w:t>
            </w:r>
          </w:p>
        </w:tc>
        <w:tc>
          <w:tcPr>
            <w:tcW w:w="257" w:type="pct"/>
            <w:vMerge w:val="restart"/>
            <w:vAlign w:val="center"/>
          </w:tcPr>
          <w:p w14:paraId="7C8054D1">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生活污水</w:t>
            </w:r>
          </w:p>
        </w:tc>
        <w:tc>
          <w:tcPr>
            <w:tcW w:w="441" w:type="pct"/>
            <w:vAlign w:val="center"/>
          </w:tcPr>
          <w:p w14:paraId="6242DD18">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COD</w:t>
            </w:r>
          </w:p>
        </w:tc>
        <w:tc>
          <w:tcPr>
            <w:tcW w:w="340" w:type="pct"/>
            <w:vAlign w:val="center"/>
          </w:tcPr>
          <w:p w14:paraId="3A28D5A2">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262" w:type="pct"/>
            <w:vAlign w:val="center"/>
          </w:tcPr>
          <w:p w14:paraId="4B98819E">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416" w:type="pct"/>
            <w:vAlign w:val="center"/>
          </w:tcPr>
          <w:p w14:paraId="34B1551A">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799" w:type="pct"/>
            <w:vAlign w:val="center"/>
          </w:tcPr>
          <w:p w14:paraId="121AA3F5">
            <w:pPr>
              <w:adjustRightInd w:val="0"/>
              <w:snapToGrid w:val="0"/>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0.19</w:t>
            </w:r>
            <w:r>
              <w:rPr>
                <w:color w:val="000000" w:themeColor="text1"/>
                <w:kern w:val="0"/>
                <w:szCs w:val="21"/>
                <w14:textFill>
                  <w14:solidFill>
                    <w14:schemeClr w14:val="tx1"/>
                  </w14:solidFill>
                </w14:textFill>
              </w:rPr>
              <w:t>t/a</w:t>
            </w:r>
          </w:p>
        </w:tc>
        <w:tc>
          <w:tcPr>
            <w:tcW w:w="438" w:type="pct"/>
            <w:vAlign w:val="center"/>
          </w:tcPr>
          <w:p w14:paraId="2310BBDB">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2212" w:type="dxa"/>
            <w:vAlign w:val="center"/>
          </w:tcPr>
          <w:p w14:paraId="54038FD5">
            <w:pPr>
              <w:adjustRightInd w:val="0"/>
              <w:snapToGrid w:val="0"/>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0.19</w:t>
            </w:r>
            <w:r>
              <w:rPr>
                <w:color w:val="000000" w:themeColor="text1"/>
                <w:kern w:val="0"/>
                <w:szCs w:val="21"/>
                <w14:textFill>
                  <w14:solidFill>
                    <w14:schemeClr w14:val="tx1"/>
                  </w14:solidFill>
                </w14:textFill>
              </w:rPr>
              <w:t>t/a</w:t>
            </w:r>
          </w:p>
        </w:tc>
        <w:tc>
          <w:tcPr>
            <w:tcW w:w="2411" w:type="dxa"/>
            <w:vAlign w:val="center"/>
          </w:tcPr>
          <w:p w14:paraId="27B1BEF7">
            <w:pPr>
              <w:adjustRightInd w:val="0"/>
              <w:snapToGrid w:val="0"/>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+0.19</w:t>
            </w:r>
            <w:r>
              <w:rPr>
                <w:color w:val="000000" w:themeColor="text1"/>
                <w:kern w:val="0"/>
                <w:szCs w:val="21"/>
                <w14:textFill>
                  <w14:solidFill>
                    <w14:schemeClr w14:val="tx1"/>
                  </w14:solidFill>
                </w14:textFill>
              </w:rPr>
              <w:t>t/a</w:t>
            </w:r>
          </w:p>
        </w:tc>
      </w:tr>
      <w:tr w14:paraId="6E7D2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73" w:type="pct"/>
            <w:vMerge w:val="continue"/>
            <w:vAlign w:val="center"/>
          </w:tcPr>
          <w:p w14:paraId="03E8C302">
            <w:pPr>
              <w:adjustRightInd w:val="0"/>
              <w:snapToGrid w:val="0"/>
              <w:jc w:val="center"/>
              <w:rPr>
                <w:snapToGrid w:val="0"/>
                <w:color w:val="000000" w:themeColor="text1"/>
                <w:kern w:val="21"/>
                <w:szCs w:val="21"/>
                <w14:textFill>
                  <w14:solidFill>
                    <w14:schemeClr w14:val="tx1"/>
                  </w14:solidFill>
                </w14:textFill>
              </w:rPr>
            </w:pPr>
          </w:p>
        </w:tc>
        <w:tc>
          <w:tcPr>
            <w:tcW w:w="257" w:type="pct"/>
            <w:vMerge w:val="continue"/>
            <w:vAlign w:val="center"/>
          </w:tcPr>
          <w:p w14:paraId="138DC6F2">
            <w:pPr>
              <w:adjustRightInd w:val="0"/>
              <w:snapToGrid w:val="0"/>
              <w:jc w:val="center"/>
              <w:rPr>
                <w:snapToGrid w:val="0"/>
                <w:color w:val="000000" w:themeColor="text1"/>
                <w:kern w:val="21"/>
                <w:szCs w:val="21"/>
                <w14:textFill>
                  <w14:solidFill>
                    <w14:schemeClr w14:val="tx1"/>
                  </w14:solidFill>
                </w14:textFill>
              </w:rPr>
            </w:pPr>
          </w:p>
        </w:tc>
        <w:tc>
          <w:tcPr>
            <w:tcW w:w="441" w:type="pct"/>
            <w:vAlign w:val="center"/>
          </w:tcPr>
          <w:p w14:paraId="4115F3A0">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SS</w:t>
            </w:r>
          </w:p>
        </w:tc>
        <w:tc>
          <w:tcPr>
            <w:tcW w:w="340" w:type="pct"/>
            <w:vAlign w:val="center"/>
          </w:tcPr>
          <w:p w14:paraId="0230266F">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262" w:type="pct"/>
            <w:vAlign w:val="center"/>
          </w:tcPr>
          <w:p w14:paraId="0C3F139E">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416" w:type="pct"/>
            <w:vAlign w:val="center"/>
          </w:tcPr>
          <w:p w14:paraId="6AE05D14">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799" w:type="pct"/>
            <w:vAlign w:val="center"/>
          </w:tcPr>
          <w:p w14:paraId="3C5FC071">
            <w:pPr>
              <w:adjustRightInd w:val="0"/>
              <w:snapToGrid w:val="0"/>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0.12</w:t>
            </w:r>
            <w:r>
              <w:rPr>
                <w:color w:val="000000" w:themeColor="text1"/>
                <w:kern w:val="0"/>
                <w:szCs w:val="21"/>
                <w14:textFill>
                  <w14:solidFill>
                    <w14:schemeClr w14:val="tx1"/>
                  </w14:solidFill>
                </w14:textFill>
              </w:rPr>
              <w:t>t/a</w:t>
            </w:r>
          </w:p>
        </w:tc>
        <w:tc>
          <w:tcPr>
            <w:tcW w:w="438" w:type="pct"/>
            <w:vAlign w:val="center"/>
          </w:tcPr>
          <w:p w14:paraId="4066873E">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2212" w:type="dxa"/>
            <w:vAlign w:val="center"/>
          </w:tcPr>
          <w:p w14:paraId="385F2759">
            <w:pPr>
              <w:adjustRightInd w:val="0"/>
              <w:snapToGrid w:val="0"/>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0.12</w:t>
            </w:r>
            <w:r>
              <w:rPr>
                <w:color w:val="000000" w:themeColor="text1"/>
                <w:kern w:val="0"/>
                <w:szCs w:val="21"/>
                <w14:textFill>
                  <w14:solidFill>
                    <w14:schemeClr w14:val="tx1"/>
                  </w14:solidFill>
                </w14:textFill>
              </w:rPr>
              <w:t>t/a</w:t>
            </w:r>
          </w:p>
        </w:tc>
        <w:tc>
          <w:tcPr>
            <w:tcW w:w="2411" w:type="dxa"/>
            <w:vAlign w:val="center"/>
          </w:tcPr>
          <w:p w14:paraId="3575424C">
            <w:pPr>
              <w:adjustRightInd w:val="0"/>
              <w:snapToGrid w:val="0"/>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+0.12</w:t>
            </w:r>
            <w:r>
              <w:rPr>
                <w:color w:val="000000" w:themeColor="text1"/>
                <w:kern w:val="0"/>
                <w:szCs w:val="21"/>
                <w14:textFill>
                  <w14:solidFill>
                    <w14:schemeClr w14:val="tx1"/>
                  </w14:solidFill>
                </w14:textFill>
              </w:rPr>
              <w:t>t/a</w:t>
            </w:r>
          </w:p>
        </w:tc>
      </w:tr>
      <w:tr w14:paraId="4CC54F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73" w:type="pct"/>
            <w:vMerge w:val="continue"/>
            <w:vAlign w:val="center"/>
          </w:tcPr>
          <w:p w14:paraId="51CB4AB8">
            <w:pPr>
              <w:adjustRightInd w:val="0"/>
              <w:snapToGrid w:val="0"/>
              <w:jc w:val="center"/>
              <w:rPr>
                <w:snapToGrid w:val="0"/>
                <w:color w:val="000000" w:themeColor="text1"/>
                <w:kern w:val="21"/>
                <w:szCs w:val="21"/>
                <w14:textFill>
                  <w14:solidFill>
                    <w14:schemeClr w14:val="tx1"/>
                  </w14:solidFill>
                </w14:textFill>
              </w:rPr>
            </w:pPr>
          </w:p>
        </w:tc>
        <w:tc>
          <w:tcPr>
            <w:tcW w:w="257" w:type="pct"/>
            <w:vMerge w:val="continue"/>
            <w:vAlign w:val="center"/>
          </w:tcPr>
          <w:p w14:paraId="7EFE6036">
            <w:pPr>
              <w:adjustRightInd w:val="0"/>
              <w:snapToGrid w:val="0"/>
              <w:jc w:val="center"/>
              <w:rPr>
                <w:snapToGrid w:val="0"/>
                <w:color w:val="000000" w:themeColor="text1"/>
                <w:kern w:val="21"/>
                <w:szCs w:val="21"/>
                <w14:textFill>
                  <w14:solidFill>
                    <w14:schemeClr w14:val="tx1"/>
                  </w14:solidFill>
                </w14:textFill>
              </w:rPr>
            </w:pPr>
          </w:p>
        </w:tc>
        <w:tc>
          <w:tcPr>
            <w:tcW w:w="441" w:type="pct"/>
            <w:vAlign w:val="center"/>
          </w:tcPr>
          <w:p w14:paraId="7FBE02FB">
            <w:pPr>
              <w:adjustRightInd w:val="0"/>
              <w:snapToGrid w:val="0"/>
              <w:ind w:left="-120" w:leftChars="-57" w:right="-139" w:rightChars="-66"/>
              <w:jc w:val="center"/>
              <w:rPr>
                <w:snapToGrid w:val="0"/>
                <w:color w:val="000000" w:themeColor="text1"/>
                <w:kern w:val="21"/>
                <w:szCs w:val="21"/>
                <w14:textFill>
                  <w14:solidFill>
                    <w14:schemeClr w14:val="tx1"/>
                  </w14:solidFill>
                </w14:textFill>
              </w:rPr>
            </w:pPr>
            <w:r>
              <w:rPr>
                <w:color w:val="000000" w:themeColor="text1"/>
                <w:kern w:val="24"/>
                <w:szCs w:val="21"/>
                <w14:textFill>
                  <w14:solidFill>
                    <w14:schemeClr w14:val="tx1"/>
                  </w14:solidFill>
                </w14:textFill>
              </w:rPr>
              <w:t>NH</w:t>
            </w:r>
            <w:r>
              <w:rPr>
                <w:color w:val="000000" w:themeColor="text1"/>
                <w:kern w:val="24"/>
                <w:szCs w:val="21"/>
                <w:vertAlign w:val="subscript"/>
                <w14:textFill>
                  <w14:solidFill>
                    <w14:schemeClr w14:val="tx1"/>
                  </w14:solidFill>
                </w14:textFill>
              </w:rPr>
              <w:t>3</w:t>
            </w:r>
            <w:r>
              <w:rPr>
                <w:color w:val="000000" w:themeColor="text1"/>
                <w:kern w:val="24"/>
                <w:szCs w:val="21"/>
                <w14:textFill>
                  <w14:solidFill>
                    <w14:schemeClr w14:val="tx1"/>
                  </w14:solidFill>
                </w14:textFill>
              </w:rPr>
              <w:t>-N</w:t>
            </w:r>
          </w:p>
        </w:tc>
        <w:tc>
          <w:tcPr>
            <w:tcW w:w="340" w:type="pct"/>
            <w:vAlign w:val="center"/>
          </w:tcPr>
          <w:p w14:paraId="378551B1">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262" w:type="pct"/>
            <w:vAlign w:val="center"/>
          </w:tcPr>
          <w:p w14:paraId="109BCC8B">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416" w:type="pct"/>
            <w:vAlign w:val="center"/>
          </w:tcPr>
          <w:p w14:paraId="4402B0C9">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799" w:type="pct"/>
            <w:vAlign w:val="center"/>
          </w:tcPr>
          <w:p w14:paraId="3644E304">
            <w:pPr>
              <w:adjustRightInd w:val="0"/>
              <w:snapToGrid w:val="0"/>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0.023</w:t>
            </w:r>
            <w:r>
              <w:rPr>
                <w:color w:val="000000" w:themeColor="text1"/>
                <w:kern w:val="0"/>
                <w:szCs w:val="21"/>
                <w14:textFill>
                  <w14:solidFill>
                    <w14:schemeClr w14:val="tx1"/>
                  </w14:solidFill>
                </w14:textFill>
              </w:rPr>
              <w:t>t/a</w:t>
            </w:r>
          </w:p>
        </w:tc>
        <w:tc>
          <w:tcPr>
            <w:tcW w:w="438" w:type="pct"/>
            <w:vAlign w:val="center"/>
          </w:tcPr>
          <w:p w14:paraId="0BC5DBAF">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2212" w:type="dxa"/>
            <w:vAlign w:val="center"/>
          </w:tcPr>
          <w:p w14:paraId="40898A23">
            <w:pPr>
              <w:adjustRightInd w:val="0"/>
              <w:snapToGrid w:val="0"/>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0.023</w:t>
            </w:r>
            <w:r>
              <w:rPr>
                <w:color w:val="000000" w:themeColor="text1"/>
                <w:kern w:val="0"/>
                <w:szCs w:val="21"/>
                <w14:textFill>
                  <w14:solidFill>
                    <w14:schemeClr w14:val="tx1"/>
                  </w14:solidFill>
                </w14:textFill>
              </w:rPr>
              <w:t>t/a</w:t>
            </w:r>
          </w:p>
        </w:tc>
        <w:tc>
          <w:tcPr>
            <w:tcW w:w="2411" w:type="dxa"/>
            <w:vAlign w:val="center"/>
          </w:tcPr>
          <w:p w14:paraId="77853814">
            <w:pPr>
              <w:adjustRightInd w:val="0"/>
              <w:snapToGrid w:val="0"/>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+0.023</w:t>
            </w:r>
            <w:r>
              <w:rPr>
                <w:color w:val="000000" w:themeColor="text1"/>
                <w:kern w:val="0"/>
                <w:szCs w:val="21"/>
                <w14:textFill>
                  <w14:solidFill>
                    <w14:schemeClr w14:val="tx1"/>
                  </w14:solidFill>
                </w14:textFill>
              </w:rPr>
              <w:t>t/a</w:t>
            </w:r>
          </w:p>
        </w:tc>
      </w:tr>
      <w:tr w14:paraId="3CEC0D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73" w:type="pct"/>
            <w:vMerge w:val="continue"/>
            <w:vAlign w:val="center"/>
          </w:tcPr>
          <w:p w14:paraId="4888B60D">
            <w:pPr>
              <w:adjustRightInd w:val="0"/>
              <w:snapToGrid w:val="0"/>
              <w:jc w:val="center"/>
              <w:rPr>
                <w:snapToGrid w:val="0"/>
                <w:color w:val="000000" w:themeColor="text1"/>
                <w:kern w:val="21"/>
                <w:szCs w:val="21"/>
                <w14:textFill>
                  <w14:solidFill>
                    <w14:schemeClr w14:val="tx1"/>
                  </w14:solidFill>
                </w14:textFill>
              </w:rPr>
            </w:pPr>
          </w:p>
        </w:tc>
        <w:tc>
          <w:tcPr>
            <w:tcW w:w="257" w:type="pct"/>
            <w:vMerge w:val="restart"/>
            <w:vAlign w:val="center"/>
          </w:tcPr>
          <w:p w14:paraId="3FBCD98E">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地面冲洗水</w:t>
            </w:r>
          </w:p>
        </w:tc>
        <w:tc>
          <w:tcPr>
            <w:tcW w:w="1221" w:type="dxa"/>
            <w:vAlign w:val="center"/>
          </w:tcPr>
          <w:p w14:paraId="4AF2E557">
            <w:pPr>
              <w:adjustRightInd w:val="0"/>
              <w:snapToGrid w:val="0"/>
              <w:jc w:val="center"/>
              <w:rPr>
                <w:color w:val="000000" w:themeColor="text1"/>
                <w:kern w:val="24"/>
                <w:szCs w:val="21"/>
                <w14:textFill>
                  <w14:solidFill>
                    <w14:schemeClr w14:val="tx1"/>
                  </w14:solidFill>
                </w14:textFill>
              </w:rPr>
            </w:pPr>
            <w:r>
              <w:rPr>
                <w:snapToGrid w:val="0"/>
                <w:color w:val="000000" w:themeColor="text1"/>
                <w:kern w:val="21"/>
                <w:szCs w:val="21"/>
                <w14:textFill>
                  <w14:solidFill>
                    <w14:schemeClr w14:val="tx1"/>
                  </w14:solidFill>
                </w14:textFill>
              </w:rPr>
              <w:t>COD</w:t>
            </w:r>
          </w:p>
        </w:tc>
        <w:tc>
          <w:tcPr>
            <w:tcW w:w="340" w:type="pct"/>
            <w:vAlign w:val="center"/>
          </w:tcPr>
          <w:p w14:paraId="635522C1">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262" w:type="pct"/>
            <w:vAlign w:val="center"/>
          </w:tcPr>
          <w:p w14:paraId="54233262">
            <w:pPr>
              <w:adjustRightInd w:val="0"/>
              <w:snapToGrid w:val="0"/>
              <w:jc w:val="center"/>
              <w:rPr>
                <w:rFonts w:hint="eastAsia" w:eastAsia="宋体"/>
                <w:snapToGrid w:val="0"/>
                <w:color w:val="000000" w:themeColor="text1"/>
                <w:kern w:val="21"/>
                <w:szCs w:val="21"/>
                <w:lang w:val="en-US" w:eastAsia="zh-CN"/>
                <w14:textFill>
                  <w14:solidFill>
                    <w14:schemeClr w14:val="tx1"/>
                  </w14:solidFill>
                </w14:textFill>
              </w:rPr>
            </w:pPr>
            <w:r>
              <w:rPr>
                <w:rFonts w:hint="eastAsia"/>
                <w:snapToGrid w:val="0"/>
                <w:color w:val="000000" w:themeColor="text1"/>
                <w:kern w:val="21"/>
                <w:szCs w:val="21"/>
                <w:lang w:val="en-US" w:eastAsia="zh-CN"/>
                <w14:textFill>
                  <w14:solidFill>
                    <w14:schemeClr w14:val="tx1"/>
                  </w14:solidFill>
                </w14:textFill>
              </w:rPr>
              <w:t>/</w:t>
            </w:r>
          </w:p>
        </w:tc>
        <w:tc>
          <w:tcPr>
            <w:tcW w:w="416" w:type="pct"/>
            <w:vAlign w:val="center"/>
          </w:tcPr>
          <w:p w14:paraId="6550C57F">
            <w:pPr>
              <w:adjustRightInd w:val="0"/>
              <w:snapToGrid w:val="0"/>
              <w:jc w:val="center"/>
              <w:rPr>
                <w:rFonts w:hint="eastAsia" w:eastAsia="宋体"/>
                <w:snapToGrid w:val="0"/>
                <w:color w:val="000000" w:themeColor="text1"/>
                <w:kern w:val="21"/>
                <w:szCs w:val="21"/>
                <w:lang w:val="en-US" w:eastAsia="zh-CN"/>
                <w14:textFill>
                  <w14:solidFill>
                    <w14:schemeClr w14:val="tx1"/>
                  </w14:solidFill>
                </w14:textFill>
              </w:rPr>
            </w:pPr>
            <w:r>
              <w:rPr>
                <w:rFonts w:hint="eastAsia"/>
                <w:snapToGrid w:val="0"/>
                <w:color w:val="000000" w:themeColor="text1"/>
                <w:kern w:val="21"/>
                <w:szCs w:val="21"/>
                <w:lang w:val="en-US" w:eastAsia="zh-CN"/>
                <w14:textFill>
                  <w14:solidFill>
                    <w14:schemeClr w14:val="tx1"/>
                  </w14:solidFill>
                </w14:textFill>
              </w:rPr>
              <w:t>/</w:t>
            </w:r>
          </w:p>
        </w:tc>
        <w:tc>
          <w:tcPr>
            <w:tcW w:w="799" w:type="pct"/>
            <w:vAlign w:val="center"/>
          </w:tcPr>
          <w:p w14:paraId="66B5888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0.088</w:t>
            </w:r>
            <w:r>
              <w:rPr>
                <w:color w:val="000000" w:themeColor="text1"/>
                <w:kern w:val="0"/>
                <w:szCs w:val="21"/>
                <w14:textFill>
                  <w14:solidFill>
                    <w14:schemeClr w14:val="tx1"/>
                  </w14:solidFill>
                </w14:textFill>
              </w:rPr>
              <w:t>t/a</w:t>
            </w:r>
          </w:p>
        </w:tc>
        <w:tc>
          <w:tcPr>
            <w:tcW w:w="1213" w:type="dxa"/>
            <w:vAlign w:val="center"/>
          </w:tcPr>
          <w:p w14:paraId="5D448D3F">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2212" w:type="dxa"/>
            <w:vAlign w:val="center"/>
          </w:tcPr>
          <w:p w14:paraId="29EB85A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0.088</w:t>
            </w:r>
            <w:r>
              <w:rPr>
                <w:color w:val="000000" w:themeColor="text1"/>
                <w:kern w:val="0"/>
                <w:szCs w:val="21"/>
                <w14:textFill>
                  <w14:solidFill>
                    <w14:schemeClr w14:val="tx1"/>
                  </w14:solidFill>
                </w14:textFill>
              </w:rPr>
              <w:t>t/a</w:t>
            </w:r>
          </w:p>
        </w:tc>
        <w:tc>
          <w:tcPr>
            <w:tcW w:w="2411" w:type="dxa"/>
            <w:vAlign w:val="center"/>
          </w:tcPr>
          <w:p w14:paraId="4B7404E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+0.088</w:t>
            </w:r>
            <w:r>
              <w:rPr>
                <w:color w:val="000000" w:themeColor="text1"/>
                <w:kern w:val="0"/>
                <w:szCs w:val="21"/>
                <w14:textFill>
                  <w14:solidFill>
                    <w14:schemeClr w14:val="tx1"/>
                  </w14:solidFill>
                </w14:textFill>
              </w:rPr>
              <w:t>t/a</w:t>
            </w:r>
          </w:p>
        </w:tc>
      </w:tr>
      <w:tr w14:paraId="1F638B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73" w:type="pct"/>
            <w:vMerge w:val="continue"/>
            <w:vAlign w:val="center"/>
          </w:tcPr>
          <w:p w14:paraId="46BE4381">
            <w:pPr>
              <w:adjustRightInd w:val="0"/>
              <w:snapToGrid w:val="0"/>
              <w:ind w:left="-120" w:leftChars="-57" w:right="-139" w:rightChars="-66"/>
              <w:jc w:val="center"/>
              <w:rPr>
                <w:color w:val="000000" w:themeColor="text1"/>
                <w14:textFill>
                  <w14:solidFill>
                    <w14:schemeClr w14:val="tx1"/>
                  </w14:solidFill>
                </w14:textFill>
              </w:rPr>
            </w:pPr>
          </w:p>
        </w:tc>
        <w:tc>
          <w:tcPr>
            <w:tcW w:w="257" w:type="pct"/>
            <w:vMerge w:val="continue"/>
            <w:vAlign w:val="center"/>
          </w:tcPr>
          <w:p w14:paraId="0C308F26">
            <w:pPr>
              <w:adjustRightInd w:val="0"/>
              <w:snapToGrid w:val="0"/>
              <w:ind w:left="-120" w:leftChars="-57" w:right="-139" w:rightChars="-66"/>
              <w:jc w:val="center"/>
              <w:rPr>
                <w:color w:val="000000" w:themeColor="text1"/>
                <w14:textFill>
                  <w14:solidFill>
                    <w14:schemeClr w14:val="tx1"/>
                  </w14:solidFill>
                </w14:textFill>
              </w:rPr>
            </w:pPr>
          </w:p>
        </w:tc>
        <w:tc>
          <w:tcPr>
            <w:tcW w:w="1221" w:type="dxa"/>
            <w:vAlign w:val="center"/>
          </w:tcPr>
          <w:p w14:paraId="3DF04BC5">
            <w:pPr>
              <w:adjustRightInd w:val="0"/>
              <w:snapToGrid w:val="0"/>
              <w:jc w:val="center"/>
              <w:rPr>
                <w:color w:val="000000" w:themeColor="text1"/>
                <w:kern w:val="24"/>
                <w:szCs w:val="21"/>
                <w14:textFill>
                  <w14:solidFill>
                    <w14:schemeClr w14:val="tx1"/>
                  </w14:solidFill>
                </w14:textFill>
              </w:rPr>
            </w:pPr>
            <w:r>
              <w:rPr>
                <w:snapToGrid w:val="0"/>
                <w:color w:val="000000" w:themeColor="text1"/>
                <w:kern w:val="21"/>
                <w:szCs w:val="21"/>
                <w14:textFill>
                  <w14:solidFill>
                    <w14:schemeClr w14:val="tx1"/>
                  </w14:solidFill>
                </w14:textFill>
              </w:rPr>
              <w:t>SS</w:t>
            </w:r>
          </w:p>
        </w:tc>
        <w:tc>
          <w:tcPr>
            <w:tcW w:w="340" w:type="pct"/>
            <w:vAlign w:val="center"/>
          </w:tcPr>
          <w:p w14:paraId="4697896D">
            <w:pPr>
              <w:adjustRightInd w:val="0"/>
              <w:snapToGrid w:val="0"/>
              <w:ind w:left="-120" w:leftChars="-57" w:right="-139" w:rightChars="-66"/>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w:t>
            </w:r>
          </w:p>
        </w:tc>
        <w:tc>
          <w:tcPr>
            <w:tcW w:w="262" w:type="pct"/>
            <w:vAlign w:val="center"/>
          </w:tcPr>
          <w:p w14:paraId="3E7FF1AA">
            <w:pPr>
              <w:adjustRightInd w:val="0"/>
              <w:snapToGrid w:val="0"/>
              <w:ind w:left="-120" w:leftChars="-57" w:right="-139" w:rightChars="-66"/>
              <w:jc w:val="center"/>
              <w:rPr>
                <w:rFonts w:hint="eastAsia"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w:t>
            </w:r>
          </w:p>
        </w:tc>
        <w:tc>
          <w:tcPr>
            <w:tcW w:w="416" w:type="pct"/>
            <w:vAlign w:val="center"/>
          </w:tcPr>
          <w:p w14:paraId="4D66E325">
            <w:pPr>
              <w:adjustRightInd w:val="0"/>
              <w:snapToGrid w:val="0"/>
              <w:ind w:left="-120" w:leftChars="-57" w:right="-139" w:rightChars="-66"/>
              <w:jc w:val="center"/>
              <w:rPr>
                <w:rFonts w:hint="eastAsia"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w:t>
            </w:r>
          </w:p>
        </w:tc>
        <w:tc>
          <w:tcPr>
            <w:tcW w:w="799" w:type="pct"/>
            <w:vAlign w:val="center"/>
          </w:tcPr>
          <w:p w14:paraId="7F24DADA">
            <w:pPr>
              <w:adjustRightInd w:val="0"/>
              <w:snapToGrid w:val="0"/>
              <w:ind w:left="-120" w:leftChars="-57" w:right="-139" w:rightChars="-66"/>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0.052</w:t>
            </w:r>
            <w:r>
              <w:rPr>
                <w:color w:val="000000" w:themeColor="text1"/>
                <w:kern w:val="0"/>
                <w:szCs w:val="21"/>
                <w14:textFill>
                  <w14:solidFill>
                    <w14:schemeClr w14:val="tx1"/>
                  </w14:solidFill>
                </w14:textFill>
              </w:rPr>
              <w:t>t/a</w:t>
            </w:r>
          </w:p>
        </w:tc>
        <w:tc>
          <w:tcPr>
            <w:tcW w:w="1213" w:type="dxa"/>
            <w:vAlign w:val="center"/>
          </w:tcPr>
          <w:p w14:paraId="43ECEA49">
            <w:pPr>
              <w:adjustRightInd w:val="0"/>
              <w:snapToGrid w:val="0"/>
              <w:ind w:left="-120" w:leftChars="-57" w:right="-139" w:rightChars="-66"/>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w:t>
            </w:r>
          </w:p>
        </w:tc>
        <w:tc>
          <w:tcPr>
            <w:tcW w:w="2212" w:type="dxa"/>
            <w:vAlign w:val="center"/>
          </w:tcPr>
          <w:p w14:paraId="72E4CD8E">
            <w:pPr>
              <w:adjustRightInd w:val="0"/>
              <w:snapToGrid w:val="0"/>
              <w:ind w:left="-120" w:leftChars="-57" w:right="-139" w:rightChars="-66"/>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0.052</w:t>
            </w:r>
            <w:r>
              <w:rPr>
                <w:color w:val="000000" w:themeColor="text1"/>
                <w:kern w:val="0"/>
                <w:szCs w:val="21"/>
                <w14:textFill>
                  <w14:solidFill>
                    <w14:schemeClr w14:val="tx1"/>
                  </w14:solidFill>
                </w14:textFill>
              </w:rPr>
              <w:t>t/a</w:t>
            </w:r>
          </w:p>
        </w:tc>
        <w:tc>
          <w:tcPr>
            <w:tcW w:w="2411" w:type="dxa"/>
            <w:vAlign w:val="center"/>
          </w:tcPr>
          <w:p w14:paraId="4EAEB506">
            <w:pPr>
              <w:adjustRightInd w:val="0"/>
              <w:snapToGrid w:val="0"/>
              <w:ind w:left="-120" w:leftChars="-57" w:right="-139" w:rightChars="-66"/>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+0.052</w:t>
            </w:r>
            <w:r>
              <w:rPr>
                <w:color w:val="000000" w:themeColor="text1"/>
                <w:kern w:val="0"/>
                <w:szCs w:val="21"/>
                <w14:textFill>
                  <w14:solidFill>
                    <w14:schemeClr w14:val="tx1"/>
                  </w14:solidFill>
                </w14:textFill>
              </w:rPr>
              <w:t>t/a</w:t>
            </w:r>
          </w:p>
        </w:tc>
      </w:tr>
      <w:tr w14:paraId="1E4B6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73" w:type="pct"/>
            <w:vMerge w:val="continue"/>
            <w:vAlign w:val="center"/>
          </w:tcPr>
          <w:p w14:paraId="48EBDC62">
            <w:pPr>
              <w:adjustRightInd w:val="0"/>
              <w:snapToGrid w:val="0"/>
              <w:ind w:left="-120" w:leftChars="-57" w:right="-139" w:rightChars="-66"/>
              <w:jc w:val="center"/>
              <w:rPr>
                <w:color w:val="000000" w:themeColor="text1"/>
                <w:kern w:val="24"/>
                <w:szCs w:val="21"/>
                <w14:textFill>
                  <w14:solidFill>
                    <w14:schemeClr w14:val="tx1"/>
                  </w14:solidFill>
                </w14:textFill>
              </w:rPr>
            </w:pPr>
          </w:p>
        </w:tc>
        <w:tc>
          <w:tcPr>
            <w:tcW w:w="257" w:type="pct"/>
            <w:vMerge w:val="continue"/>
            <w:vAlign w:val="center"/>
          </w:tcPr>
          <w:p w14:paraId="1B72737F">
            <w:pPr>
              <w:adjustRightInd w:val="0"/>
              <w:snapToGrid w:val="0"/>
              <w:ind w:left="-120" w:leftChars="-57" w:right="-139" w:rightChars="-66"/>
              <w:jc w:val="center"/>
              <w:rPr>
                <w:color w:val="000000" w:themeColor="text1"/>
                <w:kern w:val="24"/>
                <w:szCs w:val="21"/>
                <w14:textFill>
                  <w14:solidFill>
                    <w14:schemeClr w14:val="tx1"/>
                  </w14:solidFill>
                </w14:textFill>
              </w:rPr>
            </w:pPr>
          </w:p>
        </w:tc>
        <w:tc>
          <w:tcPr>
            <w:tcW w:w="441" w:type="pct"/>
            <w:vAlign w:val="center"/>
          </w:tcPr>
          <w:p w14:paraId="10C58517">
            <w:pPr>
              <w:adjustRightInd w:val="0"/>
              <w:snapToGrid w:val="0"/>
              <w:ind w:left="-120" w:leftChars="-57" w:right="-139" w:rightChars="-66"/>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石油类</w:t>
            </w:r>
          </w:p>
        </w:tc>
        <w:tc>
          <w:tcPr>
            <w:tcW w:w="340" w:type="pct"/>
            <w:vAlign w:val="center"/>
          </w:tcPr>
          <w:p w14:paraId="048F6E71">
            <w:pPr>
              <w:adjustRightInd w:val="0"/>
              <w:snapToGrid w:val="0"/>
              <w:ind w:left="-120" w:leftChars="-57" w:right="-139" w:rightChars="-66"/>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w:t>
            </w:r>
          </w:p>
        </w:tc>
        <w:tc>
          <w:tcPr>
            <w:tcW w:w="262" w:type="pct"/>
            <w:vAlign w:val="center"/>
          </w:tcPr>
          <w:p w14:paraId="0D8CA98A">
            <w:pPr>
              <w:adjustRightInd w:val="0"/>
              <w:snapToGrid w:val="0"/>
              <w:ind w:left="-120" w:leftChars="-57" w:right="-139" w:rightChars="-66"/>
              <w:jc w:val="center"/>
              <w:rPr>
                <w:rFonts w:hint="eastAsia"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w:t>
            </w:r>
          </w:p>
        </w:tc>
        <w:tc>
          <w:tcPr>
            <w:tcW w:w="416" w:type="pct"/>
            <w:vAlign w:val="center"/>
          </w:tcPr>
          <w:p w14:paraId="6850C75B">
            <w:pPr>
              <w:adjustRightInd w:val="0"/>
              <w:snapToGrid w:val="0"/>
              <w:ind w:left="-120" w:leftChars="-57" w:right="-139" w:rightChars="-66"/>
              <w:jc w:val="center"/>
              <w:rPr>
                <w:rFonts w:hint="eastAsia"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w:t>
            </w:r>
          </w:p>
        </w:tc>
        <w:tc>
          <w:tcPr>
            <w:tcW w:w="799" w:type="pct"/>
            <w:vAlign w:val="center"/>
          </w:tcPr>
          <w:p w14:paraId="7DFCDF0C">
            <w:pPr>
              <w:adjustRightInd w:val="0"/>
              <w:snapToGrid w:val="0"/>
              <w:ind w:left="-120" w:leftChars="-57" w:right="-139" w:rightChars="-66"/>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0.007</w:t>
            </w:r>
            <w:r>
              <w:rPr>
                <w:color w:val="000000" w:themeColor="text1"/>
                <w:kern w:val="0"/>
                <w:szCs w:val="21"/>
                <w14:textFill>
                  <w14:solidFill>
                    <w14:schemeClr w14:val="tx1"/>
                  </w14:solidFill>
                </w14:textFill>
              </w:rPr>
              <w:t>t/a</w:t>
            </w:r>
          </w:p>
        </w:tc>
        <w:tc>
          <w:tcPr>
            <w:tcW w:w="1213" w:type="dxa"/>
            <w:vAlign w:val="center"/>
          </w:tcPr>
          <w:p w14:paraId="6905CC43">
            <w:pPr>
              <w:adjustRightInd w:val="0"/>
              <w:snapToGrid w:val="0"/>
              <w:ind w:left="-120" w:leftChars="-57" w:right="-139" w:rightChars="-66"/>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w:t>
            </w:r>
          </w:p>
        </w:tc>
        <w:tc>
          <w:tcPr>
            <w:tcW w:w="2212" w:type="dxa"/>
            <w:vAlign w:val="center"/>
          </w:tcPr>
          <w:p w14:paraId="1E7A1EC1">
            <w:pPr>
              <w:adjustRightInd w:val="0"/>
              <w:snapToGrid w:val="0"/>
              <w:ind w:left="-120" w:leftChars="-57" w:right="-139" w:rightChars="-66"/>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0.007</w:t>
            </w:r>
            <w:r>
              <w:rPr>
                <w:color w:val="000000" w:themeColor="text1"/>
                <w:kern w:val="0"/>
                <w:szCs w:val="21"/>
                <w14:textFill>
                  <w14:solidFill>
                    <w14:schemeClr w14:val="tx1"/>
                  </w14:solidFill>
                </w14:textFill>
              </w:rPr>
              <w:t>t/a</w:t>
            </w:r>
          </w:p>
        </w:tc>
        <w:tc>
          <w:tcPr>
            <w:tcW w:w="2411" w:type="dxa"/>
            <w:vAlign w:val="center"/>
          </w:tcPr>
          <w:p w14:paraId="4DFA819E">
            <w:pPr>
              <w:adjustRightInd w:val="0"/>
              <w:snapToGrid w:val="0"/>
              <w:ind w:left="-120" w:leftChars="-57" w:right="-139" w:rightChars="-66"/>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+0.007</w:t>
            </w:r>
            <w:r>
              <w:rPr>
                <w:color w:val="000000" w:themeColor="text1"/>
                <w:kern w:val="0"/>
                <w:szCs w:val="21"/>
                <w14:textFill>
                  <w14:solidFill>
                    <w14:schemeClr w14:val="tx1"/>
                  </w14:solidFill>
                </w14:textFill>
              </w:rPr>
              <w:t>t/a</w:t>
            </w:r>
          </w:p>
        </w:tc>
      </w:tr>
      <w:tr w14:paraId="63ECA5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3" w:type="pct"/>
            <w:vAlign w:val="center"/>
          </w:tcPr>
          <w:p w14:paraId="4E3CFF3A">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一般工业固体废物</w:t>
            </w:r>
          </w:p>
        </w:tc>
        <w:tc>
          <w:tcPr>
            <w:tcW w:w="698" w:type="pct"/>
            <w:gridSpan w:val="2"/>
            <w:vAlign w:val="center"/>
          </w:tcPr>
          <w:p w14:paraId="151834CE">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生活垃圾</w:t>
            </w:r>
          </w:p>
        </w:tc>
        <w:tc>
          <w:tcPr>
            <w:tcW w:w="340" w:type="pct"/>
            <w:vAlign w:val="center"/>
          </w:tcPr>
          <w:p w14:paraId="5CAE896B">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262" w:type="pct"/>
            <w:vAlign w:val="center"/>
          </w:tcPr>
          <w:p w14:paraId="2EDAABC2">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416" w:type="pct"/>
            <w:vAlign w:val="center"/>
          </w:tcPr>
          <w:p w14:paraId="15FBFBCF">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799" w:type="pct"/>
            <w:vAlign w:val="center"/>
          </w:tcPr>
          <w:p w14:paraId="7EF7EEDD">
            <w:pPr>
              <w:adjustRightInd w:val="0"/>
              <w:snapToGrid w:val="0"/>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5.8</w:t>
            </w:r>
            <w:r>
              <w:rPr>
                <w:color w:val="000000" w:themeColor="text1"/>
                <w:szCs w:val="21"/>
                <w14:textFill>
                  <w14:solidFill>
                    <w14:schemeClr w14:val="tx1"/>
                  </w14:solidFill>
                </w14:textFill>
              </w:rPr>
              <w:t>t/a</w:t>
            </w:r>
          </w:p>
        </w:tc>
        <w:tc>
          <w:tcPr>
            <w:tcW w:w="438" w:type="pct"/>
            <w:vAlign w:val="center"/>
          </w:tcPr>
          <w:p w14:paraId="08939D1C">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2212" w:type="dxa"/>
            <w:vAlign w:val="center"/>
          </w:tcPr>
          <w:p w14:paraId="21FEE25D">
            <w:pPr>
              <w:adjustRightInd w:val="0"/>
              <w:snapToGrid w:val="0"/>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5.8</w:t>
            </w:r>
            <w:r>
              <w:rPr>
                <w:color w:val="000000" w:themeColor="text1"/>
                <w:szCs w:val="21"/>
                <w14:textFill>
                  <w14:solidFill>
                    <w14:schemeClr w14:val="tx1"/>
                  </w14:solidFill>
                </w14:textFill>
              </w:rPr>
              <w:t>t/a</w:t>
            </w:r>
          </w:p>
        </w:tc>
        <w:tc>
          <w:tcPr>
            <w:tcW w:w="2411" w:type="dxa"/>
            <w:vAlign w:val="center"/>
          </w:tcPr>
          <w:p w14:paraId="4A3EBD30">
            <w:pPr>
              <w:adjustRightInd w:val="0"/>
              <w:snapToGrid w:val="0"/>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+5.8</w:t>
            </w:r>
            <w:r>
              <w:rPr>
                <w:color w:val="000000" w:themeColor="text1"/>
                <w:szCs w:val="21"/>
                <w14:textFill>
                  <w14:solidFill>
                    <w14:schemeClr w14:val="tx1"/>
                  </w14:solidFill>
                </w14:textFill>
              </w:rPr>
              <w:t>t/a</w:t>
            </w:r>
          </w:p>
        </w:tc>
      </w:tr>
      <w:tr w14:paraId="5AA5E6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restart"/>
            <w:vAlign w:val="center"/>
          </w:tcPr>
          <w:p w14:paraId="08883398">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危险废物</w:t>
            </w:r>
          </w:p>
        </w:tc>
        <w:tc>
          <w:tcPr>
            <w:tcW w:w="698" w:type="pct"/>
            <w:gridSpan w:val="2"/>
            <w:vAlign w:val="center"/>
          </w:tcPr>
          <w:p w14:paraId="6C2FF5B4">
            <w:pPr>
              <w:ind w:right="-55"/>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油罐清洗残夜</w:t>
            </w:r>
          </w:p>
        </w:tc>
        <w:tc>
          <w:tcPr>
            <w:tcW w:w="340" w:type="pct"/>
            <w:vAlign w:val="center"/>
          </w:tcPr>
          <w:p w14:paraId="06F1F008">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262" w:type="pct"/>
            <w:vAlign w:val="center"/>
          </w:tcPr>
          <w:p w14:paraId="0A921D47">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416" w:type="pct"/>
            <w:vAlign w:val="center"/>
          </w:tcPr>
          <w:p w14:paraId="2279F361">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799" w:type="pct"/>
            <w:vAlign w:val="center"/>
          </w:tcPr>
          <w:p w14:paraId="3B7A87C3">
            <w:pPr>
              <w:ind w:left="-105" w:leftChars="-50" w:right="-105" w:rightChars="-50"/>
              <w:jc w:val="center"/>
              <w:rPr>
                <w:snapToGrid w:val="0"/>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2t/a</w:t>
            </w:r>
          </w:p>
        </w:tc>
        <w:tc>
          <w:tcPr>
            <w:tcW w:w="1213" w:type="dxa"/>
            <w:vAlign w:val="center"/>
          </w:tcPr>
          <w:p w14:paraId="66B70E2B">
            <w:pPr>
              <w:adjustRightInd w:val="0"/>
              <w:snapToGrid w:val="0"/>
              <w:jc w:val="center"/>
              <w:rPr>
                <w:color w:val="000000" w:themeColor="text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2212" w:type="dxa"/>
            <w:vAlign w:val="center"/>
          </w:tcPr>
          <w:p w14:paraId="17A768A8">
            <w:pPr>
              <w:ind w:left="-105" w:leftChars="-50" w:right="-105" w:rightChars="-50"/>
              <w:jc w:val="center"/>
              <w:rPr>
                <w:snapToGrid w:val="0"/>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2t/a</w:t>
            </w:r>
          </w:p>
        </w:tc>
        <w:tc>
          <w:tcPr>
            <w:tcW w:w="2411" w:type="dxa"/>
            <w:vAlign w:val="center"/>
          </w:tcPr>
          <w:p w14:paraId="0C66B121">
            <w:pPr>
              <w:ind w:left="-105" w:leftChars="-50" w:right="-105" w:rightChars="-50"/>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2t/a</w:t>
            </w:r>
          </w:p>
        </w:tc>
      </w:tr>
      <w:tr w14:paraId="2C36F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vAlign w:val="center"/>
          </w:tcPr>
          <w:p w14:paraId="2976665F">
            <w:pPr>
              <w:adjustRightInd w:val="0"/>
              <w:snapToGrid w:val="0"/>
              <w:jc w:val="center"/>
              <w:rPr>
                <w:snapToGrid w:val="0"/>
                <w:color w:val="000000" w:themeColor="text1"/>
                <w:kern w:val="21"/>
                <w:szCs w:val="21"/>
                <w14:textFill>
                  <w14:solidFill>
                    <w14:schemeClr w14:val="tx1"/>
                  </w14:solidFill>
                </w14:textFill>
              </w:rPr>
            </w:pPr>
          </w:p>
        </w:tc>
        <w:tc>
          <w:tcPr>
            <w:tcW w:w="698" w:type="pct"/>
            <w:gridSpan w:val="2"/>
            <w:vAlign w:val="center"/>
          </w:tcPr>
          <w:p w14:paraId="3E421D75">
            <w:pPr>
              <w:ind w:right="-55"/>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隔油池废油</w:t>
            </w:r>
          </w:p>
        </w:tc>
        <w:tc>
          <w:tcPr>
            <w:tcW w:w="340" w:type="pct"/>
            <w:vAlign w:val="center"/>
          </w:tcPr>
          <w:p w14:paraId="0970EE45">
            <w:pPr>
              <w:adjustRightInd w:val="0"/>
              <w:snapToGrid w:val="0"/>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62" w:type="pct"/>
            <w:vAlign w:val="center"/>
          </w:tcPr>
          <w:p w14:paraId="4C717B99">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416" w:type="pct"/>
            <w:vAlign w:val="center"/>
          </w:tcPr>
          <w:p w14:paraId="389F6EB4">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799" w:type="pct"/>
            <w:vAlign w:val="center"/>
          </w:tcPr>
          <w:p w14:paraId="5766CC3A">
            <w:pPr>
              <w:ind w:left="-105" w:leftChars="-50" w:right="-105" w:rightChars="-50"/>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0.01</w:t>
            </w:r>
            <w:r>
              <w:rPr>
                <w:snapToGrid w:val="0"/>
                <w:color w:val="000000" w:themeColor="text1"/>
                <w:kern w:val="0"/>
                <w:szCs w:val="21"/>
                <w14:textFill>
                  <w14:solidFill>
                    <w14:schemeClr w14:val="tx1"/>
                  </w14:solidFill>
                </w14:textFill>
              </w:rPr>
              <w:t>t/a</w:t>
            </w:r>
          </w:p>
        </w:tc>
        <w:tc>
          <w:tcPr>
            <w:tcW w:w="1213" w:type="dxa"/>
            <w:vAlign w:val="center"/>
          </w:tcPr>
          <w:p w14:paraId="1DB5A8E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212" w:type="dxa"/>
            <w:vAlign w:val="center"/>
          </w:tcPr>
          <w:p w14:paraId="5D1EA6D3">
            <w:pPr>
              <w:ind w:left="-105" w:leftChars="-50" w:right="-105" w:rightChars="-50"/>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0.01</w:t>
            </w:r>
            <w:r>
              <w:rPr>
                <w:snapToGrid w:val="0"/>
                <w:color w:val="000000" w:themeColor="text1"/>
                <w:kern w:val="0"/>
                <w:szCs w:val="21"/>
                <w14:textFill>
                  <w14:solidFill>
                    <w14:schemeClr w14:val="tx1"/>
                  </w14:solidFill>
                </w14:textFill>
              </w:rPr>
              <w:t>t/a</w:t>
            </w:r>
          </w:p>
        </w:tc>
        <w:tc>
          <w:tcPr>
            <w:tcW w:w="2411" w:type="dxa"/>
            <w:vAlign w:val="center"/>
          </w:tcPr>
          <w:p w14:paraId="7BF2C9DC">
            <w:pPr>
              <w:ind w:left="-105" w:leftChars="-50" w:right="-105" w:rightChars="-50"/>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+0.01</w:t>
            </w:r>
            <w:r>
              <w:rPr>
                <w:snapToGrid w:val="0"/>
                <w:color w:val="000000" w:themeColor="text1"/>
                <w:kern w:val="0"/>
                <w:szCs w:val="21"/>
                <w14:textFill>
                  <w14:solidFill>
                    <w14:schemeClr w14:val="tx1"/>
                  </w14:solidFill>
                </w14:textFill>
              </w:rPr>
              <w:t>t/a</w:t>
            </w:r>
          </w:p>
        </w:tc>
      </w:tr>
      <w:tr w14:paraId="0B57D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vAlign w:val="center"/>
          </w:tcPr>
          <w:p w14:paraId="546008F5">
            <w:pPr>
              <w:adjustRightInd w:val="0"/>
              <w:snapToGrid w:val="0"/>
              <w:jc w:val="center"/>
              <w:rPr>
                <w:snapToGrid w:val="0"/>
                <w:color w:val="000000" w:themeColor="text1"/>
                <w:kern w:val="21"/>
                <w:szCs w:val="21"/>
                <w14:textFill>
                  <w14:solidFill>
                    <w14:schemeClr w14:val="tx1"/>
                  </w14:solidFill>
                </w14:textFill>
              </w:rPr>
            </w:pPr>
          </w:p>
        </w:tc>
        <w:tc>
          <w:tcPr>
            <w:tcW w:w="698" w:type="pct"/>
            <w:gridSpan w:val="2"/>
            <w:vAlign w:val="center"/>
          </w:tcPr>
          <w:p w14:paraId="0344850F">
            <w:pPr>
              <w:ind w:right="-55"/>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废抹布和含油废手套</w:t>
            </w:r>
          </w:p>
        </w:tc>
        <w:tc>
          <w:tcPr>
            <w:tcW w:w="340" w:type="pct"/>
            <w:vAlign w:val="center"/>
          </w:tcPr>
          <w:p w14:paraId="76B1530F">
            <w:pPr>
              <w:adjustRightInd w:val="0"/>
              <w:snapToGrid w:val="0"/>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62" w:type="pct"/>
            <w:vAlign w:val="center"/>
          </w:tcPr>
          <w:p w14:paraId="0BCC52A7">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416" w:type="pct"/>
            <w:vAlign w:val="center"/>
          </w:tcPr>
          <w:p w14:paraId="388B7FF3">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799" w:type="pct"/>
            <w:vAlign w:val="center"/>
          </w:tcPr>
          <w:p w14:paraId="5AB8585B">
            <w:pPr>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r>
              <w:rPr>
                <w:rFonts w:hint="eastAsia"/>
                <w:color w:val="000000" w:themeColor="text1"/>
                <w:szCs w:val="21"/>
                <w14:textFill>
                  <w14:solidFill>
                    <w14:schemeClr w14:val="tx1"/>
                  </w14:solidFill>
                </w14:textFill>
              </w:rPr>
              <w:t>t/a</w:t>
            </w:r>
          </w:p>
        </w:tc>
        <w:tc>
          <w:tcPr>
            <w:tcW w:w="1213" w:type="dxa"/>
            <w:vAlign w:val="center"/>
          </w:tcPr>
          <w:p w14:paraId="6D22750C">
            <w:pPr>
              <w:adjustRightInd w:val="0"/>
              <w:snapToGrid w:val="0"/>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212" w:type="dxa"/>
            <w:vAlign w:val="center"/>
          </w:tcPr>
          <w:p w14:paraId="5DF12CF7">
            <w:pPr>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r>
              <w:rPr>
                <w:rFonts w:hint="eastAsia"/>
                <w:color w:val="000000" w:themeColor="text1"/>
                <w:szCs w:val="21"/>
                <w14:textFill>
                  <w14:solidFill>
                    <w14:schemeClr w14:val="tx1"/>
                  </w14:solidFill>
                </w14:textFill>
              </w:rPr>
              <w:t>t/a</w:t>
            </w:r>
          </w:p>
        </w:tc>
        <w:tc>
          <w:tcPr>
            <w:tcW w:w="2411" w:type="dxa"/>
            <w:vAlign w:val="center"/>
          </w:tcPr>
          <w:p w14:paraId="0856F73F">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0.1</w:t>
            </w:r>
            <w:r>
              <w:rPr>
                <w:rFonts w:hint="eastAsia"/>
                <w:color w:val="000000" w:themeColor="text1"/>
                <w:szCs w:val="21"/>
                <w14:textFill>
                  <w14:solidFill>
                    <w14:schemeClr w14:val="tx1"/>
                  </w14:solidFill>
                </w14:textFill>
              </w:rPr>
              <w:t>t/a</w:t>
            </w:r>
          </w:p>
        </w:tc>
      </w:tr>
    </w:tbl>
    <w:p w14:paraId="437FF736">
      <w:pPr>
        <w:adjustRightInd w:val="0"/>
        <w:snapToGrid w:val="0"/>
        <w:spacing w:before="192" w:beforeLines="80" w:after="24" w:afterLines="10" w:line="259" w:lineRule="auto"/>
        <w:jc w:val="left"/>
        <w:rPr>
          <w:rFonts w:ascii="宋体" w:hAnsi="宋体"/>
          <w:snapToGrid w:val="0"/>
          <w:color w:val="000000" w:themeColor="text1"/>
          <w:spacing w:val="-6"/>
          <w:kern w:val="21"/>
          <w:szCs w:val="21"/>
          <w14:textFill>
            <w14:solidFill>
              <w14:schemeClr w14:val="tx1"/>
            </w14:solidFill>
          </w14:textFill>
        </w:rPr>
      </w:pPr>
      <w:r>
        <w:rPr>
          <w:rFonts w:ascii="宋体" w:hAnsi="宋体"/>
          <w:snapToGrid w:val="0"/>
          <w:color w:val="000000" w:themeColor="text1"/>
          <w:kern w:val="21"/>
          <w:szCs w:val="21"/>
          <w14:textFill>
            <w14:solidFill>
              <w14:schemeClr w14:val="tx1"/>
            </w14:solidFill>
          </w14:textFill>
        </w:rPr>
        <w:t>注：</w:t>
      </w:r>
      <w:r>
        <w:rPr>
          <w:rFonts w:ascii="宋体" w:hAnsi="宋体"/>
          <w:snapToGrid w:val="0"/>
          <w:color w:val="000000" w:themeColor="text1"/>
          <w:spacing w:val="-16"/>
          <w:kern w:val="21"/>
          <w:szCs w:val="21"/>
          <w14:textFill>
            <w14:solidFill>
              <w14:schemeClr w14:val="tx1"/>
            </w14:solidFill>
          </w14:textFill>
        </w:rPr>
        <w:fldChar w:fldCharType="begin"/>
      </w:r>
      <w:r>
        <w:rPr>
          <w:rFonts w:ascii="宋体" w:hAnsi="宋体"/>
          <w:snapToGrid w:val="0"/>
          <w:color w:val="000000" w:themeColor="text1"/>
          <w:spacing w:val="-16"/>
          <w:kern w:val="21"/>
          <w:szCs w:val="21"/>
          <w14:textFill>
            <w14:solidFill>
              <w14:schemeClr w14:val="tx1"/>
            </w14:solidFill>
          </w14:textFill>
        </w:rPr>
        <w:instrText xml:space="preserve"> = 6 \* GB3 \* MERGEFORMAT </w:instrText>
      </w:r>
      <w:r>
        <w:rPr>
          <w:rFonts w:ascii="宋体" w:hAnsi="宋体"/>
          <w:snapToGrid w:val="0"/>
          <w:color w:val="000000" w:themeColor="text1"/>
          <w:spacing w:val="-1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⑥</w:t>
      </w:r>
      <w:r>
        <w:rPr>
          <w:rFonts w:ascii="宋体" w:hAnsi="宋体"/>
          <w:snapToGrid w:val="0"/>
          <w:color w:val="000000" w:themeColor="text1"/>
          <w:spacing w:val="-16"/>
          <w:kern w:val="21"/>
          <w:szCs w:val="21"/>
          <w14:textFill>
            <w14:solidFill>
              <w14:schemeClr w14:val="tx1"/>
            </w14:solidFill>
          </w14:textFill>
        </w:rPr>
        <w:fldChar w:fldCharType="end"/>
      </w:r>
      <w:r>
        <w:rPr>
          <w:rFonts w:ascii="宋体" w:hAnsi="宋体"/>
          <w:snapToGrid w:val="0"/>
          <w:color w:val="000000" w:themeColor="text1"/>
          <w:spacing w:val="-1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1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①</w:t>
      </w:r>
      <w:r>
        <w:rPr>
          <w:rFonts w:ascii="宋体" w:hAnsi="宋体"/>
          <w:snapToGrid w:val="0"/>
          <w:color w:val="000000" w:themeColor="text1"/>
          <w:spacing w:val="-6"/>
          <w:kern w:val="21"/>
          <w:szCs w:val="21"/>
          <w14:textFill>
            <w14:solidFill>
              <w14:schemeClr w14:val="tx1"/>
            </w14:solidFill>
          </w14:textFill>
        </w:rPr>
        <w:fldChar w:fldCharType="end"/>
      </w:r>
      <w:r>
        <w:rPr>
          <w:rFonts w:ascii="宋体" w:hAnsi="宋体"/>
          <w:snapToGrid w:val="0"/>
          <w:color w:val="000000" w:themeColor="text1"/>
          <w:spacing w:val="-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3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③</w:t>
      </w:r>
      <w:r>
        <w:rPr>
          <w:rFonts w:ascii="宋体" w:hAnsi="宋体"/>
          <w:snapToGrid w:val="0"/>
          <w:color w:val="000000" w:themeColor="text1"/>
          <w:spacing w:val="-6"/>
          <w:kern w:val="21"/>
          <w:szCs w:val="21"/>
          <w14:textFill>
            <w14:solidFill>
              <w14:schemeClr w14:val="tx1"/>
            </w14:solidFill>
          </w14:textFill>
        </w:rPr>
        <w:fldChar w:fldCharType="end"/>
      </w:r>
      <w:r>
        <w:rPr>
          <w:rFonts w:ascii="宋体" w:hAnsi="宋体"/>
          <w:snapToGrid w:val="0"/>
          <w:color w:val="000000" w:themeColor="text1"/>
          <w:spacing w:val="-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4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④</w:t>
      </w:r>
      <w:r>
        <w:rPr>
          <w:rFonts w:ascii="宋体" w:hAnsi="宋体"/>
          <w:snapToGrid w:val="0"/>
          <w:color w:val="000000" w:themeColor="text1"/>
          <w:spacing w:val="-6"/>
          <w:kern w:val="21"/>
          <w:szCs w:val="21"/>
          <w14:textFill>
            <w14:solidFill>
              <w14:schemeClr w14:val="tx1"/>
            </w14:solidFill>
          </w14:textFill>
        </w:rPr>
        <w:fldChar w:fldCharType="end"/>
      </w:r>
      <w:r>
        <w:rPr>
          <w:rFonts w:ascii="宋体" w:hAnsi="宋体"/>
          <w:snapToGrid w:val="0"/>
          <w:color w:val="000000" w:themeColor="text1"/>
          <w:spacing w:val="-6"/>
          <w:kern w:val="21"/>
          <w:szCs w:val="21"/>
          <w14:textFill>
            <w14:solidFill>
              <w14:schemeClr w14:val="tx1"/>
            </w14:solidFill>
          </w14:textFill>
        </w:rPr>
        <w:t>-</w:t>
      </w:r>
      <w:r>
        <w:rPr>
          <w:rFonts w:ascii="宋体" w:hAnsi="宋体"/>
          <w:snapToGrid w:val="0"/>
          <w:color w:val="000000" w:themeColor="text1"/>
          <w:spacing w:val="-16"/>
          <w:kern w:val="21"/>
          <w:szCs w:val="21"/>
          <w14:textFill>
            <w14:solidFill>
              <w14:schemeClr w14:val="tx1"/>
            </w14:solidFill>
          </w14:textFill>
        </w:rPr>
        <w:fldChar w:fldCharType="begin"/>
      </w:r>
      <w:r>
        <w:rPr>
          <w:rFonts w:ascii="宋体" w:hAnsi="宋体"/>
          <w:snapToGrid w:val="0"/>
          <w:color w:val="000000" w:themeColor="text1"/>
          <w:spacing w:val="-16"/>
          <w:kern w:val="21"/>
          <w:szCs w:val="21"/>
          <w14:textFill>
            <w14:solidFill>
              <w14:schemeClr w14:val="tx1"/>
            </w14:solidFill>
          </w14:textFill>
        </w:rPr>
        <w:instrText xml:space="preserve"> = 5 \* GB3 \* MERGEFORMAT </w:instrText>
      </w:r>
      <w:r>
        <w:rPr>
          <w:rFonts w:ascii="宋体" w:hAnsi="宋体"/>
          <w:snapToGrid w:val="0"/>
          <w:color w:val="000000" w:themeColor="text1"/>
          <w:spacing w:val="-1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⑤</w:t>
      </w:r>
      <w:r>
        <w:rPr>
          <w:rFonts w:ascii="宋体" w:hAnsi="宋体"/>
          <w:snapToGrid w:val="0"/>
          <w:color w:val="000000" w:themeColor="text1"/>
          <w:spacing w:val="-16"/>
          <w:kern w:val="21"/>
          <w:szCs w:val="21"/>
          <w14:textFill>
            <w14:solidFill>
              <w14:schemeClr w14:val="tx1"/>
            </w14:solidFill>
          </w14:textFill>
        </w:rPr>
        <w:fldChar w:fldCharType="end"/>
      </w:r>
      <w:r>
        <w:rPr>
          <w:rFonts w:ascii="宋体" w:hAnsi="宋体"/>
          <w:snapToGrid w:val="0"/>
          <w:color w:val="000000" w:themeColor="text1"/>
          <w:spacing w:val="-1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7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⑦</w:t>
      </w:r>
      <w:r>
        <w:rPr>
          <w:rFonts w:ascii="宋体" w:hAnsi="宋体"/>
          <w:snapToGrid w:val="0"/>
          <w:color w:val="000000" w:themeColor="text1"/>
          <w:spacing w:val="-6"/>
          <w:kern w:val="21"/>
          <w:szCs w:val="21"/>
          <w14:textFill>
            <w14:solidFill>
              <w14:schemeClr w14:val="tx1"/>
            </w14:solidFill>
          </w14:textFill>
        </w:rPr>
        <w:fldChar w:fldCharType="end"/>
      </w:r>
      <w:r>
        <w:rPr>
          <w:rFonts w:ascii="宋体" w:hAnsi="宋体"/>
          <w:snapToGrid w:val="0"/>
          <w:color w:val="000000" w:themeColor="text1"/>
          <w:spacing w:val="-6"/>
          <w:kern w:val="21"/>
          <w:szCs w:val="21"/>
          <w14:textFill>
            <w14:solidFill>
              <w14:schemeClr w14:val="tx1"/>
            </w14:solidFill>
          </w14:textFill>
        </w:rPr>
        <w:t>=</w:t>
      </w:r>
      <w:r>
        <w:rPr>
          <w:rFonts w:ascii="宋体" w:hAnsi="宋体"/>
          <w:snapToGrid w:val="0"/>
          <w:color w:val="000000" w:themeColor="text1"/>
          <w:spacing w:val="-16"/>
          <w:kern w:val="21"/>
          <w:szCs w:val="21"/>
          <w14:textFill>
            <w14:solidFill>
              <w14:schemeClr w14:val="tx1"/>
            </w14:solidFill>
          </w14:textFill>
        </w:rPr>
        <w:fldChar w:fldCharType="begin"/>
      </w:r>
      <w:r>
        <w:rPr>
          <w:rFonts w:ascii="宋体" w:hAnsi="宋体"/>
          <w:snapToGrid w:val="0"/>
          <w:color w:val="000000" w:themeColor="text1"/>
          <w:spacing w:val="-16"/>
          <w:kern w:val="21"/>
          <w:szCs w:val="21"/>
          <w14:textFill>
            <w14:solidFill>
              <w14:schemeClr w14:val="tx1"/>
            </w14:solidFill>
          </w14:textFill>
        </w:rPr>
        <w:instrText xml:space="preserve"> = 6 \* GB3 \* MERGEFORMAT </w:instrText>
      </w:r>
      <w:r>
        <w:rPr>
          <w:rFonts w:ascii="宋体" w:hAnsi="宋体"/>
          <w:snapToGrid w:val="0"/>
          <w:color w:val="000000" w:themeColor="text1"/>
          <w:spacing w:val="-1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⑥</w:t>
      </w:r>
      <w:r>
        <w:rPr>
          <w:rFonts w:ascii="宋体" w:hAnsi="宋体"/>
          <w:snapToGrid w:val="0"/>
          <w:color w:val="000000" w:themeColor="text1"/>
          <w:spacing w:val="-16"/>
          <w:kern w:val="21"/>
          <w:szCs w:val="21"/>
          <w14:textFill>
            <w14:solidFill>
              <w14:schemeClr w14:val="tx1"/>
            </w14:solidFill>
          </w14:textFill>
        </w:rPr>
        <w:fldChar w:fldCharType="end"/>
      </w:r>
      <w:r>
        <w:rPr>
          <w:rFonts w:ascii="宋体" w:hAnsi="宋体"/>
          <w:snapToGrid w:val="0"/>
          <w:color w:val="000000" w:themeColor="text1"/>
          <w:spacing w:val="-1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1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①</w:t>
      </w:r>
      <w:r>
        <w:rPr>
          <w:rFonts w:ascii="宋体" w:hAnsi="宋体"/>
          <w:snapToGrid w:val="0"/>
          <w:color w:val="000000" w:themeColor="text1"/>
          <w:spacing w:val="-6"/>
          <w:kern w:val="21"/>
          <w:szCs w:val="21"/>
          <w14:textFill>
            <w14:solidFill>
              <w14:schemeClr w14:val="tx1"/>
            </w14:solidFill>
          </w14:textFill>
        </w:rPr>
        <w:fldChar w:fldCharType="end"/>
      </w:r>
    </w:p>
    <w:p w14:paraId="1F3B9BC0">
      <w:pPr>
        <w:rPr>
          <w:color w:val="000000" w:themeColor="text1"/>
          <w14:textFill>
            <w14:solidFill>
              <w14:schemeClr w14:val="tx1"/>
            </w14:solidFill>
          </w14:textFill>
        </w:rPr>
        <w:sectPr>
          <w:pgSz w:w="16838" w:h="11906" w:orient="landscape"/>
          <w:pgMar w:top="1701" w:right="1531" w:bottom="1701" w:left="1531" w:header="851" w:footer="851" w:gutter="0"/>
          <w:cols w:space="720" w:num="1"/>
          <w:docGrid w:linePitch="312" w:charSpace="0"/>
        </w:sectPr>
      </w:pPr>
    </w:p>
    <w:tbl>
      <w:tblPr>
        <w:tblStyle w:val="27"/>
        <w:tblW w:w="9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5"/>
      </w:tblGrid>
      <w:tr w14:paraId="3F7D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8" w:hRule="atLeast"/>
          <w:jc w:val="center"/>
        </w:trPr>
        <w:tc>
          <w:tcPr>
            <w:tcW w:w="8720" w:type="dxa"/>
            <w:vAlign w:val="center"/>
          </w:tcPr>
          <w:p w14:paraId="4CD2D304">
            <w:pPr>
              <w:spacing w:before="240" w:line="500" w:lineRule="exact"/>
              <w:jc w:val="center"/>
              <w:rPr>
                <w:b/>
                <w:bCs/>
                <w:color w:val="000000" w:themeColor="text1"/>
                <w:sz w:val="52"/>
                <w:szCs w:val="52"/>
                <w14:textFill>
                  <w14:solidFill>
                    <w14:schemeClr w14:val="tx1"/>
                  </w14:solidFill>
                </w14:textFill>
              </w:rPr>
            </w:pPr>
            <w:r>
              <w:rPr>
                <w:b/>
                <w:bCs/>
                <w:color w:val="000000" w:themeColor="text1"/>
                <w:sz w:val="52"/>
                <w:szCs w:val="52"/>
                <w14:textFill>
                  <w14:solidFill>
                    <w14:schemeClr w14:val="tx1"/>
                  </w14:solidFill>
                </w14:textFill>
              </w:rPr>
              <w:t>附件</w:t>
            </w:r>
          </w:p>
          <w:p w14:paraId="4EF6181E">
            <w:pPr>
              <w:spacing w:before="120" w:after="120" w:line="360" w:lineRule="auto"/>
              <w:ind w:firstLine="2400" w:firstLineChars="750"/>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1、委托书</w:t>
            </w:r>
          </w:p>
          <w:p w14:paraId="520824AB">
            <w:pPr>
              <w:spacing w:before="120" w:after="120" w:line="360" w:lineRule="auto"/>
              <w:ind w:firstLine="2400" w:firstLineChars="750"/>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2、立项批复</w:t>
            </w:r>
          </w:p>
          <w:p w14:paraId="1D7391EF">
            <w:pPr>
              <w:spacing w:before="120" w:after="120" w:line="360" w:lineRule="auto"/>
              <w:ind w:firstLine="2400" w:firstLineChars="750"/>
              <w:rPr>
                <w:rFonts w:hint="eastAsia"/>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3</w:t>
            </w:r>
            <w:r>
              <w:rPr>
                <w:color w:val="000000" w:themeColor="text1"/>
                <w:sz w:val="32"/>
                <w:szCs w:val="32"/>
                <w14:textFill>
                  <w14:solidFill>
                    <w14:schemeClr w14:val="tx1"/>
                  </w14:solidFill>
                </w14:textFill>
              </w:rPr>
              <w:t>、</w:t>
            </w:r>
            <w:r>
              <w:rPr>
                <w:rFonts w:hint="eastAsia"/>
                <w:color w:val="000000" w:themeColor="text1"/>
                <w:sz w:val="32"/>
                <w:szCs w:val="32"/>
                <w14:textFill>
                  <w14:solidFill>
                    <w14:schemeClr w14:val="tx1"/>
                  </w14:solidFill>
                </w14:textFill>
              </w:rPr>
              <w:t>现有工程污染物排放检测报告</w:t>
            </w:r>
          </w:p>
          <w:p w14:paraId="4A335B3E">
            <w:pPr>
              <w:spacing w:before="120" w:after="120" w:line="360" w:lineRule="auto"/>
              <w:ind w:firstLine="2400" w:firstLineChars="750"/>
              <w:rPr>
                <w:rFonts w:hint="eastAsia"/>
                <w:color w:val="000000" w:themeColor="text1"/>
                <w:sz w:val="32"/>
                <w:szCs w:val="32"/>
                <w:lang w:val="en-US" w:eastAsia="zh-CN"/>
                <w14:textFill>
                  <w14:solidFill>
                    <w14:schemeClr w14:val="tx1"/>
                  </w14:solidFill>
                </w14:textFill>
              </w:rPr>
            </w:pPr>
            <w:r>
              <w:rPr>
                <w:rFonts w:hint="eastAsia"/>
                <w:color w:val="000000" w:themeColor="text1"/>
                <w:sz w:val="32"/>
                <w:szCs w:val="32"/>
                <w:lang w:val="en-US" w:eastAsia="zh-CN"/>
                <w14:textFill>
                  <w14:solidFill>
                    <w14:schemeClr w14:val="tx1"/>
                  </w14:solidFill>
                </w14:textFill>
              </w:rPr>
              <w:t>4、区域现状大气和噪声环境检测报告</w:t>
            </w:r>
          </w:p>
          <w:p w14:paraId="7CF09076">
            <w:pPr>
              <w:spacing w:before="120" w:after="120" w:line="360" w:lineRule="auto"/>
              <w:ind w:firstLine="2400" w:firstLineChars="750"/>
              <w:rPr>
                <w:rFonts w:hint="default"/>
                <w:color w:val="000000" w:themeColor="text1"/>
                <w:sz w:val="32"/>
                <w:szCs w:val="32"/>
                <w:lang w:val="en-US" w:eastAsia="zh-CN"/>
                <w14:textFill>
                  <w14:solidFill>
                    <w14:schemeClr w14:val="tx1"/>
                  </w14:solidFill>
                </w14:textFill>
              </w:rPr>
            </w:pPr>
            <w:r>
              <w:rPr>
                <w:rFonts w:hint="eastAsia"/>
                <w:color w:val="000000" w:themeColor="text1"/>
                <w:sz w:val="32"/>
                <w:szCs w:val="32"/>
                <w:lang w:val="en-US" w:eastAsia="zh-CN"/>
                <w14:textFill>
                  <w14:solidFill>
                    <w14:schemeClr w14:val="tx1"/>
                  </w14:solidFill>
                </w14:textFill>
              </w:rPr>
              <w:t>5、会议纪要</w:t>
            </w:r>
          </w:p>
          <w:p w14:paraId="75B2412F">
            <w:pPr>
              <w:spacing w:before="120" w:after="120" w:line="360" w:lineRule="auto"/>
              <w:ind w:firstLine="2400" w:firstLineChars="750"/>
              <w:rPr>
                <w:color w:val="000000" w:themeColor="text1"/>
                <w:sz w:val="32"/>
                <w:szCs w:val="32"/>
                <w14:textFill>
                  <w14:solidFill>
                    <w14:schemeClr w14:val="tx1"/>
                  </w14:solidFill>
                </w14:textFill>
              </w:rPr>
            </w:pPr>
            <w:r>
              <w:rPr>
                <w:rFonts w:hint="eastAsia"/>
                <w:color w:val="000000" w:themeColor="text1"/>
                <w:sz w:val="32"/>
                <w:szCs w:val="32"/>
                <w:lang w:val="en-US" w:eastAsia="zh-CN"/>
                <w14:textFill>
                  <w14:solidFill>
                    <w14:schemeClr w14:val="tx1"/>
                  </w14:solidFill>
                </w14:textFill>
              </w:rPr>
              <w:t>6、建设项目环境</w:t>
            </w:r>
            <w:r>
              <w:rPr>
                <w:rFonts w:hint="eastAsia"/>
                <w:color w:val="000000" w:themeColor="text1"/>
                <w:sz w:val="32"/>
                <w:szCs w:val="32"/>
                <w14:textFill>
                  <w14:solidFill>
                    <w14:schemeClr w14:val="tx1"/>
                  </w14:solidFill>
                </w14:textFill>
              </w:rPr>
              <w:t>影响评价与排污许可联动内容</w:t>
            </w:r>
          </w:p>
          <w:p w14:paraId="527B8D3A">
            <w:pPr>
              <w:spacing w:line="360" w:lineRule="auto"/>
              <w:jc w:val="center"/>
              <w:rPr>
                <w:b/>
                <w:bCs/>
                <w:color w:val="000000" w:themeColor="text1"/>
                <w:sz w:val="52"/>
                <w:szCs w:val="52"/>
                <w14:textFill>
                  <w14:solidFill>
                    <w14:schemeClr w14:val="tx1"/>
                  </w14:solidFill>
                </w14:textFill>
              </w:rPr>
            </w:pPr>
          </w:p>
          <w:p w14:paraId="68E5CC4D">
            <w:pPr>
              <w:spacing w:line="360" w:lineRule="auto"/>
              <w:jc w:val="center"/>
              <w:rPr>
                <w:b/>
                <w:bCs/>
                <w:color w:val="000000" w:themeColor="text1"/>
                <w:sz w:val="52"/>
                <w:szCs w:val="52"/>
                <w14:textFill>
                  <w14:solidFill>
                    <w14:schemeClr w14:val="tx1"/>
                  </w14:solidFill>
                </w14:textFill>
              </w:rPr>
            </w:pPr>
            <w:r>
              <w:rPr>
                <w:b/>
                <w:bCs/>
                <w:color w:val="000000" w:themeColor="text1"/>
                <w:sz w:val="52"/>
                <w:szCs w:val="52"/>
                <w14:textFill>
                  <w14:solidFill>
                    <w14:schemeClr w14:val="tx1"/>
                  </w14:solidFill>
                </w14:textFill>
              </w:rPr>
              <w:t>附</w:t>
            </w:r>
            <w:r>
              <w:rPr>
                <w:rFonts w:hint="eastAsia"/>
                <w:b/>
                <w:bCs/>
                <w:color w:val="000000" w:themeColor="text1"/>
                <w:sz w:val="52"/>
                <w:szCs w:val="52"/>
                <w14:textFill>
                  <w14:solidFill>
                    <w14:schemeClr w14:val="tx1"/>
                  </w14:solidFill>
                </w14:textFill>
              </w:rPr>
              <w:t>图</w:t>
            </w:r>
          </w:p>
          <w:p w14:paraId="52DB84D5">
            <w:pPr>
              <w:spacing w:before="120" w:after="120" w:line="360" w:lineRule="auto"/>
              <w:ind w:firstLine="2400" w:firstLineChars="750"/>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1、项目地理位置图</w:t>
            </w:r>
          </w:p>
          <w:p w14:paraId="4A83B792">
            <w:pPr>
              <w:spacing w:before="120" w:after="120" w:line="360" w:lineRule="auto"/>
              <w:ind w:firstLine="2400" w:firstLineChars="750"/>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2、平面布置图</w:t>
            </w:r>
          </w:p>
          <w:p w14:paraId="3A262DDD">
            <w:pPr>
              <w:spacing w:before="120" w:after="120" w:line="360" w:lineRule="auto"/>
              <w:ind w:firstLine="2400" w:firstLineChars="75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3、环境目标保护图</w:t>
            </w:r>
          </w:p>
          <w:p w14:paraId="65BA383F">
            <w:pPr>
              <w:spacing w:before="120" w:after="120" w:line="360" w:lineRule="auto"/>
              <w:ind w:firstLine="2400" w:firstLineChars="75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4、分区防渗图</w:t>
            </w:r>
          </w:p>
          <w:p w14:paraId="340CB53C">
            <w:pPr>
              <w:spacing w:before="120" w:after="120" w:line="360" w:lineRule="auto"/>
              <w:ind w:firstLine="2400" w:firstLineChars="75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5、环境管控单元示意图</w:t>
            </w:r>
          </w:p>
          <w:p w14:paraId="66918B4C">
            <w:pPr>
              <w:spacing w:before="120" w:after="120" w:line="360" w:lineRule="auto"/>
              <w:ind w:firstLine="2400" w:firstLineChars="75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6、三线一单位置图</w:t>
            </w:r>
          </w:p>
          <w:p w14:paraId="7899CDE7">
            <w:pPr>
              <w:spacing w:before="120" w:after="120" w:line="360" w:lineRule="auto"/>
              <w:ind w:firstLine="1575" w:firstLineChars="750"/>
              <w:rPr>
                <w:color w:val="000000" w:themeColor="text1"/>
                <w14:textFill>
                  <w14:solidFill>
                    <w14:schemeClr w14:val="tx1"/>
                  </w14:solidFill>
                </w14:textFill>
              </w:rPr>
            </w:pPr>
          </w:p>
        </w:tc>
      </w:tr>
    </w:tbl>
    <w:p w14:paraId="3D8DCAC4">
      <w:pPr>
        <w:spacing w:line="20" w:lineRule="exact"/>
        <w:rPr>
          <w:color w:val="000000" w:themeColor="text1"/>
          <w14:textFill>
            <w14:solidFill>
              <w14:schemeClr w14:val="tx1"/>
            </w14:solidFill>
          </w14:textFill>
        </w:rPr>
      </w:pPr>
    </w:p>
    <w:p w14:paraId="03A8A0F7">
      <w:pPr>
        <w:tabs>
          <w:tab w:val="left" w:pos="7366"/>
        </w:tabs>
        <w:jc w:val="left"/>
        <w:rPr>
          <w:rFonts w:ascii="宋体" w:hAnsi="宋体" w:cs="宋体"/>
          <w:sz w:val="24"/>
        </w:rPr>
      </w:pPr>
      <w:r>
        <w:rPr>
          <w:rFonts w:hint="eastAsia"/>
        </w:rPr>
        <w:tab/>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27DB3">
    <w:pPr>
      <w:pStyle w:val="18"/>
      <w:jc w:val="center"/>
    </w:pPr>
  </w:p>
  <w:p w14:paraId="241D09F4">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3CBAA">
    <w:pPr>
      <w:pStyle w:val="13"/>
      <w:framePr w:wrap="around" w:vAnchor="text" w:hAnchor="margin" w:xAlign="center" w:y="1"/>
    </w:pPr>
    <w:r>
      <w:fldChar w:fldCharType="begin"/>
    </w:r>
    <w:r>
      <w:instrText xml:space="preserve">PAGE  </w:instrText>
    </w:r>
    <w:r>
      <w:fldChar w:fldCharType="separate"/>
    </w:r>
    <w:r>
      <w:t>8</w:t>
    </w:r>
    <w:r>
      <w:fldChar w:fldCharType="end"/>
    </w:r>
  </w:p>
  <w:p w14:paraId="1E1921E2">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7247581"/>
    </w:sdtPr>
    <w:sdtContent>
      <w:p w14:paraId="2CB9B745">
        <w:pPr>
          <w:pStyle w:val="18"/>
          <w:jc w:val="center"/>
        </w:pPr>
        <w:r>
          <w:t>-</w:t>
        </w:r>
        <w:r>
          <w:rPr>
            <w:lang w:val="zh-CN"/>
          </w:rPr>
          <w:fldChar w:fldCharType="begin"/>
        </w:r>
        <w:r>
          <w:rPr>
            <w:lang w:val="zh-CN"/>
          </w:rPr>
          <w:instrText xml:space="preserve">PAGE   \* MERGEFORMAT</w:instrText>
        </w:r>
        <w:r>
          <w:rPr>
            <w:lang w:val="zh-CN"/>
          </w:rPr>
          <w:fldChar w:fldCharType="separate"/>
        </w:r>
        <w:r>
          <w:rPr>
            <w:lang w:val="zh-CN"/>
          </w:rPr>
          <w:t>62</w:t>
        </w:r>
        <w:r>
          <w:rPr>
            <w:lang w:val="zh-CN"/>
          </w:rPr>
          <w:fldChar w:fldCharType="end"/>
        </w:r>
        <w:r>
          <w:t>-</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5D9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7D1A34"/>
    <w:multiLevelType w:val="singleLevel"/>
    <w:tmpl w:val="FF7D1A34"/>
    <w:lvl w:ilvl="0" w:tentative="0">
      <w:start w:val="1"/>
      <w:numFmt w:val="decimal"/>
      <w:suff w:val="nothing"/>
      <w:lvlText w:val="%1、"/>
      <w:lvlJc w:val="left"/>
    </w:lvl>
  </w:abstractNum>
  <w:abstractNum w:abstractNumId="1">
    <w:nsid w:val="04DAD73D"/>
    <w:multiLevelType w:val="singleLevel"/>
    <w:tmpl w:val="04DAD73D"/>
    <w:lvl w:ilvl="0" w:tentative="0">
      <w:start w:val="2"/>
      <w:numFmt w:val="decimal"/>
      <w:suff w:val="nothing"/>
      <w:lvlText w:val="%1、"/>
      <w:lvlJc w:val="left"/>
    </w:lvl>
  </w:abstractNum>
  <w:abstractNum w:abstractNumId="2">
    <w:nsid w:val="0ABCBCEE"/>
    <w:multiLevelType w:val="singleLevel"/>
    <w:tmpl w:val="0ABCBCEE"/>
    <w:lvl w:ilvl="0" w:tentative="0">
      <w:start w:val="1"/>
      <w:numFmt w:val="decimal"/>
      <w:suff w:val="nothing"/>
      <w:lvlText w:val="%1、"/>
      <w:lvlJc w:val="left"/>
    </w:lvl>
  </w:abstractNum>
  <w:abstractNum w:abstractNumId="3">
    <w:nsid w:val="17D90A27"/>
    <w:multiLevelType w:val="multilevel"/>
    <w:tmpl w:val="17D90A27"/>
    <w:lvl w:ilvl="0" w:tentative="0">
      <w:start w:val="1"/>
      <w:numFmt w:val="decimalEnclosedCircle"/>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D6D6FF1"/>
    <w:multiLevelType w:val="singleLevel"/>
    <w:tmpl w:val="7D6D6FF1"/>
    <w:lvl w:ilvl="0" w:tentative="0">
      <w:start w:val="1"/>
      <w:numFmt w:val="decimal"/>
      <w:suff w:val="nothing"/>
      <w:lvlText w:val="（%1）"/>
      <w:lvlJc w:val="left"/>
    </w:lvl>
  </w:abstractNum>
  <w:abstractNum w:abstractNumId="5">
    <w:nsid w:val="7DF85961"/>
    <w:multiLevelType w:val="multilevel"/>
    <w:tmpl w:val="7DF85961"/>
    <w:lvl w:ilvl="0" w:tentative="0">
      <w:start w:val="1"/>
      <w:numFmt w:val="japaneseCounting"/>
      <w:pStyle w:val="7"/>
      <w:lvlText w:val="%1、"/>
      <w:lvlJc w:val="left"/>
      <w:pPr>
        <w:ind w:left="992" w:hanging="51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542AE0"/>
    <w:rsid w:val="000013B5"/>
    <w:rsid w:val="000028E2"/>
    <w:rsid w:val="00007065"/>
    <w:rsid w:val="0003015A"/>
    <w:rsid w:val="000311EC"/>
    <w:rsid w:val="00033AF7"/>
    <w:rsid w:val="00040EF1"/>
    <w:rsid w:val="00052159"/>
    <w:rsid w:val="00052986"/>
    <w:rsid w:val="00055187"/>
    <w:rsid w:val="0006344A"/>
    <w:rsid w:val="00063EA9"/>
    <w:rsid w:val="00066EF2"/>
    <w:rsid w:val="0008388D"/>
    <w:rsid w:val="00084B9A"/>
    <w:rsid w:val="00085C8E"/>
    <w:rsid w:val="00086F84"/>
    <w:rsid w:val="000947EE"/>
    <w:rsid w:val="00095E74"/>
    <w:rsid w:val="000976E4"/>
    <w:rsid w:val="000A5976"/>
    <w:rsid w:val="000A75E6"/>
    <w:rsid w:val="000B1958"/>
    <w:rsid w:val="000B7A70"/>
    <w:rsid w:val="000C377A"/>
    <w:rsid w:val="000D1501"/>
    <w:rsid w:val="000D5D45"/>
    <w:rsid w:val="000D68A8"/>
    <w:rsid w:val="000D7F6C"/>
    <w:rsid w:val="000E0715"/>
    <w:rsid w:val="000E0A94"/>
    <w:rsid w:val="000E591F"/>
    <w:rsid w:val="000F20FA"/>
    <w:rsid w:val="0010618C"/>
    <w:rsid w:val="0010651A"/>
    <w:rsid w:val="00121FE0"/>
    <w:rsid w:val="00131670"/>
    <w:rsid w:val="00136D83"/>
    <w:rsid w:val="00140EAC"/>
    <w:rsid w:val="00142698"/>
    <w:rsid w:val="001435E3"/>
    <w:rsid w:val="00144898"/>
    <w:rsid w:val="00157AEA"/>
    <w:rsid w:val="0016073E"/>
    <w:rsid w:val="0016274C"/>
    <w:rsid w:val="001663F6"/>
    <w:rsid w:val="0017008F"/>
    <w:rsid w:val="00173C51"/>
    <w:rsid w:val="001765CC"/>
    <w:rsid w:val="00177105"/>
    <w:rsid w:val="001771FF"/>
    <w:rsid w:val="001853AD"/>
    <w:rsid w:val="001A0175"/>
    <w:rsid w:val="001A6D27"/>
    <w:rsid w:val="001B169E"/>
    <w:rsid w:val="001B2155"/>
    <w:rsid w:val="001B2D2D"/>
    <w:rsid w:val="001B7EBD"/>
    <w:rsid w:val="001C3624"/>
    <w:rsid w:val="001C6494"/>
    <w:rsid w:val="001C7E0C"/>
    <w:rsid w:val="001D3B2E"/>
    <w:rsid w:val="001D7D4D"/>
    <w:rsid w:val="001E121A"/>
    <w:rsid w:val="001E267B"/>
    <w:rsid w:val="001E7CF6"/>
    <w:rsid w:val="00212465"/>
    <w:rsid w:val="0021300F"/>
    <w:rsid w:val="002214EE"/>
    <w:rsid w:val="00221958"/>
    <w:rsid w:val="00224217"/>
    <w:rsid w:val="00231C19"/>
    <w:rsid w:val="00235F43"/>
    <w:rsid w:val="002374C7"/>
    <w:rsid w:val="002423B4"/>
    <w:rsid w:val="0024296B"/>
    <w:rsid w:val="002440D8"/>
    <w:rsid w:val="002454FA"/>
    <w:rsid w:val="002560AE"/>
    <w:rsid w:val="00257864"/>
    <w:rsid w:val="002604D2"/>
    <w:rsid w:val="00262829"/>
    <w:rsid w:val="0026544D"/>
    <w:rsid w:val="002725BB"/>
    <w:rsid w:val="00274A2B"/>
    <w:rsid w:val="00283B3A"/>
    <w:rsid w:val="0029252A"/>
    <w:rsid w:val="002925ED"/>
    <w:rsid w:val="002B1DB7"/>
    <w:rsid w:val="002B2893"/>
    <w:rsid w:val="002B468E"/>
    <w:rsid w:val="002C29EC"/>
    <w:rsid w:val="002C6392"/>
    <w:rsid w:val="002D64BC"/>
    <w:rsid w:val="002E0079"/>
    <w:rsid w:val="002E362D"/>
    <w:rsid w:val="002E39E7"/>
    <w:rsid w:val="002E7C55"/>
    <w:rsid w:val="002F3EBF"/>
    <w:rsid w:val="00302C77"/>
    <w:rsid w:val="00313CB2"/>
    <w:rsid w:val="00324B13"/>
    <w:rsid w:val="0033642D"/>
    <w:rsid w:val="00342E00"/>
    <w:rsid w:val="00360248"/>
    <w:rsid w:val="00361A03"/>
    <w:rsid w:val="0036336D"/>
    <w:rsid w:val="003649E5"/>
    <w:rsid w:val="003752AD"/>
    <w:rsid w:val="00382594"/>
    <w:rsid w:val="0038604B"/>
    <w:rsid w:val="00393B72"/>
    <w:rsid w:val="00396154"/>
    <w:rsid w:val="003A059D"/>
    <w:rsid w:val="003A23FE"/>
    <w:rsid w:val="003B1605"/>
    <w:rsid w:val="003B5FFA"/>
    <w:rsid w:val="003C0D13"/>
    <w:rsid w:val="003D494F"/>
    <w:rsid w:val="003E07C3"/>
    <w:rsid w:val="004076D9"/>
    <w:rsid w:val="00412E61"/>
    <w:rsid w:val="00416B15"/>
    <w:rsid w:val="00416F16"/>
    <w:rsid w:val="004179DA"/>
    <w:rsid w:val="00420F8C"/>
    <w:rsid w:val="00434A11"/>
    <w:rsid w:val="00442BFB"/>
    <w:rsid w:val="00443AE0"/>
    <w:rsid w:val="00463107"/>
    <w:rsid w:val="00463358"/>
    <w:rsid w:val="0046437B"/>
    <w:rsid w:val="00467D46"/>
    <w:rsid w:val="00494BF6"/>
    <w:rsid w:val="00494CC1"/>
    <w:rsid w:val="00495CA1"/>
    <w:rsid w:val="00496F91"/>
    <w:rsid w:val="00497178"/>
    <w:rsid w:val="004B0710"/>
    <w:rsid w:val="004B6AE4"/>
    <w:rsid w:val="004B6DC8"/>
    <w:rsid w:val="004C25D9"/>
    <w:rsid w:val="004D2C50"/>
    <w:rsid w:val="004D7623"/>
    <w:rsid w:val="004E158F"/>
    <w:rsid w:val="004E3989"/>
    <w:rsid w:val="004E6B4D"/>
    <w:rsid w:val="004F0965"/>
    <w:rsid w:val="005040EA"/>
    <w:rsid w:val="00506EBE"/>
    <w:rsid w:val="005075D7"/>
    <w:rsid w:val="00510B10"/>
    <w:rsid w:val="00516996"/>
    <w:rsid w:val="00516E38"/>
    <w:rsid w:val="005226EB"/>
    <w:rsid w:val="00524C50"/>
    <w:rsid w:val="00524C75"/>
    <w:rsid w:val="00533122"/>
    <w:rsid w:val="005342FA"/>
    <w:rsid w:val="00542AE0"/>
    <w:rsid w:val="00545AE8"/>
    <w:rsid w:val="0054690F"/>
    <w:rsid w:val="005562DF"/>
    <w:rsid w:val="00561478"/>
    <w:rsid w:val="00561AD2"/>
    <w:rsid w:val="00562CDD"/>
    <w:rsid w:val="0056460C"/>
    <w:rsid w:val="00576345"/>
    <w:rsid w:val="005870F8"/>
    <w:rsid w:val="00592B7B"/>
    <w:rsid w:val="005944E8"/>
    <w:rsid w:val="00595003"/>
    <w:rsid w:val="005A7233"/>
    <w:rsid w:val="005B477A"/>
    <w:rsid w:val="005B4CD9"/>
    <w:rsid w:val="005B4E8C"/>
    <w:rsid w:val="005B623B"/>
    <w:rsid w:val="005C0E97"/>
    <w:rsid w:val="005C48B3"/>
    <w:rsid w:val="005C52C9"/>
    <w:rsid w:val="005C64C6"/>
    <w:rsid w:val="005C7F8F"/>
    <w:rsid w:val="005E1155"/>
    <w:rsid w:val="005E2571"/>
    <w:rsid w:val="005E44EF"/>
    <w:rsid w:val="005F129C"/>
    <w:rsid w:val="005F1968"/>
    <w:rsid w:val="005F1AC9"/>
    <w:rsid w:val="005F2352"/>
    <w:rsid w:val="005F552E"/>
    <w:rsid w:val="005F56F8"/>
    <w:rsid w:val="006055AB"/>
    <w:rsid w:val="00610CD8"/>
    <w:rsid w:val="00630160"/>
    <w:rsid w:val="00630F59"/>
    <w:rsid w:val="00630F7D"/>
    <w:rsid w:val="0064067F"/>
    <w:rsid w:val="00641A65"/>
    <w:rsid w:val="00643E39"/>
    <w:rsid w:val="00645ABF"/>
    <w:rsid w:val="006548E4"/>
    <w:rsid w:val="00655719"/>
    <w:rsid w:val="00675C6E"/>
    <w:rsid w:val="00677FB8"/>
    <w:rsid w:val="0068217F"/>
    <w:rsid w:val="00685AC5"/>
    <w:rsid w:val="0069793E"/>
    <w:rsid w:val="006A33E0"/>
    <w:rsid w:val="006A3FFF"/>
    <w:rsid w:val="006B1C63"/>
    <w:rsid w:val="006B672E"/>
    <w:rsid w:val="006C1204"/>
    <w:rsid w:val="006C2FD5"/>
    <w:rsid w:val="006D240F"/>
    <w:rsid w:val="006D32F4"/>
    <w:rsid w:val="006D386B"/>
    <w:rsid w:val="006E2487"/>
    <w:rsid w:val="00702B1D"/>
    <w:rsid w:val="007031B4"/>
    <w:rsid w:val="007106B0"/>
    <w:rsid w:val="00726B25"/>
    <w:rsid w:val="00727DEB"/>
    <w:rsid w:val="00731422"/>
    <w:rsid w:val="00737383"/>
    <w:rsid w:val="00740F10"/>
    <w:rsid w:val="0074727B"/>
    <w:rsid w:val="007501B3"/>
    <w:rsid w:val="00752628"/>
    <w:rsid w:val="00754023"/>
    <w:rsid w:val="007547B3"/>
    <w:rsid w:val="007573F4"/>
    <w:rsid w:val="00757A3E"/>
    <w:rsid w:val="0076088B"/>
    <w:rsid w:val="0076544D"/>
    <w:rsid w:val="007668B4"/>
    <w:rsid w:val="00767E8E"/>
    <w:rsid w:val="00772793"/>
    <w:rsid w:val="00773CCC"/>
    <w:rsid w:val="00794984"/>
    <w:rsid w:val="007A0C0A"/>
    <w:rsid w:val="007A6FC4"/>
    <w:rsid w:val="007C4FCC"/>
    <w:rsid w:val="007D0C0A"/>
    <w:rsid w:val="007E145F"/>
    <w:rsid w:val="007F0742"/>
    <w:rsid w:val="007F2D7D"/>
    <w:rsid w:val="00802253"/>
    <w:rsid w:val="00810C0D"/>
    <w:rsid w:val="008154DB"/>
    <w:rsid w:val="008206C3"/>
    <w:rsid w:val="00821ED0"/>
    <w:rsid w:val="00824C59"/>
    <w:rsid w:val="008456D0"/>
    <w:rsid w:val="0085476E"/>
    <w:rsid w:val="00854B94"/>
    <w:rsid w:val="008609E8"/>
    <w:rsid w:val="00863A91"/>
    <w:rsid w:val="00864B82"/>
    <w:rsid w:val="0086691F"/>
    <w:rsid w:val="00872234"/>
    <w:rsid w:val="0087528A"/>
    <w:rsid w:val="00881472"/>
    <w:rsid w:val="008825D8"/>
    <w:rsid w:val="0088433D"/>
    <w:rsid w:val="008938F0"/>
    <w:rsid w:val="008A18B1"/>
    <w:rsid w:val="008A6D00"/>
    <w:rsid w:val="008B19A8"/>
    <w:rsid w:val="008B5ED0"/>
    <w:rsid w:val="008B6D56"/>
    <w:rsid w:val="008C4370"/>
    <w:rsid w:val="008D38D0"/>
    <w:rsid w:val="008E7C28"/>
    <w:rsid w:val="008F1590"/>
    <w:rsid w:val="009005D5"/>
    <w:rsid w:val="00904408"/>
    <w:rsid w:val="00913113"/>
    <w:rsid w:val="00916E62"/>
    <w:rsid w:val="009228EF"/>
    <w:rsid w:val="0092377E"/>
    <w:rsid w:val="009271A0"/>
    <w:rsid w:val="00927CF0"/>
    <w:rsid w:val="0093096A"/>
    <w:rsid w:val="009346E4"/>
    <w:rsid w:val="00936BD1"/>
    <w:rsid w:val="00940BDA"/>
    <w:rsid w:val="0094544B"/>
    <w:rsid w:val="009458A2"/>
    <w:rsid w:val="009472C3"/>
    <w:rsid w:val="00961470"/>
    <w:rsid w:val="00962B0E"/>
    <w:rsid w:val="009659B9"/>
    <w:rsid w:val="00972408"/>
    <w:rsid w:val="00974B5F"/>
    <w:rsid w:val="00981637"/>
    <w:rsid w:val="00983B41"/>
    <w:rsid w:val="00993F19"/>
    <w:rsid w:val="009954E8"/>
    <w:rsid w:val="009A2CC1"/>
    <w:rsid w:val="009A67D8"/>
    <w:rsid w:val="009A6F96"/>
    <w:rsid w:val="009B3DF9"/>
    <w:rsid w:val="009B757D"/>
    <w:rsid w:val="009D23E7"/>
    <w:rsid w:val="009D30AE"/>
    <w:rsid w:val="009D799B"/>
    <w:rsid w:val="009E1389"/>
    <w:rsid w:val="009E1CB1"/>
    <w:rsid w:val="009E2043"/>
    <w:rsid w:val="009E5BA1"/>
    <w:rsid w:val="009E7D8D"/>
    <w:rsid w:val="009F1ED3"/>
    <w:rsid w:val="009F2400"/>
    <w:rsid w:val="009F36DE"/>
    <w:rsid w:val="009F7CCF"/>
    <w:rsid w:val="00A0169A"/>
    <w:rsid w:val="00A019FA"/>
    <w:rsid w:val="00A06871"/>
    <w:rsid w:val="00A12A0E"/>
    <w:rsid w:val="00A172C0"/>
    <w:rsid w:val="00A250C9"/>
    <w:rsid w:val="00A2528A"/>
    <w:rsid w:val="00A339ED"/>
    <w:rsid w:val="00A371AC"/>
    <w:rsid w:val="00A40936"/>
    <w:rsid w:val="00A51DFE"/>
    <w:rsid w:val="00A52D04"/>
    <w:rsid w:val="00A5716F"/>
    <w:rsid w:val="00A65073"/>
    <w:rsid w:val="00A66A3F"/>
    <w:rsid w:val="00A71CAB"/>
    <w:rsid w:val="00A73D31"/>
    <w:rsid w:val="00A754E2"/>
    <w:rsid w:val="00A7735B"/>
    <w:rsid w:val="00A97508"/>
    <w:rsid w:val="00AB30C3"/>
    <w:rsid w:val="00AB34EA"/>
    <w:rsid w:val="00AC0FF9"/>
    <w:rsid w:val="00AC29FD"/>
    <w:rsid w:val="00AC75A8"/>
    <w:rsid w:val="00AC7B44"/>
    <w:rsid w:val="00AD3A01"/>
    <w:rsid w:val="00AD3B89"/>
    <w:rsid w:val="00AD6FC5"/>
    <w:rsid w:val="00AF53CC"/>
    <w:rsid w:val="00AF7E15"/>
    <w:rsid w:val="00B02347"/>
    <w:rsid w:val="00B06158"/>
    <w:rsid w:val="00B10742"/>
    <w:rsid w:val="00B12440"/>
    <w:rsid w:val="00B14323"/>
    <w:rsid w:val="00B21925"/>
    <w:rsid w:val="00B227D9"/>
    <w:rsid w:val="00B2741C"/>
    <w:rsid w:val="00B307D2"/>
    <w:rsid w:val="00B457FE"/>
    <w:rsid w:val="00B54A75"/>
    <w:rsid w:val="00B55AD5"/>
    <w:rsid w:val="00B5628A"/>
    <w:rsid w:val="00B617FD"/>
    <w:rsid w:val="00B6231C"/>
    <w:rsid w:val="00B66CEB"/>
    <w:rsid w:val="00B71FB6"/>
    <w:rsid w:val="00B80204"/>
    <w:rsid w:val="00B807A5"/>
    <w:rsid w:val="00B91379"/>
    <w:rsid w:val="00B933EB"/>
    <w:rsid w:val="00B93858"/>
    <w:rsid w:val="00BA0839"/>
    <w:rsid w:val="00BA104F"/>
    <w:rsid w:val="00BA3F93"/>
    <w:rsid w:val="00BA4272"/>
    <w:rsid w:val="00BA791F"/>
    <w:rsid w:val="00BA7994"/>
    <w:rsid w:val="00BB279C"/>
    <w:rsid w:val="00BC11DE"/>
    <w:rsid w:val="00BD18E1"/>
    <w:rsid w:val="00BE068A"/>
    <w:rsid w:val="00BE1716"/>
    <w:rsid w:val="00BE34E2"/>
    <w:rsid w:val="00BE391C"/>
    <w:rsid w:val="00BE78CE"/>
    <w:rsid w:val="00C00514"/>
    <w:rsid w:val="00C00A74"/>
    <w:rsid w:val="00C032C0"/>
    <w:rsid w:val="00C04BB7"/>
    <w:rsid w:val="00C0534B"/>
    <w:rsid w:val="00C06D34"/>
    <w:rsid w:val="00C22A95"/>
    <w:rsid w:val="00C31AE1"/>
    <w:rsid w:val="00C35E14"/>
    <w:rsid w:val="00C41459"/>
    <w:rsid w:val="00C43DB0"/>
    <w:rsid w:val="00C46298"/>
    <w:rsid w:val="00C47242"/>
    <w:rsid w:val="00C52D17"/>
    <w:rsid w:val="00C53B5E"/>
    <w:rsid w:val="00C55459"/>
    <w:rsid w:val="00C63F7E"/>
    <w:rsid w:val="00C72F91"/>
    <w:rsid w:val="00C77944"/>
    <w:rsid w:val="00C82CF7"/>
    <w:rsid w:val="00C876CA"/>
    <w:rsid w:val="00C91C99"/>
    <w:rsid w:val="00C935A4"/>
    <w:rsid w:val="00C96CF6"/>
    <w:rsid w:val="00CC0A2B"/>
    <w:rsid w:val="00CC27B8"/>
    <w:rsid w:val="00CC4FF9"/>
    <w:rsid w:val="00CC58EF"/>
    <w:rsid w:val="00CD1B39"/>
    <w:rsid w:val="00CE70A3"/>
    <w:rsid w:val="00CF341B"/>
    <w:rsid w:val="00D1395B"/>
    <w:rsid w:val="00D16DB3"/>
    <w:rsid w:val="00D22B92"/>
    <w:rsid w:val="00D2634A"/>
    <w:rsid w:val="00D3206D"/>
    <w:rsid w:val="00D463F0"/>
    <w:rsid w:val="00D4698C"/>
    <w:rsid w:val="00D53E03"/>
    <w:rsid w:val="00D545BD"/>
    <w:rsid w:val="00D54926"/>
    <w:rsid w:val="00D56D1B"/>
    <w:rsid w:val="00D70076"/>
    <w:rsid w:val="00D70829"/>
    <w:rsid w:val="00D73B8C"/>
    <w:rsid w:val="00D756CB"/>
    <w:rsid w:val="00D9561E"/>
    <w:rsid w:val="00DB0CA9"/>
    <w:rsid w:val="00DB4F57"/>
    <w:rsid w:val="00DB5E4E"/>
    <w:rsid w:val="00DC6427"/>
    <w:rsid w:val="00DD4F17"/>
    <w:rsid w:val="00DD5196"/>
    <w:rsid w:val="00DE2F48"/>
    <w:rsid w:val="00DE6552"/>
    <w:rsid w:val="00DF0444"/>
    <w:rsid w:val="00DF3026"/>
    <w:rsid w:val="00DF58E2"/>
    <w:rsid w:val="00DF5C12"/>
    <w:rsid w:val="00E0099A"/>
    <w:rsid w:val="00E00EC2"/>
    <w:rsid w:val="00E04AD1"/>
    <w:rsid w:val="00E15E07"/>
    <w:rsid w:val="00E175D3"/>
    <w:rsid w:val="00E2231F"/>
    <w:rsid w:val="00E247EF"/>
    <w:rsid w:val="00E2539D"/>
    <w:rsid w:val="00E348A8"/>
    <w:rsid w:val="00E35F65"/>
    <w:rsid w:val="00E366AA"/>
    <w:rsid w:val="00E43B60"/>
    <w:rsid w:val="00E46DE1"/>
    <w:rsid w:val="00E516B1"/>
    <w:rsid w:val="00EA04EC"/>
    <w:rsid w:val="00EA10EE"/>
    <w:rsid w:val="00EA26E1"/>
    <w:rsid w:val="00EB3D0E"/>
    <w:rsid w:val="00EC2A90"/>
    <w:rsid w:val="00ED5337"/>
    <w:rsid w:val="00EE0B0F"/>
    <w:rsid w:val="00EE0CC5"/>
    <w:rsid w:val="00EE14DD"/>
    <w:rsid w:val="00EE1A7B"/>
    <w:rsid w:val="00F01F7B"/>
    <w:rsid w:val="00F10167"/>
    <w:rsid w:val="00F10ACD"/>
    <w:rsid w:val="00F12FA6"/>
    <w:rsid w:val="00F14DD3"/>
    <w:rsid w:val="00F20B87"/>
    <w:rsid w:val="00F2225C"/>
    <w:rsid w:val="00F25822"/>
    <w:rsid w:val="00F311F2"/>
    <w:rsid w:val="00F405E6"/>
    <w:rsid w:val="00F40CA8"/>
    <w:rsid w:val="00F42C02"/>
    <w:rsid w:val="00F46F7E"/>
    <w:rsid w:val="00F520C9"/>
    <w:rsid w:val="00F62938"/>
    <w:rsid w:val="00F67931"/>
    <w:rsid w:val="00F74D16"/>
    <w:rsid w:val="00F825DD"/>
    <w:rsid w:val="00F90943"/>
    <w:rsid w:val="00F961F6"/>
    <w:rsid w:val="00FA0C2A"/>
    <w:rsid w:val="00FA0F13"/>
    <w:rsid w:val="00FA42AE"/>
    <w:rsid w:val="00FA64C9"/>
    <w:rsid w:val="00FA754A"/>
    <w:rsid w:val="00FB4AFE"/>
    <w:rsid w:val="00FB6382"/>
    <w:rsid w:val="00FC2537"/>
    <w:rsid w:val="00FE05A9"/>
    <w:rsid w:val="00FE6612"/>
    <w:rsid w:val="00FF50BC"/>
    <w:rsid w:val="02A3226C"/>
    <w:rsid w:val="02FA29D0"/>
    <w:rsid w:val="03724B5D"/>
    <w:rsid w:val="03E263F5"/>
    <w:rsid w:val="04090DEE"/>
    <w:rsid w:val="05111784"/>
    <w:rsid w:val="05F239A8"/>
    <w:rsid w:val="07257BEE"/>
    <w:rsid w:val="07657DCD"/>
    <w:rsid w:val="079A3B92"/>
    <w:rsid w:val="07FE4842"/>
    <w:rsid w:val="08EA136E"/>
    <w:rsid w:val="0CBD5119"/>
    <w:rsid w:val="0D4462EB"/>
    <w:rsid w:val="0EE36926"/>
    <w:rsid w:val="0F5C6887"/>
    <w:rsid w:val="111A45E7"/>
    <w:rsid w:val="115E5AD4"/>
    <w:rsid w:val="136E0CD0"/>
    <w:rsid w:val="14F961BB"/>
    <w:rsid w:val="155230E1"/>
    <w:rsid w:val="160C6457"/>
    <w:rsid w:val="170146E7"/>
    <w:rsid w:val="17085688"/>
    <w:rsid w:val="176B7AC9"/>
    <w:rsid w:val="17C1091D"/>
    <w:rsid w:val="1819530E"/>
    <w:rsid w:val="185E6500"/>
    <w:rsid w:val="18EF2D82"/>
    <w:rsid w:val="196324DA"/>
    <w:rsid w:val="1A5D320E"/>
    <w:rsid w:val="1A6C0F14"/>
    <w:rsid w:val="1A9D78FF"/>
    <w:rsid w:val="1D8E3BF5"/>
    <w:rsid w:val="204B15D9"/>
    <w:rsid w:val="208F72EF"/>
    <w:rsid w:val="215E6F9B"/>
    <w:rsid w:val="21CD4728"/>
    <w:rsid w:val="2298676E"/>
    <w:rsid w:val="264B6948"/>
    <w:rsid w:val="26C5616E"/>
    <w:rsid w:val="27310A91"/>
    <w:rsid w:val="287506DA"/>
    <w:rsid w:val="289F4D97"/>
    <w:rsid w:val="2AF21C68"/>
    <w:rsid w:val="2AFD3AE6"/>
    <w:rsid w:val="2B0071DC"/>
    <w:rsid w:val="2CBC2D64"/>
    <w:rsid w:val="2CCB79DC"/>
    <w:rsid w:val="2D8027E9"/>
    <w:rsid w:val="2E03791A"/>
    <w:rsid w:val="2E233723"/>
    <w:rsid w:val="2E5F6D62"/>
    <w:rsid w:val="2F6761ED"/>
    <w:rsid w:val="30574113"/>
    <w:rsid w:val="30D850C5"/>
    <w:rsid w:val="31E44709"/>
    <w:rsid w:val="32BF783A"/>
    <w:rsid w:val="32C345AE"/>
    <w:rsid w:val="34004326"/>
    <w:rsid w:val="34082564"/>
    <w:rsid w:val="346C7D67"/>
    <w:rsid w:val="34AB5A0F"/>
    <w:rsid w:val="35BF2FFC"/>
    <w:rsid w:val="35F14999"/>
    <w:rsid w:val="37170F01"/>
    <w:rsid w:val="388B1B58"/>
    <w:rsid w:val="38BC2722"/>
    <w:rsid w:val="39EA7C4C"/>
    <w:rsid w:val="3A6F33D5"/>
    <w:rsid w:val="3AAD6E6B"/>
    <w:rsid w:val="3AD4302F"/>
    <w:rsid w:val="3ADD1FEC"/>
    <w:rsid w:val="3C762DD1"/>
    <w:rsid w:val="3E0D16DB"/>
    <w:rsid w:val="3E130384"/>
    <w:rsid w:val="3E66136D"/>
    <w:rsid w:val="3F143602"/>
    <w:rsid w:val="3F152410"/>
    <w:rsid w:val="3F881844"/>
    <w:rsid w:val="40D043A1"/>
    <w:rsid w:val="41A0240E"/>
    <w:rsid w:val="41E80439"/>
    <w:rsid w:val="41EB7A87"/>
    <w:rsid w:val="43164D44"/>
    <w:rsid w:val="43BE030E"/>
    <w:rsid w:val="443F0626"/>
    <w:rsid w:val="44CD0C73"/>
    <w:rsid w:val="45E802F0"/>
    <w:rsid w:val="467627F1"/>
    <w:rsid w:val="47B94F9A"/>
    <w:rsid w:val="48194880"/>
    <w:rsid w:val="48CF45B8"/>
    <w:rsid w:val="498E5BA1"/>
    <w:rsid w:val="4A030FFC"/>
    <w:rsid w:val="4AE266EE"/>
    <w:rsid w:val="4BD524F7"/>
    <w:rsid w:val="4C3D3726"/>
    <w:rsid w:val="4CA24FA7"/>
    <w:rsid w:val="4CF41CC9"/>
    <w:rsid w:val="4F16183C"/>
    <w:rsid w:val="4F8D73CA"/>
    <w:rsid w:val="50727958"/>
    <w:rsid w:val="50B771CC"/>
    <w:rsid w:val="51E91920"/>
    <w:rsid w:val="523660C9"/>
    <w:rsid w:val="52567250"/>
    <w:rsid w:val="53B0718B"/>
    <w:rsid w:val="54C0109A"/>
    <w:rsid w:val="54D917DB"/>
    <w:rsid w:val="55292800"/>
    <w:rsid w:val="555155C2"/>
    <w:rsid w:val="55BC6B3F"/>
    <w:rsid w:val="56E44FD3"/>
    <w:rsid w:val="57073920"/>
    <w:rsid w:val="575F0F80"/>
    <w:rsid w:val="57FE7A9F"/>
    <w:rsid w:val="58967AA5"/>
    <w:rsid w:val="59EE56A6"/>
    <w:rsid w:val="5C5967C4"/>
    <w:rsid w:val="5CD82CE0"/>
    <w:rsid w:val="5D8130CD"/>
    <w:rsid w:val="5DBC085C"/>
    <w:rsid w:val="5E5216C1"/>
    <w:rsid w:val="609D7CE9"/>
    <w:rsid w:val="60DA1766"/>
    <w:rsid w:val="61902810"/>
    <w:rsid w:val="61F1336C"/>
    <w:rsid w:val="62464262"/>
    <w:rsid w:val="629A1124"/>
    <w:rsid w:val="63603A9E"/>
    <w:rsid w:val="636C16D5"/>
    <w:rsid w:val="658735BB"/>
    <w:rsid w:val="65AC1E7D"/>
    <w:rsid w:val="665963D2"/>
    <w:rsid w:val="66B55F73"/>
    <w:rsid w:val="677270A6"/>
    <w:rsid w:val="696C2481"/>
    <w:rsid w:val="6992052C"/>
    <w:rsid w:val="6A3F3B26"/>
    <w:rsid w:val="6A8713DF"/>
    <w:rsid w:val="6B167733"/>
    <w:rsid w:val="6BF54C4E"/>
    <w:rsid w:val="6C2768AE"/>
    <w:rsid w:val="6CF221E1"/>
    <w:rsid w:val="6DF8466C"/>
    <w:rsid w:val="6E912741"/>
    <w:rsid w:val="70D3473A"/>
    <w:rsid w:val="70F97669"/>
    <w:rsid w:val="71864485"/>
    <w:rsid w:val="724F79D1"/>
    <w:rsid w:val="7364685D"/>
    <w:rsid w:val="757D0F4A"/>
    <w:rsid w:val="76CE048F"/>
    <w:rsid w:val="76D50B05"/>
    <w:rsid w:val="772F0E28"/>
    <w:rsid w:val="7850091E"/>
    <w:rsid w:val="78CA7861"/>
    <w:rsid w:val="78E055EF"/>
    <w:rsid w:val="7936190A"/>
    <w:rsid w:val="79457374"/>
    <w:rsid w:val="7998519E"/>
    <w:rsid w:val="79FC6929"/>
    <w:rsid w:val="7ADE522C"/>
    <w:rsid w:val="7AFF5C93"/>
    <w:rsid w:val="7B927170"/>
    <w:rsid w:val="7BB2492F"/>
    <w:rsid w:val="7C1B5668"/>
    <w:rsid w:val="7E441A8E"/>
    <w:rsid w:val="7F46746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qFormat="1"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6"/>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50"/>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qFormat/>
    <w:uiPriority w:val="0"/>
    <w:pPr>
      <w:keepNext/>
      <w:keepLines/>
      <w:spacing w:before="93" w:beforeLines="30" w:after="93" w:afterLines="30" w:line="360" w:lineRule="auto"/>
      <w:ind w:firstLine="601" w:firstLineChars="200"/>
      <w:outlineLvl w:val="2"/>
    </w:pPr>
    <w:rPr>
      <w:rFonts w:eastAsia="楷体_GB2312"/>
      <w:b/>
      <w:bCs/>
      <w:color w:val="000000"/>
      <w:sz w:val="30"/>
      <w:szCs w:val="32"/>
    </w:rPr>
  </w:style>
  <w:style w:type="paragraph" w:styleId="6">
    <w:name w:val="heading 4"/>
    <w:basedOn w:val="1"/>
    <w:next w:val="1"/>
    <w:link w:val="37"/>
    <w:qFormat/>
    <w:uiPriority w:val="0"/>
    <w:pPr>
      <w:keepNext/>
      <w:keepLines/>
      <w:spacing w:before="280" w:after="290" w:line="376" w:lineRule="auto"/>
      <w:outlineLvl w:val="3"/>
    </w:pPr>
    <w:rPr>
      <w:rFonts w:ascii="Calibri Light" w:hAnsi="Calibri Light"/>
      <w:b/>
      <w:bCs/>
      <w:sz w:val="28"/>
      <w:szCs w:val="28"/>
    </w:rPr>
  </w:style>
  <w:style w:type="paragraph" w:styleId="7">
    <w:name w:val="heading 9"/>
    <w:basedOn w:val="1"/>
    <w:next w:val="8"/>
    <w:link w:val="38"/>
    <w:qFormat/>
    <w:uiPriority w:val="0"/>
    <w:pPr>
      <w:keepNext/>
      <w:keepLines/>
      <w:numPr>
        <w:ilvl w:val="0"/>
        <w:numId w:val="1"/>
      </w:numPr>
      <w:tabs>
        <w:tab w:val="left" w:pos="1080"/>
      </w:tabs>
      <w:spacing w:line="319" w:lineRule="auto"/>
      <w:ind w:left="1080" w:hanging="360"/>
      <w:outlineLvl w:val="8"/>
    </w:pPr>
    <w:rPr>
      <w:rFonts w:ascii="Arial" w:hAnsi="Arial" w:eastAsia="黑体"/>
      <w:sz w:val="24"/>
      <w:szCs w:val="20"/>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8">
    <w:name w:val="Normal Indent"/>
    <w:basedOn w:val="1"/>
    <w:qFormat/>
    <w:uiPriority w:val="0"/>
    <w:pPr>
      <w:ind w:firstLine="420" w:firstLineChars="200"/>
    </w:pPr>
  </w:style>
  <w:style w:type="paragraph" w:styleId="9">
    <w:name w:val="caption"/>
    <w:basedOn w:val="1"/>
    <w:next w:val="1"/>
    <w:qFormat/>
    <w:uiPriority w:val="0"/>
    <w:rPr>
      <w:rFonts w:ascii="Arial" w:hAnsi="Arial" w:eastAsia="黑体" w:cs="Arial"/>
      <w:snapToGrid w:val="0"/>
      <w:kern w:val="0"/>
      <w:sz w:val="20"/>
      <w:szCs w:val="20"/>
    </w:rPr>
  </w:style>
  <w:style w:type="paragraph" w:styleId="10">
    <w:name w:val="annotation text"/>
    <w:basedOn w:val="1"/>
    <w:link w:val="51"/>
    <w:unhideWhenUsed/>
    <w:qFormat/>
    <w:uiPriority w:val="0"/>
    <w:pPr>
      <w:jc w:val="left"/>
    </w:pPr>
  </w:style>
  <w:style w:type="paragraph" w:styleId="11">
    <w:name w:val="Body Text 3"/>
    <w:basedOn w:val="1"/>
    <w:qFormat/>
    <w:uiPriority w:val="0"/>
    <w:pPr>
      <w:spacing w:line="500" w:lineRule="exact"/>
    </w:pPr>
  </w:style>
  <w:style w:type="paragraph" w:styleId="12">
    <w:name w:val="Body Text"/>
    <w:basedOn w:val="1"/>
    <w:next w:val="1"/>
    <w:link w:val="53"/>
    <w:qFormat/>
    <w:uiPriority w:val="0"/>
    <w:pPr>
      <w:widowControl/>
      <w:snapToGrid w:val="0"/>
      <w:spacing w:before="60" w:after="160" w:line="259" w:lineRule="auto"/>
      <w:ind w:right="113"/>
    </w:pPr>
    <w:rPr>
      <w:kern w:val="0"/>
      <w:sz w:val="18"/>
      <w:szCs w:val="20"/>
    </w:rPr>
  </w:style>
  <w:style w:type="paragraph" w:styleId="13">
    <w:name w:val="Body Text Indent"/>
    <w:basedOn w:val="1"/>
    <w:link w:val="42"/>
    <w:qFormat/>
    <w:uiPriority w:val="0"/>
    <w:pPr>
      <w:spacing w:after="120"/>
      <w:ind w:left="420" w:leftChars="200"/>
    </w:pPr>
    <w:rPr>
      <w:kern w:val="0"/>
      <w:sz w:val="24"/>
      <w:szCs w:val="20"/>
    </w:rPr>
  </w:style>
  <w:style w:type="paragraph" w:styleId="14">
    <w:name w:val="Plain Text"/>
    <w:basedOn w:val="1"/>
    <w:qFormat/>
    <w:uiPriority w:val="0"/>
    <w:rPr>
      <w:rFonts w:hint="eastAsia" w:ascii="宋体" w:hAnsi="Courier New" w:cs="Courier New"/>
      <w:szCs w:val="21"/>
    </w:rPr>
  </w:style>
  <w:style w:type="paragraph" w:styleId="15">
    <w:name w:val="Date"/>
    <w:basedOn w:val="1"/>
    <w:next w:val="1"/>
    <w:link w:val="54"/>
    <w:qFormat/>
    <w:uiPriority w:val="0"/>
    <w:pPr>
      <w:ind w:left="100" w:leftChars="2500"/>
    </w:pPr>
    <w:rPr>
      <w:kern w:val="0"/>
      <w:sz w:val="24"/>
      <w:szCs w:val="20"/>
    </w:rPr>
  </w:style>
  <w:style w:type="paragraph" w:styleId="16">
    <w:name w:val="Body Text Indent 2"/>
    <w:basedOn w:val="1"/>
    <w:link w:val="56"/>
    <w:qFormat/>
    <w:uiPriority w:val="0"/>
    <w:pPr>
      <w:spacing w:after="120" w:line="480" w:lineRule="auto"/>
      <w:ind w:left="420" w:leftChars="200"/>
    </w:pPr>
  </w:style>
  <w:style w:type="paragraph" w:styleId="17">
    <w:name w:val="Balloon Text"/>
    <w:basedOn w:val="1"/>
    <w:link w:val="57"/>
    <w:qFormat/>
    <w:uiPriority w:val="0"/>
    <w:rPr>
      <w:kern w:val="0"/>
      <w:sz w:val="18"/>
      <w:szCs w:val="20"/>
    </w:rPr>
  </w:style>
  <w:style w:type="paragraph" w:styleId="18">
    <w:name w:val="footer"/>
    <w:basedOn w:val="1"/>
    <w:link w:val="39"/>
    <w:qFormat/>
    <w:uiPriority w:val="99"/>
    <w:pPr>
      <w:tabs>
        <w:tab w:val="center" w:pos="4153"/>
        <w:tab w:val="right" w:pos="8306"/>
      </w:tabs>
      <w:snapToGrid w:val="0"/>
      <w:jc w:val="left"/>
    </w:pPr>
    <w:rPr>
      <w:kern w:val="0"/>
      <w:sz w:val="18"/>
      <w:szCs w:val="20"/>
    </w:rPr>
  </w:style>
  <w:style w:type="paragraph" w:styleId="19">
    <w:name w:val="envelope return"/>
    <w:basedOn w:val="1"/>
    <w:qFormat/>
    <w:uiPriority w:val="0"/>
    <w:pPr>
      <w:snapToGrid w:val="0"/>
    </w:pPr>
    <w:rPr>
      <w:rFonts w:ascii="Arial" w:hAnsi="Arial" w:cs="Arial"/>
    </w:rPr>
  </w:style>
  <w:style w:type="paragraph" w:styleId="20">
    <w:name w:val="header"/>
    <w:basedOn w:val="1"/>
    <w:link w:val="49"/>
    <w:qFormat/>
    <w:uiPriority w:val="99"/>
    <w:pPr>
      <w:pBdr>
        <w:bottom w:val="single" w:color="auto" w:sz="6" w:space="1"/>
      </w:pBdr>
      <w:tabs>
        <w:tab w:val="center" w:pos="4153"/>
        <w:tab w:val="right" w:pos="8306"/>
      </w:tabs>
      <w:snapToGrid w:val="0"/>
      <w:jc w:val="center"/>
    </w:pPr>
    <w:rPr>
      <w:sz w:val="18"/>
      <w:szCs w:val="18"/>
    </w:rPr>
  </w:style>
  <w:style w:type="paragraph" w:styleId="21">
    <w:name w:val="Subtitle"/>
    <w:basedOn w:val="1"/>
    <w:next w:val="1"/>
    <w:link w:val="47"/>
    <w:qFormat/>
    <w:uiPriority w:val="11"/>
    <w:pPr>
      <w:spacing w:line="360" w:lineRule="auto"/>
    </w:pPr>
    <w:rPr>
      <w:rFonts w:eastAsia="黑体"/>
      <w:b/>
      <w:snapToGrid w:val="0"/>
      <w:kern w:val="0"/>
      <w:sz w:val="24"/>
    </w:rPr>
  </w:style>
  <w:style w:type="paragraph" w:styleId="22">
    <w:name w:val="Body Text Indent 3"/>
    <w:basedOn w:val="1"/>
    <w:qFormat/>
    <w:uiPriority w:val="0"/>
    <w:pPr>
      <w:spacing w:line="460" w:lineRule="exact"/>
      <w:ind w:firstLine="640"/>
    </w:pPr>
  </w:style>
  <w:style w:type="paragraph" w:styleId="23">
    <w:name w:val="Body Text 2"/>
    <w:basedOn w:val="1"/>
    <w:next w:val="1"/>
    <w:link w:val="45"/>
    <w:unhideWhenUsed/>
    <w:qFormat/>
    <w:uiPriority w:val="0"/>
    <w:pPr>
      <w:widowControl/>
      <w:jc w:val="center"/>
    </w:pPr>
    <w:rPr>
      <w:b/>
      <w:bCs/>
      <w:spacing w:val="-6"/>
      <w:w w:val="98"/>
      <w:kern w:val="0"/>
      <w:sz w:val="28"/>
      <w:szCs w:val="20"/>
    </w:rPr>
  </w:style>
  <w:style w:type="paragraph" w:styleId="24">
    <w:name w:val="Normal (Web)"/>
    <w:basedOn w:val="1"/>
    <w:link w:val="41"/>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10"/>
    <w:next w:val="10"/>
    <w:link w:val="58"/>
    <w:qFormat/>
    <w:uiPriority w:val="0"/>
    <w:rPr>
      <w:b/>
      <w:sz w:val="24"/>
      <w:szCs w:val="20"/>
    </w:rPr>
  </w:style>
  <w:style w:type="paragraph" w:styleId="26">
    <w:name w:val="Body Text First Indent 2"/>
    <w:basedOn w:val="13"/>
    <w:next w:val="1"/>
    <w:link w:val="55"/>
    <w:qFormat/>
    <w:uiPriority w:val="0"/>
    <w:pPr>
      <w:ind w:firstLine="420" w:firstLineChars="200"/>
    </w:p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bCs/>
    </w:rPr>
  </w:style>
  <w:style w:type="character" w:styleId="31">
    <w:name w:val="page number"/>
    <w:basedOn w:val="29"/>
    <w:qFormat/>
    <w:uiPriority w:val="0"/>
  </w:style>
  <w:style w:type="character" w:styleId="32">
    <w:name w:val="Hyperlink"/>
    <w:basedOn w:val="29"/>
    <w:unhideWhenUsed/>
    <w:qFormat/>
    <w:uiPriority w:val="0"/>
    <w:rPr>
      <w:color w:val="0000FF"/>
      <w:u w:val="single"/>
    </w:rPr>
  </w:style>
  <w:style w:type="character" w:styleId="33">
    <w:name w:val="annotation reference"/>
    <w:qFormat/>
    <w:uiPriority w:val="0"/>
    <w:rPr>
      <w:sz w:val="21"/>
    </w:rPr>
  </w:style>
  <w:style w:type="paragraph" w:customStyle="1" w:styleId="34">
    <w:name w:val="xl27"/>
    <w:basedOn w:val="1"/>
    <w:next w:val="35"/>
    <w:qFormat/>
    <w:uiPriority w:val="0"/>
    <w:pPr>
      <w:widowControl/>
      <w:pBdr>
        <w:bottom w:val="single" w:color="auto" w:sz="12" w:space="0"/>
        <w:right w:val="single" w:color="auto" w:sz="12" w:space="0"/>
      </w:pBdr>
      <w:spacing w:before="100" w:beforeAutospacing="1" w:after="100" w:afterAutospacing="1" w:line="480" w:lineRule="exact"/>
      <w:jc w:val="center"/>
    </w:pPr>
    <w:rPr>
      <w:kern w:val="0"/>
      <w:szCs w:val="21"/>
    </w:rPr>
  </w:style>
  <w:style w:type="paragraph" w:customStyle="1" w:styleId="35">
    <w:name w:val="A正文"/>
    <w:basedOn w:val="1"/>
    <w:qFormat/>
    <w:uiPriority w:val="0"/>
  </w:style>
  <w:style w:type="character" w:customStyle="1" w:styleId="36">
    <w:name w:val="标题 1 字符"/>
    <w:basedOn w:val="29"/>
    <w:link w:val="3"/>
    <w:qFormat/>
    <w:uiPriority w:val="99"/>
    <w:rPr>
      <w:b/>
      <w:bCs/>
      <w:kern w:val="44"/>
      <w:sz w:val="44"/>
      <w:szCs w:val="44"/>
    </w:rPr>
  </w:style>
  <w:style w:type="character" w:customStyle="1" w:styleId="37">
    <w:name w:val="标题 4 字符"/>
    <w:basedOn w:val="29"/>
    <w:link w:val="6"/>
    <w:qFormat/>
    <w:uiPriority w:val="0"/>
    <w:rPr>
      <w:rFonts w:ascii="Calibri Light" w:hAnsi="Calibri Light"/>
      <w:b/>
      <w:bCs/>
      <w:kern w:val="2"/>
      <w:sz w:val="28"/>
      <w:szCs w:val="28"/>
    </w:rPr>
  </w:style>
  <w:style w:type="character" w:customStyle="1" w:styleId="38">
    <w:name w:val="标题 9 字符"/>
    <w:basedOn w:val="29"/>
    <w:link w:val="7"/>
    <w:qFormat/>
    <w:uiPriority w:val="0"/>
    <w:rPr>
      <w:rFonts w:ascii="Arial" w:hAnsi="Arial" w:eastAsia="黑体"/>
      <w:kern w:val="2"/>
      <w:sz w:val="24"/>
    </w:rPr>
  </w:style>
  <w:style w:type="character" w:customStyle="1" w:styleId="39">
    <w:name w:val="页脚 字符1"/>
    <w:link w:val="18"/>
    <w:qFormat/>
    <w:locked/>
    <w:uiPriority w:val="99"/>
    <w:rPr>
      <w:sz w:val="18"/>
    </w:rPr>
  </w:style>
  <w:style w:type="character" w:customStyle="1" w:styleId="40">
    <w:name w:val="页脚 Char1"/>
    <w:basedOn w:val="29"/>
    <w:qFormat/>
    <w:uiPriority w:val="0"/>
    <w:rPr>
      <w:kern w:val="2"/>
      <w:sz w:val="18"/>
      <w:szCs w:val="18"/>
    </w:rPr>
  </w:style>
  <w:style w:type="character" w:customStyle="1" w:styleId="41">
    <w:name w:val="普通(网站) 字符"/>
    <w:link w:val="24"/>
    <w:qFormat/>
    <w:locked/>
    <w:uiPriority w:val="0"/>
    <w:rPr>
      <w:rFonts w:ascii="宋体" w:hAnsi="宋体"/>
      <w:sz w:val="24"/>
    </w:rPr>
  </w:style>
  <w:style w:type="character" w:customStyle="1" w:styleId="42">
    <w:name w:val="正文文本缩进 字符"/>
    <w:link w:val="13"/>
    <w:qFormat/>
    <w:locked/>
    <w:uiPriority w:val="0"/>
    <w:rPr>
      <w:sz w:val="24"/>
    </w:rPr>
  </w:style>
  <w:style w:type="character" w:customStyle="1" w:styleId="43">
    <w:name w:val="正文文本缩进 Char1"/>
    <w:basedOn w:val="29"/>
    <w:qFormat/>
    <w:uiPriority w:val="0"/>
    <w:rPr>
      <w:kern w:val="2"/>
      <w:sz w:val="21"/>
      <w:szCs w:val="24"/>
    </w:rPr>
  </w:style>
  <w:style w:type="paragraph" w:customStyle="1" w:styleId="44">
    <w:name w:val="正本文字"/>
    <w:unhideWhenUsed/>
    <w:qFormat/>
    <w:uiPriority w:val="0"/>
    <w:pPr>
      <w:widowControl w:val="0"/>
      <w:adjustRightInd w:val="0"/>
      <w:snapToGrid w:val="0"/>
      <w:spacing w:line="360" w:lineRule="auto"/>
      <w:ind w:firstLine="480" w:firstLineChars="200"/>
    </w:pPr>
    <w:rPr>
      <w:rFonts w:ascii="Times New Roman" w:hAnsi="Times New Roman" w:eastAsia="宋体" w:cs="Times New Roman"/>
      <w:kern w:val="18"/>
      <w:sz w:val="24"/>
      <w:lang w:val="en-US" w:eastAsia="zh-CN" w:bidi="ar-SA"/>
    </w:rPr>
  </w:style>
  <w:style w:type="character" w:customStyle="1" w:styleId="45">
    <w:name w:val="正文文本 2 字符"/>
    <w:link w:val="23"/>
    <w:qFormat/>
    <w:uiPriority w:val="0"/>
    <w:rPr>
      <w:b/>
      <w:bCs/>
      <w:spacing w:val="-6"/>
      <w:w w:val="98"/>
      <w:sz w:val="28"/>
    </w:rPr>
  </w:style>
  <w:style w:type="character" w:customStyle="1" w:styleId="46">
    <w:name w:val="正文文本 2 Char1"/>
    <w:basedOn w:val="29"/>
    <w:qFormat/>
    <w:uiPriority w:val="0"/>
    <w:rPr>
      <w:kern w:val="2"/>
      <w:sz w:val="21"/>
      <w:szCs w:val="24"/>
    </w:rPr>
  </w:style>
  <w:style w:type="character" w:customStyle="1" w:styleId="47">
    <w:name w:val="副标题 字符"/>
    <w:basedOn w:val="29"/>
    <w:link w:val="21"/>
    <w:qFormat/>
    <w:uiPriority w:val="11"/>
    <w:rPr>
      <w:rFonts w:eastAsia="黑体"/>
      <w:b/>
      <w:snapToGrid w:val="0"/>
      <w:sz w:val="24"/>
      <w:szCs w:val="24"/>
    </w:rPr>
  </w:style>
  <w:style w:type="paragraph" w:customStyle="1" w:styleId="48">
    <w:name w:val="Table Paragraph"/>
    <w:basedOn w:val="1"/>
    <w:qFormat/>
    <w:uiPriority w:val="1"/>
    <w:pPr>
      <w:autoSpaceDE w:val="0"/>
      <w:autoSpaceDN w:val="0"/>
      <w:jc w:val="left"/>
    </w:pPr>
    <w:rPr>
      <w:rFonts w:ascii="宋体" w:hAnsi="宋体" w:cs="宋体"/>
      <w:kern w:val="0"/>
      <w:sz w:val="22"/>
      <w:szCs w:val="22"/>
      <w:lang w:val="zh-CN" w:bidi="zh-CN"/>
    </w:rPr>
  </w:style>
  <w:style w:type="character" w:customStyle="1" w:styleId="49">
    <w:name w:val="页眉 字符"/>
    <w:basedOn w:val="29"/>
    <w:link w:val="20"/>
    <w:qFormat/>
    <w:uiPriority w:val="99"/>
    <w:rPr>
      <w:kern w:val="2"/>
      <w:sz w:val="18"/>
      <w:szCs w:val="18"/>
    </w:rPr>
  </w:style>
  <w:style w:type="character" w:customStyle="1" w:styleId="50">
    <w:name w:val="标题 2 字符"/>
    <w:basedOn w:val="29"/>
    <w:link w:val="4"/>
    <w:semiHidden/>
    <w:qFormat/>
    <w:uiPriority w:val="0"/>
    <w:rPr>
      <w:rFonts w:asciiTheme="majorHAnsi" w:hAnsiTheme="majorHAnsi" w:eastAsiaTheme="majorEastAsia" w:cstheme="majorBidi"/>
      <w:b/>
      <w:bCs/>
      <w:kern w:val="2"/>
      <w:sz w:val="32"/>
      <w:szCs w:val="32"/>
    </w:rPr>
  </w:style>
  <w:style w:type="character" w:customStyle="1" w:styleId="51">
    <w:name w:val="批注文字 字符"/>
    <w:basedOn w:val="29"/>
    <w:link w:val="10"/>
    <w:qFormat/>
    <w:uiPriority w:val="0"/>
    <w:rPr>
      <w:kern w:val="2"/>
      <w:sz w:val="21"/>
      <w:szCs w:val="24"/>
    </w:rPr>
  </w:style>
  <w:style w:type="character" w:customStyle="1" w:styleId="52">
    <w:name w:val="批注文字 Char"/>
    <w:basedOn w:val="29"/>
    <w:qFormat/>
    <w:uiPriority w:val="0"/>
    <w:rPr>
      <w:kern w:val="2"/>
      <w:sz w:val="21"/>
      <w:szCs w:val="24"/>
    </w:rPr>
  </w:style>
  <w:style w:type="character" w:customStyle="1" w:styleId="53">
    <w:name w:val="正文文本 字符"/>
    <w:basedOn w:val="29"/>
    <w:link w:val="12"/>
    <w:qFormat/>
    <w:uiPriority w:val="0"/>
    <w:rPr>
      <w:sz w:val="18"/>
    </w:rPr>
  </w:style>
  <w:style w:type="character" w:customStyle="1" w:styleId="54">
    <w:name w:val="日期 字符"/>
    <w:basedOn w:val="29"/>
    <w:link w:val="15"/>
    <w:qFormat/>
    <w:uiPriority w:val="0"/>
    <w:rPr>
      <w:sz w:val="24"/>
    </w:rPr>
  </w:style>
  <w:style w:type="character" w:customStyle="1" w:styleId="55">
    <w:name w:val="正文首行缩进 2 字符"/>
    <w:basedOn w:val="42"/>
    <w:link w:val="26"/>
    <w:qFormat/>
    <w:uiPriority w:val="0"/>
    <w:rPr>
      <w:sz w:val="24"/>
    </w:rPr>
  </w:style>
  <w:style w:type="character" w:customStyle="1" w:styleId="56">
    <w:name w:val="正文文本缩进 2 字符"/>
    <w:basedOn w:val="29"/>
    <w:link w:val="16"/>
    <w:qFormat/>
    <w:uiPriority w:val="0"/>
    <w:rPr>
      <w:kern w:val="2"/>
      <w:sz w:val="21"/>
      <w:szCs w:val="24"/>
    </w:rPr>
  </w:style>
  <w:style w:type="character" w:customStyle="1" w:styleId="57">
    <w:name w:val="批注框文本 字符"/>
    <w:basedOn w:val="29"/>
    <w:link w:val="17"/>
    <w:qFormat/>
    <w:uiPriority w:val="0"/>
    <w:rPr>
      <w:sz w:val="18"/>
    </w:rPr>
  </w:style>
  <w:style w:type="character" w:customStyle="1" w:styleId="58">
    <w:name w:val="批注主题 字符"/>
    <w:basedOn w:val="52"/>
    <w:link w:val="25"/>
    <w:qFormat/>
    <w:uiPriority w:val="0"/>
    <w:rPr>
      <w:b/>
      <w:kern w:val="2"/>
      <w:sz w:val="24"/>
      <w:szCs w:val="24"/>
    </w:rPr>
  </w:style>
  <w:style w:type="paragraph" w:customStyle="1" w:styleId="59">
    <w:name w:val="表文lcc"/>
    <w:basedOn w:val="1"/>
    <w:qFormat/>
    <w:uiPriority w:val="0"/>
    <w:pPr>
      <w:widowControl/>
      <w:jc w:val="center"/>
    </w:pPr>
    <w:rPr>
      <w:rFonts w:eastAsia="仿宋_GB2312"/>
      <w:snapToGrid w:val="0"/>
      <w:kern w:val="0"/>
      <w:sz w:val="24"/>
    </w:rPr>
  </w:style>
  <w:style w:type="character" w:customStyle="1" w:styleId="60">
    <w:name w:val="样式1 Char"/>
    <w:link w:val="61"/>
    <w:qFormat/>
    <w:uiPriority w:val="0"/>
    <w:rPr>
      <w:kern w:val="28"/>
      <w:sz w:val="24"/>
      <w:szCs w:val="24"/>
    </w:rPr>
  </w:style>
  <w:style w:type="paragraph" w:customStyle="1" w:styleId="61">
    <w:name w:val="样式1"/>
    <w:basedOn w:val="1"/>
    <w:link w:val="60"/>
    <w:qFormat/>
    <w:uiPriority w:val="0"/>
    <w:pPr>
      <w:spacing w:line="500" w:lineRule="exact"/>
      <w:ind w:firstLine="200" w:firstLineChars="200"/>
    </w:pPr>
    <w:rPr>
      <w:kern w:val="28"/>
      <w:sz w:val="24"/>
    </w:rPr>
  </w:style>
  <w:style w:type="character" w:customStyle="1" w:styleId="62">
    <w:name w:val="页脚 字符"/>
    <w:basedOn w:val="29"/>
    <w:qFormat/>
    <w:uiPriority w:val="99"/>
  </w:style>
  <w:style w:type="character" w:customStyle="1" w:styleId="63">
    <w:name w:val="1正文段落 Char"/>
    <w:link w:val="64"/>
    <w:qFormat/>
    <w:uiPriority w:val="0"/>
    <w:rPr>
      <w:sz w:val="24"/>
      <w:szCs w:val="24"/>
    </w:rPr>
  </w:style>
  <w:style w:type="paragraph" w:customStyle="1" w:styleId="64">
    <w:name w:val="1正文段落"/>
    <w:basedOn w:val="1"/>
    <w:link w:val="63"/>
    <w:qFormat/>
    <w:uiPriority w:val="0"/>
    <w:pPr>
      <w:spacing w:line="360" w:lineRule="auto"/>
      <w:ind w:firstLine="480" w:firstLineChars="200"/>
      <w:jc w:val="left"/>
    </w:pPr>
    <w:rPr>
      <w:kern w:val="0"/>
      <w:sz w:val="24"/>
    </w:rPr>
  </w:style>
  <w:style w:type="character" w:customStyle="1" w:styleId="65">
    <w:name w:val="不明显参考1"/>
    <w:qFormat/>
    <w:uiPriority w:val="31"/>
    <w:rPr>
      <w:sz w:val="24"/>
    </w:rPr>
  </w:style>
  <w:style w:type="character" w:customStyle="1" w:styleId="66">
    <w:name w:val="表格 Char"/>
    <w:link w:val="67"/>
    <w:qFormat/>
    <w:locked/>
    <w:uiPriority w:val="0"/>
    <w:rPr>
      <w:rFonts w:ascii="宋体"/>
      <w:sz w:val="21"/>
    </w:rPr>
  </w:style>
  <w:style w:type="paragraph" w:customStyle="1" w:styleId="67">
    <w:name w:val="表格"/>
    <w:basedOn w:val="1"/>
    <w:next w:val="1"/>
    <w:link w:val="66"/>
    <w:qFormat/>
    <w:uiPriority w:val="0"/>
    <w:pPr>
      <w:adjustRightInd w:val="0"/>
      <w:snapToGrid w:val="0"/>
      <w:spacing w:beforeLines="10" w:afterLines="10" w:line="259" w:lineRule="auto"/>
      <w:jc w:val="center"/>
    </w:pPr>
    <w:rPr>
      <w:rFonts w:ascii="宋体"/>
      <w:kern w:val="0"/>
      <w:szCs w:val="20"/>
    </w:rPr>
  </w:style>
  <w:style w:type="character" w:customStyle="1" w:styleId="68">
    <w:name w:val="批注主题 Char1"/>
    <w:basedOn w:val="51"/>
    <w:qFormat/>
    <w:uiPriority w:val="0"/>
    <w:rPr>
      <w:b/>
      <w:bCs/>
      <w:kern w:val="2"/>
      <w:sz w:val="21"/>
      <w:szCs w:val="24"/>
    </w:rPr>
  </w:style>
  <w:style w:type="character" w:customStyle="1" w:styleId="69">
    <w:name w:val="日期 Char1"/>
    <w:basedOn w:val="29"/>
    <w:qFormat/>
    <w:uiPriority w:val="0"/>
    <w:rPr>
      <w:kern w:val="2"/>
      <w:sz w:val="21"/>
      <w:szCs w:val="24"/>
    </w:rPr>
  </w:style>
  <w:style w:type="character" w:customStyle="1" w:styleId="70">
    <w:name w:val="正文文本 Char1"/>
    <w:basedOn w:val="29"/>
    <w:qFormat/>
    <w:uiPriority w:val="0"/>
    <w:rPr>
      <w:kern w:val="2"/>
      <w:sz w:val="21"/>
      <w:szCs w:val="24"/>
    </w:rPr>
  </w:style>
  <w:style w:type="character" w:customStyle="1" w:styleId="71">
    <w:name w:val="副标题 Char1"/>
    <w:basedOn w:val="29"/>
    <w:qFormat/>
    <w:uiPriority w:val="11"/>
    <w:rPr>
      <w:rFonts w:asciiTheme="majorHAnsi" w:hAnsiTheme="majorHAnsi" w:cstheme="majorBidi"/>
      <w:b/>
      <w:bCs/>
      <w:kern w:val="28"/>
      <w:sz w:val="32"/>
      <w:szCs w:val="32"/>
    </w:rPr>
  </w:style>
  <w:style w:type="character" w:customStyle="1" w:styleId="72">
    <w:name w:val="批注框文本 Char1"/>
    <w:basedOn w:val="29"/>
    <w:qFormat/>
    <w:uiPriority w:val="0"/>
    <w:rPr>
      <w:kern w:val="2"/>
      <w:sz w:val="18"/>
      <w:szCs w:val="18"/>
    </w:rPr>
  </w:style>
  <w:style w:type="paragraph" w:customStyle="1" w:styleId="7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4">
    <w:name w:val="正文小四"/>
    <w:basedOn w:val="1"/>
    <w:qFormat/>
    <w:uiPriority w:val="0"/>
    <w:pPr>
      <w:spacing w:line="360" w:lineRule="auto"/>
    </w:pPr>
    <w:rPr>
      <w:snapToGrid w:val="0"/>
      <w:kern w:val="0"/>
      <w:sz w:val="24"/>
      <w:szCs w:val="20"/>
    </w:rPr>
  </w:style>
  <w:style w:type="paragraph" w:styleId="75">
    <w:name w:val="List Paragraph"/>
    <w:basedOn w:val="1"/>
    <w:qFormat/>
    <w:uiPriority w:val="34"/>
    <w:pPr>
      <w:ind w:firstLine="420" w:firstLineChars="200"/>
    </w:pPr>
    <w:rPr>
      <w:snapToGrid w:val="0"/>
      <w:kern w:val="0"/>
      <w:sz w:val="24"/>
    </w:rPr>
  </w:style>
  <w:style w:type="paragraph" w:customStyle="1" w:styleId="7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7">
    <w:name w:val="样式3"/>
    <w:basedOn w:val="1"/>
    <w:qFormat/>
    <w:uiPriority w:val="0"/>
    <w:pPr>
      <w:autoSpaceDE w:val="0"/>
      <w:autoSpaceDN w:val="0"/>
      <w:snapToGrid w:val="0"/>
      <w:spacing w:before="120" w:line="460" w:lineRule="atLeast"/>
      <w:jc w:val="center"/>
    </w:pPr>
    <w:rPr>
      <w:rFonts w:eastAsia="黑体"/>
      <w:sz w:val="28"/>
    </w:rPr>
  </w:style>
  <w:style w:type="character" w:customStyle="1" w:styleId="78">
    <w:name w:val="font21"/>
    <w:basedOn w:val="29"/>
    <w:qFormat/>
    <w:uiPriority w:val="0"/>
    <w:rPr>
      <w:rFonts w:hint="default" w:ascii="Times New Roman" w:hAnsi="Times New Roman" w:cs="Times New Roman"/>
      <w:color w:val="000000"/>
      <w:sz w:val="18"/>
      <w:szCs w:val="18"/>
      <w:u w:val="none"/>
    </w:rPr>
  </w:style>
  <w:style w:type="character" w:customStyle="1" w:styleId="79">
    <w:name w:val="font11"/>
    <w:basedOn w:val="29"/>
    <w:qFormat/>
    <w:uiPriority w:val="0"/>
    <w:rPr>
      <w:rFonts w:hint="eastAsia" w:ascii="宋体" w:hAnsi="宋体" w:eastAsia="宋体"/>
      <w:color w:val="000000"/>
      <w:sz w:val="18"/>
      <w:szCs w:val="18"/>
      <w:u w:val="none"/>
    </w:rPr>
  </w:style>
  <w:style w:type="character" w:customStyle="1" w:styleId="80">
    <w:name w:val="font41"/>
    <w:basedOn w:val="29"/>
    <w:qFormat/>
    <w:uiPriority w:val="0"/>
    <w:rPr>
      <w:rFonts w:hint="eastAsia" w:ascii="宋体" w:hAnsi="宋体" w:eastAsia="宋体"/>
      <w:color w:val="000000"/>
      <w:sz w:val="18"/>
      <w:szCs w:val="18"/>
      <w:u w:val="none"/>
    </w:rPr>
  </w:style>
  <w:style w:type="character" w:customStyle="1" w:styleId="81">
    <w:name w:val="font31"/>
    <w:basedOn w:val="29"/>
    <w:qFormat/>
    <w:uiPriority w:val="0"/>
    <w:rPr>
      <w:rFonts w:hint="eastAsia" w:ascii="宋体" w:hAnsi="宋体" w:eastAsia="宋体"/>
      <w:color w:val="000000"/>
      <w:sz w:val="18"/>
      <w:szCs w:val="18"/>
      <w:u w:val="none"/>
    </w:rPr>
  </w:style>
  <w:style w:type="character" w:customStyle="1" w:styleId="82">
    <w:name w:val="批注文字 字符1"/>
    <w:semiHidden/>
    <w:qFormat/>
    <w:uiPriority w:val="0"/>
    <w:rPr>
      <w:rFonts w:ascii="Times New Roman" w:hAnsi="Times New Roman" w:eastAsia="宋体"/>
      <w:sz w:val="24"/>
    </w:rPr>
  </w:style>
  <w:style w:type="character" w:customStyle="1" w:styleId="83">
    <w:name w:val="Body text|1_"/>
    <w:basedOn w:val="29"/>
    <w:link w:val="84"/>
    <w:qFormat/>
    <w:uiPriority w:val="0"/>
    <w:rPr>
      <w:rFonts w:ascii="MingLiU" w:hAnsi="MingLiU" w:eastAsia="MingLiU" w:cs="MingLiU"/>
      <w:sz w:val="19"/>
      <w:szCs w:val="19"/>
      <w:lang w:val="zh-TW" w:eastAsia="zh-TW" w:bidi="zh-TW"/>
    </w:rPr>
  </w:style>
  <w:style w:type="paragraph" w:customStyle="1" w:styleId="84">
    <w:name w:val="Body text|1"/>
    <w:basedOn w:val="1"/>
    <w:link w:val="83"/>
    <w:qFormat/>
    <w:uiPriority w:val="0"/>
    <w:pPr>
      <w:spacing w:line="403" w:lineRule="auto"/>
      <w:ind w:firstLine="400"/>
      <w:jc w:val="left"/>
    </w:pPr>
    <w:rPr>
      <w:rFonts w:ascii="MingLiU" w:hAnsi="MingLiU" w:eastAsia="MingLiU" w:cs="MingLiU"/>
      <w:kern w:val="0"/>
      <w:sz w:val="19"/>
      <w:szCs w:val="19"/>
      <w:lang w:val="zh-TW" w:eastAsia="zh-TW" w:bidi="zh-TW"/>
    </w:rPr>
  </w:style>
  <w:style w:type="paragraph" w:customStyle="1" w:styleId="85">
    <w:name w:val="5表文"/>
    <w:basedOn w:val="1"/>
    <w:qFormat/>
    <w:uiPriority w:val="0"/>
    <w:pPr>
      <w:jc w:val="center"/>
    </w:pPr>
    <w:rPr>
      <w:szCs w:val="20"/>
    </w:rPr>
  </w:style>
  <w:style w:type="paragraph" w:customStyle="1" w:styleId="86">
    <w:name w:val="A标准格式"/>
    <w:basedOn w:val="1"/>
    <w:qFormat/>
    <w:uiPriority w:val="0"/>
    <w:pPr>
      <w:ind w:firstLine="480"/>
    </w:pPr>
  </w:style>
  <w:style w:type="paragraph" w:customStyle="1" w:styleId="87">
    <w:name w:val="报告书正文"/>
    <w:basedOn w:val="1"/>
    <w:qFormat/>
    <w:uiPriority w:val="0"/>
    <w:pPr>
      <w:spacing w:line="360" w:lineRule="auto"/>
      <w:ind w:firstLine="560" w:firstLineChars="200"/>
    </w:pPr>
    <w:rPr>
      <w:rFonts w:ascii="宋体" w:hAnsi="宋体"/>
      <w:kern w:val="0"/>
      <w:sz w:val="28"/>
    </w:rPr>
  </w:style>
  <w:style w:type="character" w:customStyle="1" w:styleId="88">
    <w:name w:val="font01"/>
    <w:basedOn w:val="29"/>
    <w:qFormat/>
    <w:uiPriority w:val="0"/>
    <w:rPr>
      <w:rFonts w:hint="eastAsia" w:ascii="宋体" w:hAnsi="宋体" w:eastAsia="宋体"/>
      <w:color w:val="000000"/>
      <w:sz w:val="21"/>
      <w:szCs w:val="21"/>
      <w:u w:val="none"/>
    </w:rPr>
  </w:style>
  <w:style w:type="paragraph" w:customStyle="1" w:styleId="89">
    <w:name w:val="表头"/>
    <w:autoRedefine/>
    <w:qFormat/>
    <w:uiPriority w:val="0"/>
    <w:pPr>
      <w:adjustRightInd w:val="0"/>
      <w:snapToGrid w:val="0"/>
      <w:jc w:val="center"/>
    </w:pPr>
    <w:rPr>
      <w:rFonts w:ascii="Times New Roman" w:hAnsi="Times New Roman" w:eastAsia="黑体" w:cs="Times New Roman"/>
      <w:sz w:val="21"/>
      <w:szCs w:val="22"/>
      <w:lang w:val="en-US" w:eastAsia="zh-CN" w:bidi="ar-SA"/>
    </w:rPr>
  </w:style>
  <w:style w:type="paragraph" w:customStyle="1" w:styleId="90">
    <w:name w:val="简单回函地址"/>
    <w:basedOn w:val="1"/>
    <w:qFormat/>
    <w:uiPriority w:val="0"/>
  </w:style>
  <w:style w:type="table" w:customStyle="1" w:styleId="91">
    <w:name w:val="Table Normal"/>
    <w:autoRedefine/>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62</Pages>
  <Words>36674</Words>
  <Characters>40577</Characters>
  <Lines>313</Lines>
  <Paragraphs>88</Paragraphs>
  <TotalTime>43</TotalTime>
  <ScaleCrop>false</ScaleCrop>
  <LinksUpToDate>false</LinksUpToDate>
  <CharactersWithSpaces>40953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2025-03-13T01:43:00Z</dcterms:created>
  <dc:creator>cooki</dc:creator>
  <cp:lastModifiedBy>小小的太阳1418891173</cp:lastModifiedBy>
  <cp:lastPrinted>2025-03-17T03:41:00Z</cp:lastPrinted>
  <dcterms:modified xsi:type="dcterms:W3CDTF">2025-03-18T01:17:45Z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D0BC7F43AD93450FAF55C74A88F4162F</vt:lpwstr>
  </property>
  <property fmtid="{D5CDD505-2E9C-101B-9397-08002B2CF9AE}" pid="4" name="KSOTemplateDocerSaveRecord">
    <vt:lpwstr>eyJoZGlkIjoiODViY2JkMjU3NGYzZTEwMzZmMGFkZWViYmNkYWU3NDIiLCJ1c2VySWQiOiIyNzA3ODU0MiJ9</vt:lpwstr>
  </property>
</Properties>
</file>